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25407" w:rsidRDefault="00025407" w:rsidP="00025407">
      <w:pPr>
        <w:pStyle w:val="Heading1"/>
      </w:pPr>
      <w:r>
        <w:t>**Mexico Small Arms Aff- FFPSV**</w:t>
      </w:r>
    </w:p>
    <w:p w:rsidR="00025407" w:rsidRDefault="00025407" w:rsidP="00025407">
      <w:pPr>
        <w:pStyle w:val="Heading3"/>
      </w:pPr>
      <w:r>
        <w:lastRenderedPageBreak/>
        <w:t>Contributors</w:t>
      </w:r>
    </w:p>
    <w:p w:rsidR="00025407" w:rsidRPr="00025407" w:rsidRDefault="00025407" w:rsidP="00025407">
      <w:pPr>
        <w:pStyle w:val="Heading4"/>
      </w:pPr>
      <w:r>
        <w:t xml:space="preserve">Big thanks to the following FFPSV lab members for their work on this file. </w:t>
      </w:r>
    </w:p>
    <w:p w:rsidR="00025407" w:rsidRDefault="00025407" w:rsidP="00025407">
      <w:pPr>
        <w:rPr>
          <w:rFonts w:ascii="Arial" w:hAnsi="Arial" w:cs="Arial"/>
          <w:color w:val="263238"/>
          <w:sz w:val="20"/>
          <w:szCs w:val="20"/>
        </w:rPr>
      </w:pPr>
      <w:r w:rsidRPr="002E19C3">
        <w:rPr>
          <w:rFonts w:ascii="Arial" w:hAnsi="Arial" w:cs="Arial"/>
          <w:color w:val="263238"/>
          <w:sz w:val="20"/>
          <w:szCs w:val="20"/>
        </w:rPr>
        <w:t>Zoey Lin </w:t>
      </w:r>
      <w:r w:rsidRPr="002E19C3">
        <w:rPr>
          <w:rFonts w:ascii="Arial" w:hAnsi="Arial" w:cs="Arial"/>
          <w:color w:val="263238"/>
          <w:sz w:val="20"/>
          <w:szCs w:val="20"/>
        </w:rPr>
        <w:br/>
        <w:t>Connor Kolstad</w:t>
      </w:r>
      <w:r w:rsidRPr="002E19C3">
        <w:rPr>
          <w:rFonts w:ascii="Arial" w:hAnsi="Arial" w:cs="Arial"/>
          <w:color w:val="263238"/>
          <w:sz w:val="20"/>
          <w:szCs w:val="20"/>
        </w:rPr>
        <w:br/>
        <w:t xml:space="preserve">Ben </w:t>
      </w:r>
      <w:proofErr w:type="spellStart"/>
      <w:r w:rsidRPr="002E19C3">
        <w:rPr>
          <w:rFonts w:ascii="Arial" w:hAnsi="Arial" w:cs="Arial"/>
          <w:color w:val="263238"/>
          <w:sz w:val="20"/>
          <w:szCs w:val="20"/>
        </w:rPr>
        <w:t>Amiel</w:t>
      </w:r>
      <w:proofErr w:type="spellEnd"/>
      <w:r w:rsidRPr="002E19C3">
        <w:rPr>
          <w:rFonts w:ascii="Arial" w:hAnsi="Arial" w:cs="Arial"/>
          <w:color w:val="263238"/>
          <w:sz w:val="20"/>
          <w:szCs w:val="20"/>
        </w:rPr>
        <w:br/>
        <w:t xml:space="preserve">Kyra </w:t>
      </w:r>
      <w:proofErr w:type="spellStart"/>
      <w:r w:rsidRPr="002E19C3">
        <w:rPr>
          <w:rFonts w:ascii="Arial" w:hAnsi="Arial" w:cs="Arial"/>
          <w:color w:val="263238"/>
          <w:sz w:val="20"/>
          <w:szCs w:val="20"/>
        </w:rPr>
        <w:t>Bergerud</w:t>
      </w:r>
      <w:proofErr w:type="spellEnd"/>
      <w:r w:rsidRPr="002E19C3">
        <w:rPr>
          <w:rFonts w:ascii="Arial" w:hAnsi="Arial" w:cs="Arial"/>
          <w:color w:val="263238"/>
          <w:sz w:val="20"/>
          <w:szCs w:val="20"/>
        </w:rPr>
        <w:br/>
        <w:t>Ellis Chen</w:t>
      </w:r>
      <w:r w:rsidRPr="002E19C3">
        <w:rPr>
          <w:rFonts w:ascii="Arial" w:hAnsi="Arial" w:cs="Arial"/>
          <w:color w:val="263238"/>
          <w:sz w:val="20"/>
          <w:szCs w:val="20"/>
        </w:rPr>
        <w:br/>
      </w:r>
      <w:proofErr w:type="spellStart"/>
      <w:r w:rsidRPr="002E19C3">
        <w:rPr>
          <w:rFonts w:ascii="Arial" w:hAnsi="Arial" w:cs="Arial"/>
          <w:color w:val="263238"/>
          <w:sz w:val="20"/>
          <w:szCs w:val="20"/>
        </w:rPr>
        <w:t>Srinidhi</w:t>
      </w:r>
      <w:proofErr w:type="spellEnd"/>
      <w:r w:rsidRPr="002E19C3">
        <w:rPr>
          <w:rFonts w:ascii="Arial" w:hAnsi="Arial" w:cs="Arial"/>
          <w:color w:val="263238"/>
          <w:sz w:val="20"/>
          <w:szCs w:val="20"/>
        </w:rPr>
        <w:t xml:space="preserve"> </w:t>
      </w:r>
      <w:proofErr w:type="spellStart"/>
      <w:r w:rsidRPr="002E19C3">
        <w:rPr>
          <w:rFonts w:ascii="Arial" w:hAnsi="Arial" w:cs="Arial"/>
          <w:color w:val="263238"/>
          <w:sz w:val="20"/>
          <w:szCs w:val="20"/>
        </w:rPr>
        <w:t>Yerraguntala</w:t>
      </w:r>
      <w:proofErr w:type="spellEnd"/>
      <w:r w:rsidRPr="002E19C3">
        <w:rPr>
          <w:rFonts w:ascii="Arial" w:hAnsi="Arial" w:cs="Arial"/>
          <w:color w:val="263238"/>
          <w:sz w:val="20"/>
          <w:szCs w:val="20"/>
        </w:rPr>
        <w:br/>
        <w:t>Shruthi Venkatachalam</w:t>
      </w:r>
      <w:r w:rsidRPr="002E19C3">
        <w:rPr>
          <w:rFonts w:ascii="Arial" w:hAnsi="Arial" w:cs="Arial"/>
          <w:color w:val="263238"/>
          <w:sz w:val="20"/>
          <w:szCs w:val="20"/>
        </w:rPr>
        <w:br/>
        <w:t>Emma Kingston</w:t>
      </w:r>
      <w:r w:rsidRPr="002E19C3">
        <w:rPr>
          <w:rFonts w:ascii="Arial" w:hAnsi="Arial" w:cs="Arial"/>
          <w:color w:val="263238"/>
          <w:sz w:val="20"/>
          <w:szCs w:val="20"/>
        </w:rPr>
        <w:br/>
        <w:t>Sahar</w:t>
      </w:r>
      <w:r w:rsidRPr="002E19C3">
        <w:rPr>
          <w:rFonts w:ascii="Arial" w:hAnsi="Arial" w:cs="Arial"/>
          <w:color w:val="263238"/>
          <w:sz w:val="20"/>
          <w:szCs w:val="20"/>
        </w:rPr>
        <w:br/>
        <w:t xml:space="preserve">Isabel </w:t>
      </w:r>
      <w:proofErr w:type="spellStart"/>
      <w:r w:rsidRPr="002E19C3">
        <w:rPr>
          <w:rFonts w:ascii="Arial" w:hAnsi="Arial" w:cs="Arial"/>
          <w:color w:val="263238"/>
          <w:sz w:val="20"/>
          <w:szCs w:val="20"/>
        </w:rPr>
        <w:t>Klemmer</w:t>
      </w:r>
      <w:proofErr w:type="spellEnd"/>
    </w:p>
    <w:p w:rsidR="00025407" w:rsidRDefault="00025407" w:rsidP="00025407">
      <w:pPr>
        <w:pStyle w:val="Heading4"/>
      </w:pPr>
      <w:r>
        <w:t xml:space="preserve">If you have any questions/concerns about the file: </w:t>
      </w:r>
      <w:hyperlink r:id="rId9" w:history="1">
        <w:r w:rsidRPr="00AB6DA8">
          <w:rPr>
            <w:rStyle w:val="Hyperlink"/>
          </w:rPr>
          <w:t>jasminestidham@gmail.com</w:t>
        </w:r>
      </w:hyperlink>
    </w:p>
    <w:p w:rsidR="00025407" w:rsidRDefault="00025407" w:rsidP="00025407">
      <w:pPr>
        <w:pStyle w:val="Heading2"/>
      </w:pPr>
      <w:r>
        <w:lastRenderedPageBreak/>
        <w:t>**1AC- Build-a-Bear**</w:t>
      </w:r>
    </w:p>
    <w:p w:rsidR="00995D1C" w:rsidRDefault="00995D1C" w:rsidP="00995D1C">
      <w:pPr>
        <w:pStyle w:val="Heading3"/>
      </w:pPr>
      <w:r>
        <w:lastRenderedPageBreak/>
        <w:t xml:space="preserve">1AC- Plan </w:t>
      </w:r>
    </w:p>
    <w:p w:rsidR="00995D1C" w:rsidRPr="009768A4" w:rsidRDefault="00995D1C" w:rsidP="00995D1C">
      <w:pPr>
        <w:pStyle w:val="Heading4"/>
      </w:pPr>
      <w:r>
        <w:t>Plan: The United States federal government should substantially reduce Direct Commercial Sales and Foreign Military Sales of small arms and light weapons to Mexico from the United States.</w:t>
      </w:r>
    </w:p>
    <w:p w:rsidR="00995D1C" w:rsidRPr="00995D1C" w:rsidRDefault="00995D1C" w:rsidP="00995D1C"/>
    <w:p w:rsidR="008B4353" w:rsidRDefault="00F8432D" w:rsidP="00F8432D">
      <w:pPr>
        <w:pStyle w:val="Heading3"/>
      </w:pPr>
      <w:r>
        <w:lastRenderedPageBreak/>
        <w:t>1AC- Advantage</w:t>
      </w:r>
      <w:r w:rsidR="00995D1C">
        <w:t xml:space="preserve"> + Solvency </w:t>
      </w:r>
    </w:p>
    <w:p w:rsidR="009B2467" w:rsidRDefault="009B2467" w:rsidP="009B2467">
      <w:pPr>
        <w:pStyle w:val="Heading4"/>
      </w:pPr>
      <w:r>
        <w:t xml:space="preserve">Despite </w:t>
      </w:r>
      <w:r w:rsidRPr="00307BAB">
        <w:rPr>
          <w:u w:val="single"/>
        </w:rPr>
        <w:t>strict</w:t>
      </w:r>
      <w:r>
        <w:t xml:space="preserve"> gun regulations, legal exports of small arms from the U</w:t>
      </w:r>
      <w:r w:rsidR="006C44F1">
        <w:t>.</w:t>
      </w:r>
      <w:r>
        <w:t>S</w:t>
      </w:r>
      <w:r w:rsidR="006C44F1">
        <w:t>.</w:t>
      </w:r>
      <w:r>
        <w:t xml:space="preserve"> are illicitly sold in Mexico</w:t>
      </w:r>
      <w:r w:rsidR="006C44F1">
        <w:t xml:space="preserve">, which has enabled </w:t>
      </w:r>
      <w:r w:rsidR="006C44F1" w:rsidRPr="003D5C60">
        <w:rPr>
          <w:u w:val="single"/>
        </w:rPr>
        <w:t>decades of femicide</w:t>
      </w:r>
      <w:r w:rsidR="006C44F1">
        <w:t xml:space="preserve"> </w:t>
      </w:r>
    </w:p>
    <w:p w:rsidR="009B2467" w:rsidRPr="001A25C2" w:rsidRDefault="009B2467" w:rsidP="001A25C2">
      <w:pPr>
        <w:rPr>
          <w:rStyle w:val="Style13ptBold"/>
        </w:rPr>
      </w:pPr>
      <w:r w:rsidRPr="001A25C2">
        <w:rPr>
          <w:rStyle w:val="Style13ptBold"/>
        </w:rPr>
        <w:t>Mueller 14</w:t>
      </w:r>
    </w:p>
    <w:p w:rsidR="009B2467" w:rsidRPr="001A25C2" w:rsidRDefault="009B2467" w:rsidP="001A25C2">
      <w:pPr>
        <w:rPr>
          <w:rStyle w:val="Style13ptBold"/>
          <w:sz w:val="20"/>
          <w:szCs w:val="20"/>
        </w:rPr>
      </w:pPr>
      <w:r w:rsidRPr="001A25C2">
        <w:rPr>
          <w:rStyle w:val="Style13ptBold"/>
          <w:sz w:val="20"/>
          <w:szCs w:val="20"/>
        </w:rPr>
        <w:t xml:space="preserve">(Carol, </w:t>
      </w:r>
      <w:r w:rsidR="001A25C2" w:rsidRPr="001A25C2">
        <w:rPr>
          <w:rStyle w:val="Style13ptBold"/>
          <w:sz w:val="20"/>
          <w:szCs w:val="20"/>
        </w:rPr>
        <w:t xml:space="preserve">professor of sociology and Director of the School of Social and Behavioral Sciences of New College of Interdisciplinary Arts and Sciences at Arizona State University. </w:t>
      </w:r>
      <w:r w:rsidRPr="001A25C2">
        <w:rPr>
          <w:rStyle w:val="Style13ptBold"/>
          <w:sz w:val="20"/>
          <w:szCs w:val="20"/>
        </w:rPr>
        <w:t>CHAPTER 6</w:t>
      </w:r>
      <w:r w:rsidR="001A25C2" w:rsidRPr="001A25C2">
        <w:rPr>
          <w:rStyle w:val="Style13ptBold"/>
          <w:sz w:val="20"/>
          <w:szCs w:val="20"/>
        </w:rPr>
        <w:t>:</w:t>
      </w:r>
      <w:r w:rsidRPr="001A25C2">
        <w:rPr>
          <w:rStyle w:val="Style13ptBold"/>
          <w:sz w:val="20"/>
          <w:szCs w:val="20"/>
        </w:rPr>
        <w:t xml:space="preserve"> The Binational Roots of the Femicides in Ciudad Juárez in Binational Human Rights: The US-Mexico Experience, edited by William Paul Simmons, Carol Mueller, Pgs. 141-143, University of Pennsylvania Press 2014)</w:t>
      </w:r>
    </w:p>
    <w:p w:rsidR="009B2467" w:rsidRPr="002A3D8D" w:rsidRDefault="009B2467" w:rsidP="009B2467">
      <w:pPr>
        <w:rPr>
          <w:sz w:val="16"/>
        </w:rPr>
      </w:pPr>
      <w:r w:rsidRPr="002A3D8D">
        <w:rPr>
          <w:rStyle w:val="StyleUnderline"/>
        </w:rPr>
        <w:t>Guns are common throughout Mexico, and the country’s gun culture dates back before revolutionary time</w:t>
      </w:r>
      <w:r w:rsidRPr="002A3D8D">
        <w:rPr>
          <w:sz w:val="16"/>
        </w:rPr>
        <w:t xml:space="preserve">s. The Mexican Constitution, as adopted in 1917, recognized Mexican citizens’ right to possess arms: “The </w:t>
      </w:r>
      <w:r w:rsidRPr="002A3D8D">
        <w:rPr>
          <w:rStyle w:val="StyleUnderline"/>
        </w:rPr>
        <w:t>inhabitants of the United Mexican States have the right to possess arms in their homes for their security and legitimate defense</w:t>
      </w:r>
      <w:r w:rsidRPr="002A3D8D">
        <w:rPr>
          <w:sz w:val="16"/>
        </w:rPr>
        <w:t xml:space="preserve"> with the exception of those prohibited by federal law and of those reserved for the exclusive use of the Army, Navy, Air Force, and National Guard” (</w:t>
      </w:r>
      <w:proofErr w:type="spellStart"/>
      <w:r w:rsidRPr="002A3D8D">
        <w:rPr>
          <w:sz w:val="16"/>
        </w:rPr>
        <w:t>Kopel</w:t>
      </w:r>
      <w:proofErr w:type="spellEnd"/>
      <w:r w:rsidRPr="002A3D8D">
        <w:rPr>
          <w:sz w:val="16"/>
        </w:rPr>
        <w:t xml:space="preserve"> 2009). </w:t>
      </w:r>
      <w:r w:rsidRPr="002A3D8D">
        <w:rPr>
          <w:rStyle w:val="StyleUnderline"/>
        </w:rPr>
        <w:t>Despite this legal right, Mexico has implemented some of the toughest firearms regulations in the world</w:t>
      </w:r>
      <w:r w:rsidRPr="002A3D8D">
        <w:rPr>
          <w:sz w:val="16"/>
        </w:rPr>
        <w:t xml:space="preserve">, particularly since the late 1960s. Between 1968 and 1995, </w:t>
      </w:r>
      <w:r w:rsidRPr="002A3D8D">
        <w:rPr>
          <w:rStyle w:val="StyleUnderline"/>
        </w:rPr>
        <w:t xml:space="preserve">registration of all weapons was required, and, although compliance was low, all but </w:t>
      </w:r>
      <w:proofErr w:type="gramStart"/>
      <w:r w:rsidRPr="002A3D8D">
        <w:rPr>
          <w:rStyle w:val="StyleUnderline"/>
        </w:rPr>
        <w:t>one gun</w:t>
      </w:r>
      <w:proofErr w:type="gramEnd"/>
      <w:r w:rsidRPr="002A3D8D">
        <w:rPr>
          <w:rStyle w:val="StyleUnderline"/>
        </w:rPr>
        <w:t xml:space="preserve"> store was closed</w:t>
      </w:r>
      <w:r w:rsidRPr="002A3D8D">
        <w:rPr>
          <w:sz w:val="16"/>
        </w:rPr>
        <w:t xml:space="preserve"> (</w:t>
      </w:r>
      <w:proofErr w:type="spellStart"/>
      <w:r w:rsidRPr="002A3D8D">
        <w:rPr>
          <w:sz w:val="16"/>
        </w:rPr>
        <w:t>Kopel</w:t>
      </w:r>
      <w:proofErr w:type="spellEnd"/>
      <w:r w:rsidRPr="002A3D8D">
        <w:rPr>
          <w:sz w:val="16"/>
        </w:rPr>
        <w:t xml:space="preserve"> 2009). The store, the Directorate for Arms and Munitions Sales, is located in Mexico City and is run by the Mexican army in a “heavily guarded building near the army’s headquarters” (Hawley 2009). 18 </w:t>
      </w:r>
    </w:p>
    <w:p w:rsidR="009B2467" w:rsidRPr="002A3D8D" w:rsidRDefault="009B2467" w:rsidP="009B2467">
      <w:pPr>
        <w:rPr>
          <w:sz w:val="16"/>
        </w:rPr>
      </w:pPr>
      <w:r w:rsidRPr="002A3D8D">
        <w:rPr>
          <w:rStyle w:val="StyleUnderline"/>
        </w:rPr>
        <w:t xml:space="preserve">Because the demand is high and the legal supply is low, the illicit market is crucial for the cartels: “demand for guns has created an illicit market that not only is intimately related to the U.S. market for illegal narcotics but also, in many ways, mirrors the dynamics of that market. </w:t>
      </w:r>
      <w:r w:rsidRPr="002A3D8D">
        <w:rPr>
          <w:sz w:val="16"/>
        </w:rPr>
        <w:t xml:space="preserve">Drugs flow north and guns flow south—resulting in handsome profits for those willing to run the risks” (Burton and Stewart 2007). In other words, the trafficking of arms from the United States to Mexico has the potential of closely matching the value of the drugs moving in the opposite direction. Since access to firearms is so strictly controlled in Mexico, drug traffickers require a dependable source of weapons from outside the country. 19 These sources consist largely of the United States and supply networks south of Mexico. </w:t>
      </w:r>
    </w:p>
    <w:p w:rsidR="009B2467" w:rsidRPr="002A3D8D" w:rsidRDefault="009B2467" w:rsidP="009B2467">
      <w:pPr>
        <w:rPr>
          <w:sz w:val="16"/>
        </w:rPr>
      </w:pPr>
      <w:r w:rsidRPr="002A3D8D">
        <w:rPr>
          <w:sz w:val="16"/>
        </w:rPr>
        <w:t xml:space="preserve">Criminal sources from the United States range from an individual who obtains guns through family members living in the United States to large, complex organizations capable of buying hundreds of weapons at a time. Other options for illegally attaining weapons include document fraud and “straw buyers.” In other cases, gun dealers, government officials, or police officers are corrupt and will knowingly sell weapons to individuals who are not authorized to possess them. Guns are also purchased on the Mexican black market after being stolen, such as those taken from gun stores along the border by Gulf cartel-related groups (Burton and Stewart 2007). 20 </w:t>
      </w:r>
    </w:p>
    <w:p w:rsidR="009B2467" w:rsidRPr="002A3D8D" w:rsidRDefault="009B2467" w:rsidP="009B2467">
      <w:pPr>
        <w:rPr>
          <w:sz w:val="16"/>
        </w:rPr>
      </w:pPr>
      <w:r w:rsidRPr="002A3D8D">
        <w:rPr>
          <w:rStyle w:val="StyleUnderline"/>
        </w:rPr>
        <w:t xml:space="preserve">The </w:t>
      </w:r>
      <w:r w:rsidRPr="002A3D8D">
        <w:rPr>
          <w:rStyle w:val="Emphasis"/>
        </w:rPr>
        <w:t>United States has</w:t>
      </w:r>
      <w:r w:rsidRPr="002A3D8D">
        <w:rPr>
          <w:rStyle w:val="StyleUnderline"/>
        </w:rPr>
        <w:t xml:space="preserve"> also </w:t>
      </w:r>
      <w:r w:rsidRPr="002A3D8D">
        <w:rPr>
          <w:rStyle w:val="Emphasis"/>
        </w:rPr>
        <w:t>been the primary supplier</w:t>
      </w:r>
      <w:r w:rsidRPr="002A3D8D">
        <w:rPr>
          <w:rStyle w:val="StyleUnderline"/>
        </w:rPr>
        <w:t xml:space="preserve"> of these </w:t>
      </w:r>
      <w:r w:rsidRPr="002A3D8D">
        <w:rPr>
          <w:rStyle w:val="Emphasis"/>
        </w:rPr>
        <w:t>weapons legally imported into Mexico</w:t>
      </w:r>
      <w:r w:rsidRPr="002A3D8D">
        <w:rPr>
          <w:rStyle w:val="StyleUnderline"/>
        </w:rPr>
        <w:t>, such as those used by the Mexican military and police</w:t>
      </w:r>
      <w:r w:rsidRPr="002A3D8D">
        <w:rPr>
          <w:sz w:val="16"/>
        </w:rPr>
        <w:t xml:space="preserve">. Over the past seven years, it is estimated that over </w:t>
      </w:r>
      <w:r w:rsidRPr="002A3D8D">
        <w:rPr>
          <w:rStyle w:val="StyleUnderline"/>
        </w:rPr>
        <w:t>100,000 soldiers have deserted the Mexican army, many of whom “took their weapons with them and joined the cartels</w:t>
      </w:r>
      <w:proofErr w:type="gramStart"/>
      <w:r w:rsidRPr="002A3D8D">
        <w:rPr>
          <w:sz w:val="16"/>
        </w:rPr>
        <w:t>. . . .</w:t>
      </w:r>
      <w:proofErr w:type="gramEnd"/>
      <w:r w:rsidRPr="002A3D8D">
        <w:rPr>
          <w:sz w:val="16"/>
        </w:rPr>
        <w:t xml:space="preserve"> Thousands of advanced weapons and tons of military equipment [have been] stolen from its own military and state police” (Tancredo 2009). In addition, weapons are available “from contacts along their supply networks in South and Central America, where substantial quantities of military and ordnance have been shipped over decades to supply insurgencies and counterinsurgencies” (Burton and Stewart 2007).</w:t>
      </w:r>
    </w:p>
    <w:p w:rsidR="009B2467" w:rsidRPr="002A3D8D" w:rsidRDefault="009B2467" w:rsidP="009B2467">
      <w:pPr>
        <w:rPr>
          <w:rStyle w:val="Emphasis"/>
        </w:rPr>
      </w:pPr>
      <w:r w:rsidRPr="002A3D8D">
        <w:rPr>
          <w:rStyle w:val="StyleUnderline"/>
        </w:rPr>
        <w:t>In 2005, the United States legally exported almost $50 million worth of weapons to Latin America</w:t>
      </w:r>
      <w:r w:rsidRPr="002A3D8D">
        <w:rPr>
          <w:sz w:val="16"/>
        </w:rPr>
        <w:t>. In addition, “</w:t>
      </w:r>
      <w:r w:rsidRPr="002A3D8D">
        <w:rPr>
          <w:rStyle w:val="Emphasis"/>
        </w:rPr>
        <w:t>small arms flooded Latin America during the Cold War</w:t>
      </w:r>
      <w:r w:rsidRPr="002A3D8D">
        <w:rPr>
          <w:rStyle w:val="StyleUnderline"/>
        </w:rPr>
        <w:t>, most significantly during the Central American civil wars of the 1980s</w:t>
      </w:r>
      <w:r w:rsidRPr="002A3D8D">
        <w:rPr>
          <w:sz w:val="16"/>
        </w:rPr>
        <w:t>” (</w:t>
      </w:r>
      <w:proofErr w:type="spellStart"/>
      <w:r w:rsidRPr="002A3D8D">
        <w:rPr>
          <w:sz w:val="16"/>
        </w:rPr>
        <w:t>Stohl</w:t>
      </w:r>
      <w:proofErr w:type="spellEnd"/>
      <w:r w:rsidRPr="002A3D8D">
        <w:rPr>
          <w:sz w:val="16"/>
        </w:rPr>
        <w:t xml:space="preserve"> and Tuttle 2009). </w:t>
      </w:r>
      <w:r w:rsidRPr="002A3D8D">
        <w:rPr>
          <w:rStyle w:val="Emphasis"/>
        </w:rPr>
        <w:t xml:space="preserve">These weapons last longer than their original purposes require and can still be traced as having origins in the United States. </w:t>
      </w:r>
    </w:p>
    <w:p w:rsidR="009B2467" w:rsidRPr="002A3D8D" w:rsidRDefault="009B2467" w:rsidP="009B2467">
      <w:pPr>
        <w:rPr>
          <w:sz w:val="16"/>
        </w:rPr>
      </w:pPr>
      <w:r w:rsidRPr="002A3D8D">
        <w:rPr>
          <w:sz w:val="16"/>
        </w:rPr>
        <w:t xml:space="preserve">High-powered weapons are a different story, as they are not available through U.S. “straw buyers” or legally provided to Mexico. The majority of fully automatic weapons cannot be found in the United States, but they are not uncommon in developing countries. </w:t>
      </w:r>
      <w:r w:rsidRPr="002A3D8D">
        <w:rPr>
          <w:sz w:val="16"/>
        </w:rPr>
        <w:lastRenderedPageBreak/>
        <w:t xml:space="preserve">It is argued that “weapons are smuggled across [Mexico’s] southern borders from Guatemala and by boats landing on its 8,000 miles of coastline, weapons that often originate in Venezuela, Colombia, and Nicaragua, or from purchases in Eastern Europe” (Tancredo 2009). For instance, the 2,239 grenades and the rocket-propelled grenades (RPGs) seized in the last two years are not available in U.S. gun shops. </w:t>
      </w:r>
    </w:p>
    <w:p w:rsidR="009B2467" w:rsidRPr="002A3D8D" w:rsidRDefault="009B2467" w:rsidP="009B2467">
      <w:pPr>
        <w:rPr>
          <w:rStyle w:val="StyleUnderline"/>
        </w:rPr>
      </w:pPr>
      <w:r w:rsidRPr="002A3D8D">
        <w:rPr>
          <w:rStyle w:val="StyleUnderline"/>
        </w:rPr>
        <w:t xml:space="preserve">While the trafficking in guns may seem a long way from the </w:t>
      </w:r>
      <w:r w:rsidRPr="006C44F1">
        <w:rPr>
          <w:rStyle w:val="Emphasis"/>
        </w:rPr>
        <w:t xml:space="preserve">femicide </w:t>
      </w:r>
      <w:r w:rsidRPr="002A3D8D">
        <w:rPr>
          <w:rStyle w:val="StyleUnderline"/>
        </w:rPr>
        <w:t>in Ciudad Juárez, it has roughly the same importance as the drug trade, but in reverse.</w:t>
      </w:r>
      <w:r w:rsidRPr="002A3D8D">
        <w:rPr>
          <w:sz w:val="16"/>
        </w:rPr>
        <w:t xml:space="preserve"> Drugs go north; guns go south. Both commodities bring an unusually high price due to a limited supply and an enormous demand. As the supply is reduced, the price goes up, and the willingness of illegal traffickers to take risks increases (Burton and Stewart 2007). </w:t>
      </w:r>
      <w:r w:rsidRPr="002A3D8D">
        <w:rPr>
          <w:rStyle w:val="StyleUnderline"/>
        </w:rPr>
        <w:t>In a border characterized by high risk behavior, th</w:t>
      </w:r>
      <w:r w:rsidRPr="002A3D8D">
        <w:rPr>
          <w:rStyle w:val="Emphasis"/>
        </w:rPr>
        <w:t xml:space="preserve">e murders of young women </w:t>
      </w:r>
      <w:r w:rsidRPr="002A3D8D">
        <w:rPr>
          <w:rStyle w:val="StyleUnderline"/>
        </w:rPr>
        <w:t xml:space="preserve">that began in 1993 </w:t>
      </w:r>
      <w:r w:rsidRPr="002A3D8D">
        <w:rPr>
          <w:rStyle w:val="Emphasis"/>
        </w:rPr>
        <w:t>marked the beginning of</w:t>
      </w:r>
      <w:r w:rsidRPr="002A3D8D">
        <w:rPr>
          <w:rStyle w:val="StyleUnderline"/>
        </w:rPr>
        <w:t xml:space="preserve"> what was to become </w:t>
      </w:r>
      <w:r w:rsidRPr="002A3D8D">
        <w:rPr>
          <w:rStyle w:val="Emphasis"/>
        </w:rPr>
        <w:t>a national crisis</w:t>
      </w:r>
      <w:r w:rsidRPr="002A3D8D">
        <w:rPr>
          <w:rStyle w:val="StyleUnderline"/>
        </w:rPr>
        <w:t>.</w:t>
      </w:r>
    </w:p>
    <w:p w:rsidR="006C44F1" w:rsidRDefault="006C44F1" w:rsidP="006C44F1">
      <w:pPr>
        <w:pStyle w:val="Heading4"/>
      </w:pPr>
      <w:r>
        <w:t xml:space="preserve">The Mexican government distributes U.S.-sold weapons to local police and military forces, which are used for massive </w:t>
      </w:r>
      <w:r w:rsidRPr="006C44F1">
        <w:rPr>
          <w:u w:val="single"/>
        </w:rPr>
        <w:t>human rights violations</w:t>
      </w:r>
    </w:p>
    <w:p w:rsidR="006C44F1" w:rsidRPr="00FA66AB" w:rsidRDefault="006C44F1" w:rsidP="006C44F1">
      <w:pPr>
        <w:rPr>
          <w:b/>
          <w:sz w:val="26"/>
        </w:rPr>
      </w:pPr>
      <w:r>
        <w:rPr>
          <w:rStyle w:val="Style13ptBold"/>
        </w:rPr>
        <w:t xml:space="preserve">Lindsay-Poland 18 </w:t>
      </w:r>
      <w:r>
        <w:t xml:space="preserve">(John, </w:t>
      </w:r>
      <w:r w:rsidRPr="009A77CB">
        <w:t>writer, activist, researcher and analyst focused on human rights and demilitarization for 30 years,  former coordinator of the Task Force on Latin America and the Caribbean for Fellowship of Reconciliation, Peace Brigades International, founder of the Stop US Arms to Mexico project,</w:t>
      </w:r>
      <w:r>
        <w:t xml:space="preserve"> 4-26, “How U.S. Guns Sold to Mexico End Up With Security Forces Accused of Crime and Human Rights Abuses” </w:t>
      </w:r>
      <w:hyperlink r:id="rId10" w:history="1">
        <w:r>
          <w:rPr>
            <w:rStyle w:val="Hyperlink"/>
            <w:rFonts w:eastAsiaTheme="majorEastAsia"/>
          </w:rPr>
          <w:t>https://theintercept.com/2018/04/26/mexico-arms-trade-us-gun-sales/</w:t>
        </w:r>
      </w:hyperlink>
      <w:r>
        <w:t>) IK</w:t>
      </w:r>
    </w:p>
    <w:p w:rsidR="002660AF" w:rsidRPr="00E644EB" w:rsidRDefault="006C44F1" w:rsidP="002660AF">
      <w:pPr>
        <w:rPr>
          <w:color w:val="444444"/>
          <w:spacing w:val="2"/>
          <w:sz w:val="16"/>
          <w:szCs w:val="30"/>
        </w:rPr>
      </w:pPr>
      <w:r w:rsidRPr="00D572A9">
        <w:rPr>
          <w:rStyle w:val="StyleUnderline"/>
        </w:rPr>
        <w:t>The Mexican military is the only legal importer of firearms into Mexico. In turn, the Mexican army is the only legal distributor of guns within the country; personal possession of firearms is highly restricted, with a single military-run retail store for gun sales in Mexico City. Aside from the weapons that the military acquires for its own forces, most legally imported guns in Mexico are sold to state and local police forces.</w:t>
      </w:r>
      <w:r w:rsidRPr="00522595">
        <w:rPr>
          <w:color w:val="444444"/>
          <w:spacing w:val="2"/>
          <w:sz w:val="16"/>
          <w:szCs w:val="30"/>
        </w:rPr>
        <w:t xml:space="preserve"> </w:t>
      </w:r>
      <w:r w:rsidRPr="00522595">
        <w:rPr>
          <w:sz w:val="16"/>
        </w:rPr>
        <w:t>More than half of the 305,086 guns sold by the Mexican Secretariat of National Defense – which includes the army and air force and is known by its Spanish acronym SEDENA — from 2010 through 2016 were sold to police, according to documents released by SEDENA in response to a public records request.</w:t>
      </w:r>
      <w:r w:rsidRPr="00522595">
        <w:rPr>
          <w:color w:val="444444"/>
          <w:spacing w:val="2"/>
          <w:sz w:val="16"/>
          <w:szCs w:val="30"/>
        </w:rPr>
        <w:t xml:space="preserve"> </w:t>
      </w:r>
      <w:r w:rsidRPr="00D572A9">
        <w:rPr>
          <w:rStyle w:val="StyleUnderline"/>
        </w:rPr>
        <w:t>Since criminal organizations arm themselves with U.S. assault weapons illegally trafficked from the U.S. retail market, legal exports to police and the military are part of a deadly arms race with these organizations. More than 20,000 firearms obtained by Mexican state and federal police went missing or were stolen from 2006 to 2017</w:t>
      </w:r>
      <w:r w:rsidRPr="00522595">
        <w:rPr>
          <w:color w:val="444444"/>
          <w:spacing w:val="2"/>
          <w:sz w:val="16"/>
          <w:szCs w:val="30"/>
        </w:rPr>
        <w:t xml:space="preserve">, </w:t>
      </w:r>
      <w:r w:rsidRPr="00522595">
        <w:rPr>
          <w:sz w:val="16"/>
        </w:rPr>
        <w:t xml:space="preserve">according to SEDENA data. More than 7,000 of the weapons went missing from police in Mexico City and Mexico state. In the state of Guerrero, the number of guns gone missing or stolen between 2010 and 2016 amounts to nearly one-fifth of the firearms police acquired in the state during the same </w:t>
      </w:r>
      <w:proofErr w:type="spellStart"/>
      <w:r w:rsidRPr="00522595">
        <w:rPr>
          <w:sz w:val="16"/>
        </w:rPr>
        <w:t>period.</w:t>
      </w:r>
      <w:r w:rsidRPr="00D572A9">
        <w:rPr>
          <w:rStyle w:val="StyleUnderline"/>
        </w:rPr>
        <w:t>There</w:t>
      </w:r>
      <w:proofErr w:type="spellEnd"/>
      <w:r w:rsidRPr="00D572A9">
        <w:rPr>
          <w:rStyle w:val="StyleUnderline"/>
        </w:rPr>
        <w:t xml:space="preserve"> is also evidence that </w:t>
      </w:r>
      <w:r w:rsidRPr="00522595">
        <w:rPr>
          <w:rStyle w:val="Emphasis"/>
        </w:rPr>
        <w:t>firearms legally imported</w:t>
      </w:r>
      <w:r w:rsidRPr="00D572A9">
        <w:rPr>
          <w:rStyle w:val="StyleUnderline"/>
        </w:rPr>
        <w:t xml:space="preserve"> from the United States have been used in some of the worst human rights violations in Mexico in recent years. The local police who attacked the 43 </w:t>
      </w:r>
      <w:proofErr w:type="spellStart"/>
      <w:r w:rsidRPr="00D572A9">
        <w:rPr>
          <w:rStyle w:val="StyleUnderline"/>
        </w:rPr>
        <w:t>Ayotzinapa</w:t>
      </w:r>
      <w:proofErr w:type="spellEnd"/>
      <w:r w:rsidRPr="00D572A9">
        <w:rPr>
          <w:rStyle w:val="StyleUnderline"/>
        </w:rPr>
        <w:t xml:space="preserve"> students </w:t>
      </w:r>
      <w:r>
        <w:fldChar w:fldCharType="begin"/>
      </w:r>
      <w:r>
        <w:instrText xml:space="preserve"> HYPERLINK "https://www.afsc.org/resource/report-where-guns-go" </w:instrText>
      </w:r>
      <w:r>
        <w:fldChar w:fldCharType="separate"/>
      </w:r>
      <w:r w:rsidRPr="00D572A9">
        <w:rPr>
          <w:rStyle w:val="StyleUnderline"/>
        </w:rPr>
        <w:t>were armed with AR6530 rifles</w:t>
      </w:r>
      <w:r>
        <w:rPr>
          <w:rStyle w:val="StyleUnderline"/>
        </w:rPr>
        <w:fldChar w:fldCharType="end"/>
      </w:r>
      <w:r w:rsidRPr="00D572A9">
        <w:rPr>
          <w:rStyle w:val="StyleUnderline"/>
        </w:rPr>
        <w:t>, a model variant of the AR-15, legally supplied through licensed shipments</w:t>
      </w:r>
      <w:r w:rsidRPr="00522595">
        <w:rPr>
          <w:sz w:val="16"/>
        </w:rPr>
        <w:t xml:space="preserve"> from Colt, according to documents in the judicial record.</w:t>
      </w:r>
      <w:r w:rsidRPr="00522595">
        <w:rPr>
          <w:color w:val="444444"/>
          <w:spacing w:val="2"/>
          <w:sz w:val="16"/>
          <w:szCs w:val="30"/>
        </w:rPr>
        <w:t xml:space="preserve"> </w:t>
      </w:r>
      <w:r w:rsidRPr="00522595">
        <w:rPr>
          <w:sz w:val="16"/>
        </w:rPr>
        <w:t xml:space="preserve">An investigation by Mexico’s National Human Rights Commission found that Federal Police, who carried out the massacre of 22 persons in </w:t>
      </w:r>
      <w:proofErr w:type="spellStart"/>
      <w:r w:rsidRPr="00522595">
        <w:rPr>
          <w:sz w:val="16"/>
        </w:rPr>
        <w:t>Tanhuato</w:t>
      </w:r>
      <w:proofErr w:type="spellEnd"/>
      <w:r w:rsidRPr="00522595">
        <w:rPr>
          <w:sz w:val="16"/>
        </w:rPr>
        <w:t>, Michoacán, in 2015, killed five of them with Dillon Aero guns mounted on Black Hawk helicopters. The Dillon guns fire some 125 rounds per second, and Mexico obtained 16 of them for the army </w:t>
      </w:r>
      <w:hyperlink r:id="rId11" w:history="1">
        <w:r w:rsidRPr="00522595">
          <w:rPr>
            <w:rStyle w:val="Hyperlink"/>
            <w:sz w:val="16"/>
          </w:rPr>
          <w:t>in 2013</w:t>
        </w:r>
      </w:hyperlink>
      <w:r w:rsidRPr="00522595">
        <w:rPr>
          <w:sz w:val="16"/>
        </w:rPr>
        <w:t>, for just over $1 million, and then another 12 in 2015, according to Mexico’s </w:t>
      </w:r>
      <w:hyperlink r:id="rId12" w:history="1">
        <w:r w:rsidRPr="00522595">
          <w:rPr>
            <w:rStyle w:val="Hyperlink"/>
            <w:sz w:val="16"/>
          </w:rPr>
          <w:t>most recent Arms Trade Treaty report</w:t>
        </w:r>
      </w:hyperlink>
      <w:r w:rsidRPr="00522595">
        <w:rPr>
          <w:sz w:val="16"/>
        </w:rPr>
        <w:t>.</w:t>
      </w:r>
      <w:r w:rsidRPr="00522595">
        <w:rPr>
          <w:color w:val="444444"/>
          <w:spacing w:val="2"/>
          <w:sz w:val="16"/>
          <w:szCs w:val="30"/>
        </w:rPr>
        <w:t xml:space="preserve"> </w:t>
      </w:r>
      <w:r w:rsidRPr="00522595">
        <w:rPr>
          <w:sz w:val="16"/>
        </w:rPr>
        <w:t xml:space="preserve">These are unusual </w:t>
      </w:r>
      <w:proofErr w:type="gramStart"/>
      <w:r w:rsidRPr="00522595">
        <w:rPr>
          <w:sz w:val="16"/>
        </w:rPr>
        <w:t>cases,</w:t>
      </w:r>
      <w:proofErr w:type="gramEnd"/>
      <w:r w:rsidRPr="00522595">
        <w:rPr>
          <w:sz w:val="16"/>
        </w:rPr>
        <w:t xml:space="preserve"> in that we know which weapons were involved. Most homicides in Mexico — including those carried out by state forces — are never investigated, so there is no judicial record identifying the firearms that were used. But </w:t>
      </w:r>
      <w:r w:rsidRPr="00D572A9">
        <w:rPr>
          <w:rStyle w:val="StyleUnderline"/>
        </w:rPr>
        <w:t>the volume of U.S. firearms going to Mexico, combined with the well-established record of police and military forces colluding with organized crime and committing gross human rights violations, means that U.S. guns are certainly at the scene of many more crimes.</w:t>
      </w:r>
      <w:r w:rsidRPr="00522595">
        <w:rPr>
          <w:rStyle w:val="StyleUnderline"/>
          <w:color w:val="444444"/>
          <w:spacing w:val="2"/>
          <w:sz w:val="16"/>
          <w:szCs w:val="30"/>
          <w:u w:val="none"/>
        </w:rPr>
        <w:t xml:space="preserve"> </w:t>
      </w:r>
      <w:r w:rsidRPr="00522595">
        <w:rPr>
          <w:sz w:val="16"/>
        </w:rPr>
        <w:t xml:space="preserve">The example of U.S. gun producer Sig Sauer is instructive as to how guns move from the military to police. In April 2015, </w:t>
      </w:r>
      <w:r w:rsidRPr="00A6285A">
        <w:rPr>
          <w:rStyle w:val="StyleUnderline"/>
        </w:rPr>
        <w:t xml:space="preserve">the U.S. State Department issued a $266 million license to Sig Sauer: $265 million for </w:t>
      </w:r>
      <w:r w:rsidRPr="00A6285A">
        <w:rPr>
          <w:rStyle w:val="StyleUnderline"/>
        </w:rPr>
        <w:lastRenderedPageBreak/>
        <w:t>gun sales, and $1 million for other equipment and technical support to the Mexican navy, defense ministry, interior ministry, and federal and state police forces. That year,</w:t>
      </w:r>
      <w:r w:rsidRPr="00522595">
        <w:rPr>
          <w:sz w:val="16"/>
        </w:rPr>
        <w:t xml:space="preserve"> </w:t>
      </w:r>
      <w:r w:rsidRPr="00A6285A">
        <w:rPr>
          <w:rStyle w:val="StyleUnderline"/>
        </w:rPr>
        <w:t>Mexico imported 3,060 rifles, 3,819 pistols, and 505 machines gun</w:t>
      </w:r>
      <w:r w:rsidRPr="00522595">
        <w:rPr>
          <w:sz w:val="16"/>
        </w:rPr>
        <w:t>s produced by Sig Sauer’s New Hampshire production facilities. The </w:t>
      </w:r>
      <w:hyperlink r:id="rId13" w:history="1">
        <w:r w:rsidRPr="00522595">
          <w:rPr>
            <w:rStyle w:val="Hyperlink"/>
            <w:sz w:val="16"/>
          </w:rPr>
          <w:t>license</w:t>
        </w:r>
      </w:hyperlink>
      <w:r w:rsidRPr="00522595">
        <w:rPr>
          <w:sz w:val="16"/>
        </w:rPr>
        <w:t> also permits the Mexican navy to assemble Sig Sauer MPX submachine guns, </w:t>
      </w:r>
      <w:hyperlink r:id="rId14" w:history="1">
        <w:r w:rsidRPr="00522595">
          <w:rPr>
            <w:rStyle w:val="Hyperlink"/>
            <w:sz w:val="16"/>
          </w:rPr>
          <w:t>capable of firing 850 rounds a minute</w:t>
        </w:r>
      </w:hyperlink>
      <w:r w:rsidRPr="00522595">
        <w:rPr>
          <w:sz w:val="16"/>
        </w:rPr>
        <w:t>, from “kits” made of parts produced by the company. All told, as of January, $29.3 million in guns and gun parts had been exported from Sig Sauer and other New Hampshire manufacturers to Mexico since April 2015, according to Census Bureau trade records — meaning that Sig Sauer has at least $235 million left in sales to make before its license expires in 2024.</w:t>
      </w:r>
      <w:r w:rsidRPr="00A6285A">
        <w:rPr>
          <w:rStyle w:val="StyleUnderline"/>
        </w:rPr>
        <w:t>Since 2014, the Mexican military has sold 1,400 U.S.-produced Sig Sauer firearms to police in 18 Mexican states, including states where there is an extensive record of collusion with organized crime.</w:t>
      </w:r>
      <w:r w:rsidRPr="00522595">
        <w:rPr>
          <w:rStyle w:val="StyleUnderline"/>
          <w:color w:val="444444"/>
          <w:spacing w:val="2"/>
          <w:sz w:val="16"/>
          <w:szCs w:val="30"/>
          <w:u w:val="none"/>
        </w:rPr>
        <w:t xml:space="preserve"> </w:t>
      </w:r>
      <w:r w:rsidRPr="00522595">
        <w:rPr>
          <w:sz w:val="16"/>
        </w:rPr>
        <w:t xml:space="preserve">On its end, since 2014, the Mexican military has sold 1,400 U.S.-produced Sig Sauer firearms to police in 18 Mexican states, including states where there is an extensive record of collusion with organized crime, such as Tamaulipas, Michoacán, and Chihuahua, SEDENA records show. </w:t>
      </w:r>
      <w:r w:rsidRPr="00A6285A">
        <w:rPr>
          <w:rStyle w:val="StyleUnderline"/>
        </w:rPr>
        <w:t>State authorities also distribute these weapons to local police</w:t>
      </w:r>
      <w:r w:rsidRPr="00522595">
        <w:rPr>
          <w:sz w:val="16"/>
        </w:rPr>
        <w:t>; in the state of Mexico, for example, Sig Sauer weapons were sold to police in five municipalities, while Colt weapons went to three other municipalities, as well as state police, according to a state police document.</w:t>
      </w:r>
      <w:r w:rsidRPr="00522595">
        <w:rPr>
          <w:color w:val="444444"/>
          <w:spacing w:val="2"/>
          <w:sz w:val="16"/>
          <w:szCs w:val="30"/>
        </w:rPr>
        <w:t xml:space="preserve"> </w:t>
      </w:r>
      <w:r w:rsidRPr="00522595">
        <w:rPr>
          <w:sz w:val="16"/>
        </w:rPr>
        <w:t xml:space="preserve">According to data recently released by the Mexican military, other U.S. gun producers that have exported thousands of firearms each to Mexico for use by the police or private individuals include: Colt, Bushmaster, Mossberg, Smith &amp; Wesson, DS Arms, Remington, and Browning. The Mexican military has also purchased military weapons from U.S. producers </w:t>
      </w:r>
      <w:proofErr w:type="spellStart"/>
      <w:r w:rsidRPr="00522595">
        <w:rPr>
          <w:sz w:val="16"/>
        </w:rPr>
        <w:t>Nammo</w:t>
      </w:r>
      <w:proofErr w:type="spellEnd"/>
      <w:r w:rsidRPr="00522595">
        <w:rPr>
          <w:sz w:val="16"/>
        </w:rPr>
        <w:t xml:space="preserve"> Talley, Barrett Firearms, and Knight Armament Company since 2014.</w:t>
      </w:r>
      <w:r w:rsidRPr="00A6285A">
        <w:rPr>
          <w:rStyle w:val="StyleUnderline"/>
        </w:rPr>
        <w:t xml:space="preserve"> In Veracruz, the police responsible for </w:t>
      </w:r>
      <w:hyperlink r:id="rId15" w:history="1">
        <w:r w:rsidRPr="00A6285A">
          <w:rPr>
            <w:rStyle w:val="StyleUnderline"/>
          </w:rPr>
          <w:t>at least 15 death squad murders</w:t>
        </w:r>
      </w:hyperlink>
      <w:r w:rsidRPr="00A6285A">
        <w:rPr>
          <w:rStyle w:val="StyleUnderline"/>
        </w:rPr>
        <w:t> purchased, since 2013, at least 674 firearms exported by three U.S. arms companies</w:t>
      </w:r>
      <w:r w:rsidRPr="00522595">
        <w:rPr>
          <w:sz w:val="16"/>
        </w:rPr>
        <w:t>: Colt, Bushmaster, and Combined Systems, according to the Veracruz public security secretariat. Local police in Veracruz also obtained weapons from Sig Sauer and Connecticut-based Mossberg.</w:t>
      </w:r>
      <w:r w:rsidRPr="00522595">
        <w:rPr>
          <w:color w:val="444444"/>
          <w:spacing w:val="2"/>
          <w:sz w:val="16"/>
          <w:szCs w:val="30"/>
        </w:rPr>
        <w:t xml:space="preserve"> </w:t>
      </w:r>
      <w:r w:rsidRPr="00522595">
        <w:rPr>
          <w:sz w:val="16"/>
        </w:rPr>
        <w:t>Beyond guns, U.S. Census Bureau trade data show that</w:t>
      </w:r>
      <w:r w:rsidRPr="00A6285A">
        <w:rPr>
          <w:rStyle w:val="StyleUnderline"/>
        </w:rPr>
        <w:t xml:space="preserve"> just over $8.3 million in military explosives were delivered to Mexico from Arizona in September and October 2017</w:t>
      </w:r>
      <w:r w:rsidRPr="00522595">
        <w:rPr>
          <w:sz w:val="16"/>
        </w:rPr>
        <w:t xml:space="preserve">, more than in any year in the last decade for all states combined. (In all of 2016, military explosives exported from the entire United States to Mexico amounted to less than $800,000.) The Census records do not indicate which company exported the explosives. In addition, </w:t>
      </w:r>
      <w:proofErr w:type="spellStart"/>
      <w:r w:rsidRPr="00522595">
        <w:rPr>
          <w:sz w:val="16"/>
        </w:rPr>
        <w:t>Milkor</w:t>
      </w:r>
      <w:proofErr w:type="spellEnd"/>
      <w:r w:rsidRPr="00522595">
        <w:rPr>
          <w:sz w:val="16"/>
        </w:rPr>
        <w:t xml:space="preserve"> USA, based in Tucson, sold M32A1 grenade launchers </w:t>
      </w:r>
      <w:hyperlink r:id="rId16" w:history="1">
        <w:r w:rsidRPr="00522595">
          <w:rPr>
            <w:rStyle w:val="Hyperlink"/>
            <w:sz w:val="16"/>
          </w:rPr>
          <w:t>used by the Mexican military special forces</w:t>
        </w:r>
      </w:hyperlink>
      <w:r w:rsidRPr="00522595">
        <w:rPr>
          <w:sz w:val="16"/>
        </w:rPr>
        <w:t>. In 2017, more than $5 million worth of grenade launchers were exported to Mexico from Texas alone.</w:t>
      </w:r>
      <w:r w:rsidRPr="00522595">
        <w:rPr>
          <w:color w:val="444444"/>
          <w:spacing w:val="2"/>
          <w:sz w:val="16"/>
          <w:szCs w:val="30"/>
        </w:rPr>
        <w:t xml:space="preserve"> </w:t>
      </w:r>
      <w:r w:rsidRPr="00A6285A">
        <w:rPr>
          <w:rStyle w:val="StyleUnderline"/>
        </w:rPr>
        <w:t>The permissive U.S. attitude toward gun exports has prompted several gun producers based in the European Union to beef up production in the United States, thus evading EU restrictions on arms sales to countries with widespread violence or human rights violations.</w:t>
      </w:r>
      <w:r w:rsidRPr="00522595">
        <w:rPr>
          <w:sz w:val="16"/>
        </w:rPr>
        <w:t xml:space="preserve"> Sig Sauer, for instance, whose parent company is in Germany, more than quadrupled global exports from the United States between 2009 and 2016, according to data from the Bureau of Alcohol, Tobacco and Firearms. (Germany stopped approving licenses for gun exports to Mexico after 2010.) Beretta (Italy) and Glock (Austria) produce guns in Tennessee and Georgia, respectively, and are the two brands that Mexico has imported in the largest numbers since 2007, per SEDENA records. The State Department </w:t>
      </w:r>
      <w:hyperlink r:id="rId17" w:history="1">
        <w:r w:rsidRPr="00522595">
          <w:rPr>
            <w:rStyle w:val="Hyperlink"/>
            <w:sz w:val="16"/>
          </w:rPr>
          <w:t xml:space="preserve">in February 2016 </w:t>
        </w:r>
        <w:proofErr w:type="spellStart"/>
        <w:r w:rsidRPr="00522595">
          <w:rPr>
            <w:rStyle w:val="Hyperlink"/>
            <w:sz w:val="16"/>
          </w:rPr>
          <w:t>issued</w:t>
        </w:r>
      </w:hyperlink>
      <w:r w:rsidRPr="00522595">
        <w:rPr>
          <w:sz w:val="16"/>
        </w:rPr>
        <w:t>a</w:t>
      </w:r>
      <w:proofErr w:type="spellEnd"/>
      <w:r w:rsidRPr="00522595">
        <w:rPr>
          <w:sz w:val="16"/>
        </w:rPr>
        <w:t xml:space="preserve"> license to Glock to export more than 11,000 9mm and .45 caliber pistols from its Smyrna, Georgia, facility for re-sale to Mexican police.</w:t>
      </w:r>
    </w:p>
    <w:p w:rsidR="002660AF" w:rsidRPr="002660AF" w:rsidRDefault="0026405A" w:rsidP="0026405A">
      <w:pPr>
        <w:pStyle w:val="Heading4"/>
      </w:pPr>
      <w:r>
        <w:t>The plan solves:</w:t>
      </w:r>
    </w:p>
    <w:p w:rsidR="006E177F" w:rsidRPr="00676953" w:rsidRDefault="006E177F" w:rsidP="0026405A">
      <w:pPr>
        <w:pStyle w:val="Heading4"/>
        <w:numPr>
          <w:ilvl w:val="0"/>
          <w:numId w:val="13"/>
        </w:numPr>
        <w:rPr>
          <w:rFonts w:asciiTheme="majorHAnsi" w:hAnsiTheme="majorHAnsi" w:cstheme="majorHAnsi"/>
        </w:rPr>
      </w:pPr>
      <w:r>
        <w:rPr>
          <w:rFonts w:asciiTheme="majorHAnsi" w:hAnsiTheme="majorHAnsi" w:cstheme="majorHAnsi"/>
        </w:rPr>
        <w:t xml:space="preserve">Addressing the </w:t>
      </w:r>
      <w:r w:rsidRPr="006E177F">
        <w:rPr>
          <w:rFonts w:asciiTheme="majorHAnsi" w:hAnsiTheme="majorHAnsi" w:cstheme="majorHAnsi"/>
          <w:u w:val="single"/>
        </w:rPr>
        <w:t>legal flow</w:t>
      </w:r>
      <w:r>
        <w:rPr>
          <w:rFonts w:asciiTheme="majorHAnsi" w:hAnsiTheme="majorHAnsi" w:cstheme="majorHAnsi"/>
        </w:rPr>
        <w:t xml:space="preserve"> of weaponry is key</w:t>
      </w:r>
    </w:p>
    <w:p w:rsidR="006E177F" w:rsidRPr="00676953" w:rsidRDefault="006E177F" w:rsidP="006E177F">
      <w:pPr>
        <w:rPr>
          <w:rStyle w:val="Style13ptBold"/>
          <w:rFonts w:asciiTheme="majorHAnsi" w:hAnsiTheme="majorHAnsi" w:cstheme="majorHAnsi"/>
        </w:rPr>
      </w:pPr>
      <w:r w:rsidRPr="00676953">
        <w:rPr>
          <w:rStyle w:val="Style13ptBold"/>
          <w:rFonts w:asciiTheme="majorHAnsi" w:hAnsiTheme="majorHAnsi" w:cstheme="majorHAnsi"/>
        </w:rPr>
        <w:t>Lindsay-Poland 16</w:t>
      </w:r>
    </w:p>
    <w:p w:rsidR="006E177F" w:rsidRPr="00676953" w:rsidRDefault="006E177F" w:rsidP="006E177F">
      <w:pPr>
        <w:rPr>
          <w:rStyle w:val="Style13ptBold"/>
          <w:rFonts w:asciiTheme="majorHAnsi" w:hAnsiTheme="majorHAnsi" w:cstheme="majorHAnsi"/>
          <w:sz w:val="20"/>
          <w:szCs w:val="20"/>
        </w:rPr>
      </w:pPr>
      <w:r w:rsidRPr="00676953">
        <w:rPr>
          <w:rStyle w:val="Style13ptBold"/>
          <w:rFonts w:asciiTheme="majorHAnsi" w:hAnsiTheme="majorHAnsi" w:cstheme="majorHAnsi"/>
          <w:sz w:val="20"/>
          <w:szCs w:val="20"/>
        </w:rPr>
        <w:t xml:space="preserve">(John Lindsay-Poland is the Wage Peace Coordinator for AFSC’s San Francisco office. He has written about, researched and organized action for human rights and demilitarization of U.S. policy, especially in Latin America, for more than 30 years., 5-31-2016, "A border wall against U.S. weapons?," American Friends Service Committee, </w:t>
      </w:r>
      <w:hyperlink r:id="rId18" w:history="1">
        <w:r w:rsidRPr="00676953">
          <w:rPr>
            <w:rStyle w:val="Style13ptBold"/>
            <w:rFonts w:asciiTheme="majorHAnsi" w:hAnsiTheme="majorHAnsi" w:cstheme="majorHAnsi"/>
            <w:sz w:val="20"/>
            <w:szCs w:val="20"/>
          </w:rPr>
          <w:t>https://www.afsc.org/blogs/mexico-arm-sales</w:t>
        </w:r>
      </w:hyperlink>
      <w:r w:rsidRPr="00676953">
        <w:rPr>
          <w:rStyle w:val="Style13ptBold"/>
          <w:rFonts w:asciiTheme="majorHAnsi" w:hAnsiTheme="majorHAnsi" w:cstheme="majorHAnsi"/>
          <w:sz w:val="20"/>
          <w:szCs w:val="20"/>
        </w:rPr>
        <w:t>, JKS)</w:t>
      </w:r>
    </w:p>
    <w:p w:rsidR="006E177F" w:rsidRDefault="006E177F" w:rsidP="006E177F">
      <w:pPr>
        <w:rPr>
          <w:rFonts w:asciiTheme="majorHAnsi" w:hAnsiTheme="majorHAnsi" w:cstheme="majorHAnsi"/>
          <w:sz w:val="14"/>
        </w:rPr>
      </w:pPr>
      <w:r w:rsidRPr="00D63EFF">
        <w:rPr>
          <w:rStyle w:val="StyleUnderline"/>
        </w:rPr>
        <w:t xml:space="preserve">The U.S. must address the flow of </w:t>
      </w:r>
      <w:r w:rsidRPr="00EF4204">
        <w:rPr>
          <w:rStyle w:val="Emphasis"/>
        </w:rPr>
        <w:t>legal weaponry</w:t>
      </w:r>
      <w:r w:rsidRPr="00D63EFF">
        <w:rPr>
          <w:rStyle w:val="StyleUnderline"/>
        </w:rPr>
        <w:t xml:space="preserve"> to Mexico</w:t>
      </w:r>
      <w:r w:rsidRPr="00EF4204">
        <w:rPr>
          <w:rFonts w:asciiTheme="majorHAnsi" w:hAnsiTheme="majorHAnsi" w:cstheme="majorHAnsi"/>
          <w:sz w:val="14"/>
        </w:rPr>
        <w:t>—</w:t>
      </w:r>
      <w:r w:rsidRPr="00EF4204">
        <w:rPr>
          <w:rStyle w:val="StyleUnderline"/>
        </w:rPr>
        <w:t xml:space="preserve">weapons that </w:t>
      </w:r>
      <w:r w:rsidRPr="00EF4204">
        <w:rPr>
          <w:rFonts w:asciiTheme="majorHAnsi" w:hAnsiTheme="majorHAnsi" w:cstheme="majorHAnsi"/>
          <w:sz w:val="14"/>
        </w:rPr>
        <w:t xml:space="preserve">too often </w:t>
      </w:r>
      <w:r w:rsidRPr="00EF4204">
        <w:rPr>
          <w:rStyle w:val="StyleUnderline"/>
        </w:rPr>
        <w:t>are used against Mexicans and migrants.</w:t>
      </w:r>
      <w:r w:rsidRPr="00EF4204">
        <w:rPr>
          <w:rFonts w:asciiTheme="majorHAnsi" w:hAnsiTheme="majorHAnsi" w:cstheme="majorHAnsi"/>
          <w:sz w:val="14"/>
        </w:rPr>
        <w:t xml:space="preserve"> Last month, more </w:t>
      </w:r>
      <w:r w:rsidRPr="00EF4204">
        <w:rPr>
          <w:rStyle w:val="StyleUnderline"/>
        </w:rPr>
        <w:t xml:space="preserve">details came to light in the disappearance of 43 student teachers from </w:t>
      </w:r>
      <w:proofErr w:type="spellStart"/>
      <w:r w:rsidRPr="00EF4204">
        <w:rPr>
          <w:rStyle w:val="StyleUnderline"/>
        </w:rPr>
        <w:t>Ayotozinapa</w:t>
      </w:r>
      <w:proofErr w:type="spellEnd"/>
      <w:r w:rsidRPr="00EF4204">
        <w:rPr>
          <w:rStyle w:val="StyleUnderline"/>
        </w:rPr>
        <w:t>,</w:t>
      </w:r>
      <w:r w:rsidRPr="00EF4204">
        <w:rPr>
          <w:rFonts w:asciiTheme="majorHAnsi" w:hAnsiTheme="majorHAnsi" w:cstheme="majorHAnsi"/>
          <w:sz w:val="14"/>
        </w:rPr>
        <w:t xml:space="preserve"> Guerrero. The students were in the city of Iguala one night in September 2014 when they were seized—and disappeared—by municipal police. </w:t>
      </w:r>
      <w:r w:rsidRPr="00EF4204">
        <w:rPr>
          <w:rStyle w:val="StyleUnderline"/>
        </w:rPr>
        <w:t>Documents from the Mexican defense ministry’s arms registry list the weapons possessed by the Iguala municipal police at the time.</w:t>
      </w:r>
      <w:r w:rsidRPr="00EF4204">
        <w:rPr>
          <w:rFonts w:asciiTheme="majorHAnsi" w:hAnsiTheme="majorHAnsi" w:cstheme="majorHAnsi"/>
          <w:sz w:val="14"/>
        </w:rPr>
        <w:t xml:space="preserve"> Among the arms listed: </w:t>
      </w:r>
      <w:r w:rsidRPr="00EF4204">
        <w:rPr>
          <w:rStyle w:val="StyleUnderline"/>
        </w:rPr>
        <w:t>20 assault rifles produced by Colt’s Manufacturing</w:t>
      </w:r>
      <w:r w:rsidRPr="00EF4204">
        <w:rPr>
          <w:rFonts w:asciiTheme="majorHAnsi" w:hAnsiTheme="majorHAnsi" w:cstheme="majorHAnsi"/>
          <w:sz w:val="14"/>
        </w:rPr>
        <w:t xml:space="preserve">, headquartered in Hartford, Connecticut. Colt sold the government those rifles, which </w:t>
      </w:r>
      <w:r w:rsidRPr="00EF4204">
        <w:rPr>
          <w:rFonts w:asciiTheme="majorHAnsi" w:hAnsiTheme="majorHAnsi" w:cstheme="majorHAnsi"/>
          <w:sz w:val="14"/>
        </w:rPr>
        <w:lastRenderedPageBreak/>
        <w:t xml:space="preserve">arrived in Iguala in 2013. </w:t>
      </w:r>
      <w:r w:rsidRPr="00EF4204">
        <w:rPr>
          <w:rStyle w:val="StyleUnderline"/>
        </w:rPr>
        <w:t xml:space="preserve">U.S.-manufactured assault rifles were in the possession of Iguala municipal police, who disappeared 43 college students in 2014. </w:t>
      </w:r>
      <w:r w:rsidRPr="00EF4204">
        <w:rPr>
          <w:rFonts w:asciiTheme="majorHAnsi" w:hAnsiTheme="majorHAnsi" w:cstheme="majorHAnsi"/>
          <w:sz w:val="14"/>
        </w:rPr>
        <w:t xml:space="preserve">The </w:t>
      </w:r>
      <w:proofErr w:type="spellStart"/>
      <w:r w:rsidRPr="00EF4204">
        <w:rPr>
          <w:rFonts w:asciiTheme="majorHAnsi" w:hAnsiTheme="majorHAnsi" w:cstheme="majorHAnsi"/>
          <w:sz w:val="14"/>
        </w:rPr>
        <w:t>Ayotzinapa</w:t>
      </w:r>
      <w:proofErr w:type="spellEnd"/>
      <w:r w:rsidRPr="00EF4204">
        <w:rPr>
          <w:rFonts w:asciiTheme="majorHAnsi" w:hAnsiTheme="majorHAnsi" w:cstheme="majorHAnsi"/>
          <w:sz w:val="14"/>
        </w:rPr>
        <w:t xml:space="preserve"> case has become a linchpin for national and international criticism of the Mexican government. </w:t>
      </w:r>
      <w:r w:rsidRPr="00EF4204">
        <w:rPr>
          <w:rStyle w:val="StyleUnderline"/>
        </w:rPr>
        <w:t>U.S. policymakers are becoming increasingly skeptical about assistance to Mexican police and military forces</w:t>
      </w:r>
      <w:r w:rsidRPr="00EF4204">
        <w:rPr>
          <w:rFonts w:asciiTheme="majorHAnsi" w:hAnsiTheme="majorHAnsi" w:cstheme="majorHAnsi"/>
          <w:sz w:val="14"/>
        </w:rPr>
        <w:t xml:space="preserve">, as the government under President Enrique Peña Nieto has stonewalled investigations into this case and other human rights violations. But </w:t>
      </w:r>
      <w:r w:rsidRPr="00EF4204">
        <w:rPr>
          <w:rStyle w:val="Emphasis"/>
        </w:rPr>
        <w:t>policymakers should also apply that skepticism to stem the massive flow of legal weaponry—</w:t>
      </w:r>
      <w:r w:rsidRPr="00EF4204">
        <w:rPr>
          <w:rFonts w:asciiTheme="majorHAnsi" w:hAnsiTheme="majorHAnsi" w:cstheme="majorHAnsi"/>
          <w:sz w:val="14"/>
        </w:rPr>
        <w:t>through grant assistance and official arms sales—</w:t>
      </w:r>
      <w:r w:rsidRPr="00EF4204">
        <w:rPr>
          <w:rStyle w:val="Emphasis"/>
        </w:rPr>
        <w:t>from the U.S. to Mexican police and military forces</w:t>
      </w:r>
      <w:r w:rsidRPr="00EF4204">
        <w:rPr>
          <w:rFonts w:asciiTheme="majorHAnsi" w:hAnsiTheme="majorHAnsi" w:cstheme="majorHAnsi"/>
          <w:sz w:val="14"/>
        </w:rPr>
        <w:t xml:space="preserve">. Last month, the Interdisciplinary Group of Independent Experts (GIEI)—established by the Inter-American Human Rights Commission to investigate the disappearances—released a report that pointed to torture of at least 17 people detained in the case. These were people whose testimony formed the basis of the government’s official account of events, which GIEI had earlier disproved. A United Nations group of human rights experts said the GIEI report shows “serious deficiencies in the justice system, a worrying weakness of the State to investigate with due diligence gross human rights violations, and the sophisticated level of coordination of some authorities in the commission of crimes.” After GIEI released the report, the Mexican government declined to renew the group’s mandate to continue its investigation and remained silent in the face of a vicious media campaign against the group’s members. On April 26, thousands of people—led by families of those </w:t>
      </w:r>
      <w:proofErr w:type="spellStart"/>
      <w:r w:rsidRPr="00EF4204">
        <w:rPr>
          <w:rFonts w:asciiTheme="majorHAnsi" w:hAnsiTheme="majorHAnsi" w:cstheme="majorHAnsi"/>
          <w:sz w:val="14"/>
        </w:rPr>
        <w:t>Ayotzinapa</w:t>
      </w:r>
      <w:proofErr w:type="spellEnd"/>
      <w:r w:rsidRPr="00EF4204">
        <w:rPr>
          <w:rFonts w:asciiTheme="majorHAnsi" w:hAnsiTheme="majorHAnsi" w:cstheme="majorHAnsi"/>
          <w:sz w:val="14"/>
        </w:rPr>
        <w:t xml:space="preserve"> students—protested the decision in Mexico City. In the U.S., Senate officials are expected to demand that the U.S. State Department withhold nearly $20 million from counter-drug assistance to Mexico, because of the country’s rejection of human rights concerns. The move would follow an unprecedented cut in military aid to Mexico last year. But so far, </w:t>
      </w:r>
      <w:r w:rsidRPr="00EF4204">
        <w:rPr>
          <w:rStyle w:val="StyleUnderline"/>
        </w:rPr>
        <w:t>policymakers in Washington have not called for a reduction in official U.S. arms sales to the Mexican police and military, which has amounted to more than $3.5 billion since 2012.</w:t>
      </w:r>
      <w:r w:rsidRPr="00EF4204">
        <w:rPr>
          <w:rFonts w:asciiTheme="majorHAnsi" w:hAnsiTheme="majorHAnsi" w:cstheme="majorHAnsi"/>
          <w:sz w:val="14"/>
        </w:rPr>
        <w:t xml:space="preserve"> The </w:t>
      </w:r>
      <w:proofErr w:type="spellStart"/>
      <w:r w:rsidRPr="00EF4204">
        <w:rPr>
          <w:rFonts w:asciiTheme="majorHAnsi" w:hAnsiTheme="majorHAnsi" w:cstheme="majorHAnsi"/>
          <w:sz w:val="14"/>
        </w:rPr>
        <w:t>Ayotzinapa</w:t>
      </w:r>
      <w:proofErr w:type="spellEnd"/>
      <w:r w:rsidRPr="00EF4204">
        <w:rPr>
          <w:rFonts w:asciiTheme="majorHAnsi" w:hAnsiTheme="majorHAnsi" w:cstheme="majorHAnsi"/>
          <w:sz w:val="14"/>
        </w:rPr>
        <w:t xml:space="preserve"> case is only the most prominent of serious atrocities of military and police violations that remain in impunity. The 43 college students are among more than 25,000 people reported disappeared in Mexico. Freedom House called Mexico an “unfree country” for journalists for the fifth year in a row, and denounced persecution of human rights activists in the country. The annual human rights report of the State Department observed that “impunity and corruption in the law enforcement and justice system remained serious problems,” with police and the military involved in “unlawful killings, torture, and disappearances.” </w:t>
      </w:r>
      <w:r w:rsidRPr="00EF4204">
        <w:rPr>
          <w:rStyle w:val="StyleUnderline"/>
        </w:rPr>
        <w:t xml:space="preserve">While Washington has steadily reduced military and police assistance to Mexico, </w:t>
      </w:r>
      <w:r w:rsidRPr="00EF4204">
        <w:rPr>
          <w:rStyle w:val="Emphasis"/>
        </w:rPr>
        <w:t>U.S. arms sales to the country have risen in recent years.</w:t>
      </w:r>
      <w:r w:rsidRPr="00EF4204">
        <w:rPr>
          <w:rFonts w:asciiTheme="majorHAnsi" w:hAnsiTheme="majorHAnsi" w:cstheme="majorHAnsi"/>
          <w:sz w:val="14"/>
        </w:rPr>
        <w:t xml:space="preserve"> And since 2006, homicide rates in Mexico have climbed with the increase in arm sales from the U.S. (see our infographic). GIEI said that their work “was born out of a wound” felt by the family members of the </w:t>
      </w:r>
      <w:proofErr w:type="spellStart"/>
      <w:r w:rsidRPr="00EF4204">
        <w:rPr>
          <w:rFonts w:asciiTheme="majorHAnsi" w:hAnsiTheme="majorHAnsi" w:cstheme="majorHAnsi"/>
          <w:sz w:val="14"/>
        </w:rPr>
        <w:t>Ayotzinapa</w:t>
      </w:r>
      <w:proofErr w:type="spellEnd"/>
      <w:r w:rsidRPr="00EF4204">
        <w:rPr>
          <w:rFonts w:asciiTheme="majorHAnsi" w:hAnsiTheme="majorHAnsi" w:cstheme="majorHAnsi"/>
          <w:sz w:val="14"/>
        </w:rPr>
        <w:t xml:space="preserve"> students who were disappeared. AFSC is responding to that wound and seeking ways to address the flow of weapons that too often are used against Mexicans and migrants. Next month, an AFSC delegation to Mexico will meet with family members of those impacted by imported weapons and Mexican and U.S. officials. In the coming months, we’ll share with you more information on how U.S. policies are fueling violence against Mexicans and Central American migrants—and keep you up to date on how to help protect human rights in Mexico.</w:t>
      </w:r>
    </w:p>
    <w:p w:rsidR="00995D1C" w:rsidRDefault="00995D1C" w:rsidP="0026405A">
      <w:pPr>
        <w:pStyle w:val="Heading4"/>
        <w:numPr>
          <w:ilvl w:val="0"/>
          <w:numId w:val="13"/>
        </w:numPr>
      </w:pPr>
      <w:r>
        <w:t>U.S. exports are the biggest internal link to violence in Mexico</w:t>
      </w:r>
    </w:p>
    <w:p w:rsidR="00995D1C" w:rsidRDefault="00995D1C" w:rsidP="00995D1C">
      <w:r w:rsidRPr="009D372B">
        <w:rPr>
          <w:rStyle w:val="Style13ptBold"/>
        </w:rPr>
        <w:t>Lindsay-Poland 18</w:t>
      </w:r>
      <w:r>
        <w:t xml:space="preserve"> (John Lindsay-Poland, researcher specializing in Latin American foreign policy with over 30 years of experience.  "America's guns: Made in the US, killing in Mexico," Al Jazeera, 3-28-2018, https://www.aljazeera.com/indepth/opinion/america-guns-killing-mexico-180328060253902.html)//Bennerz</w:t>
      </w:r>
    </w:p>
    <w:p w:rsidR="00995D1C" w:rsidRDefault="00995D1C" w:rsidP="00995D1C">
      <w:pPr>
        <w:rPr>
          <w:sz w:val="14"/>
        </w:rPr>
      </w:pPr>
      <w:r w:rsidRPr="00E95225">
        <w:rPr>
          <w:rStyle w:val="StyleUnderline"/>
        </w:rPr>
        <w:t xml:space="preserve">The </w:t>
      </w:r>
      <w:r w:rsidRPr="00C13241">
        <w:rPr>
          <w:rStyle w:val="Emphasis"/>
        </w:rPr>
        <w:t>legal export of guns</w:t>
      </w:r>
      <w:r w:rsidRPr="00E95225">
        <w:rPr>
          <w:rStyle w:val="StyleUnderline"/>
        </w:rPr>
        <w:t xml:space="preserve"> by US gun producers to Mexican police is also feeding criminal activities and the illegal gun market in Mexico, in several ways. </w:t>
      </w:r>
      <w:r w:rsidRPr="00E95225">
        <w:rPr>
          <w:rStyle w:val="Emphasis"/>
        </w:rPr>
        <w:t>The Mexican military is the only legal importer of firearms in Mexico</w:t>
      </w:r>
      <w:r w:rsidRPr="00C13241">
        <w:rPr>
          <w:sz w:val="14"/>
        </w:rPr>
        <w:t xml:space="preserve">; in turn, </w:t>
      </w:r>
      <w:r w:rsidRPr="00E95225">
        <w:rPr>
          <w:rStyle w:val="StyleUnderline"/>
        </w:rPr>
        <w:t>it sells weapons to police throughout the country, and, to a lesser extent, to private individuals and security companies.</w:t>
      </w:r>
      <w:r>
        <w:rPr>
          <w:rStyle w:val="StyleUnderline"/>
        </w:rPr>
        <w:t xml:space="preserve"> </w:t>
      </w:r>
      <w:r w:rsidRPr="00E95225">
        <w:rPr>
          <w:rStyle w:val="StyleUnderline"/>
        </w:rPr>
        <w:t>State and local police in Mexico have had more than 20,000 firearms go missing or stolen since 2006, according to Mexican military documents</w:t>
      </w:r>
      <w:r w:rsidRPr="00C13241">
        <w:rPr>
          <w:sz w:val="14"/>
        </w:rPr>
        <w:t xml:space="preserve">. More than 8,000 rifles and handguns disappeared during that time from police arsenals in the city and state of Mexico and Guerrero state alone. In Guerrero, infamous for corruption and human rights violations by its police and military, </w:t>
      </w:r>
      <w:r w:rsidRPr="00E95225">
        <w:rPr>
          <w:rStyle w:val="StyleUnderline"/>
        </w:rPr>
        <w:t>out of every five firearms legally acquired by police, more than one went missing or stolen</w:t>
      </w:r>
      <w:r w:rsidRPr="00C13241">
        <w:rPr>
          <w:sz w:val="14"/>
        </w:rPr>
        <w:t xml:space="preserve">. </w:t>
      </w:r>
      <w:r w:rsidRPr="00E95225">
        <w:rPr>
          <w:rStyle w:val="StyleUnderline"/>
        </w:rPr>
        <w:t xml:space="preserve">US exports of weapons to the Mexican armed forces have grown enormously as part of the </w:t>
      </w:r>
      <w:proofErr w:type="spellStart"/>
      <w:r w:rsidRPr="00E95225">
        <w:rPr>
          <w:rStyle w:val="StyleUnderline"/>
        </w:rPr>
        <w:t>militarised</w:t>
      </w:r>
      <w:proofErr w:type="spellEnd"/>
      <w:r w:rsidRPr="00E95225">
        <w:rPr>
          <w:rStyle w:val="StyleUnderline"/>
        </w:rPr>
        <w:t xml:space="preserve"> security strategy that has disastrously failed to reduce homicides</w:t>
      </w:r>
      <w:r w:rsidRPr="00C13241">
        <w:rPr>
          <w:sz w:val="14"/>
        </w:rPr>
        <w:t xml:space="preserve">. The use of state weapons in operations to decapitate the leadership of criminal </w:t>
      </w:r>
      <w:proofErr w:type="spellStart"/>
      <w:r w:rsidRPr="00C13241">
        <w:rPr>
          <w:sz w:val="14"/>
        </w:rPr>
        <w:t>organisations</w:t>
      </w:r>
      <w:proofErr w:type="spellEnd"/>
      <w:r w:rsidRPr="00C13241">
        <w:rPr>
          <w:sz w:val="14"/>
        </w:rPr>
        <w:t xml:space="preserve"> has provoked more violence among prospective successors, while also feeding an arms race between criminal groups and the parts of the state that fight them. In addition, </w:t>
      </w:r>
      <w:r w:rsidRPr="00E95225">
        <w:rPr>
          <w:rStyle w:val="Emphasis"/>
        </w:rPr>
        <w:t>many Mexican police armed with US weapons directly commit human rights violations</w:t>
      </w:r>
      <w:r w:rsidRPr="00C13241">
        <w:rPr>
          <w:sz w:val="14"/>
        </w:rPr>
        <w:t xml:space="preserve">. The local police who attacked students from the </w:t>
      </w:r>
      <w:proofErr w:type="spellStart"/>
      <w:r w:rsidRPr="00C13241">
        <w:rPr>
          <w:sz w:val="14"/>
        </w:rPr>
        <w:t>Ayotzinapa</w:t>
      </w:r>
      <w:proofErr w:type="spellEnd"/>
      <w:r w:rsidRPr="00C13241">
        <w:rPr>
          <w:sz w:val="14"/>
        </w:rPr>
        <w:t xml:space="preserve"> </w:t>
      </w:r>
      <w:proofErr w:type="gramStart"/>
      <w:r w:rsidRPr="00C13241">
        <w:rPr>
          <w:sz w:val="14"/>
        </w:rPr>
        <w:t>teachers</w:t>
      </w:r>
      <w:proofErr w:type="gramEnd"/>
      <w:r w:rsidRPr="00C13241">
        <w:rPr>
          <w:sz w:val="14"/>
        </w:rPr>
        <w:t xml:space="preserve"> school and disappeared 43 of them in 2014, for example, were armed with AR-15 rifles exported by Colt Industries in Connecticut, according to court records. </w:t>
      </w:r>
      <w:r w:rsidRPr="009D372B">
        <w:rPr>
          <w:rStyle w:val="StyleUnderline"/>
        </w:rPr>
        <w:t xml:space="preserve">When police collude with criminal </w:t>
      </w:r>
      <w:proofErr w:type="spellStart"/>
      <w:r w:rsidRPr="009D372B">
        <w:rPr>
          <w:rStyle w:val="StyleUnderline"/>
        </w:rPr>
        <w:t>organisations</w:t>
      </w:r>
      <w:proofErr w:type="spellEnd"/>
      <w:r w:rsidRPr="009D372B">
        <w:rPr>
          <w:rStyle w:val="StyleUnderline"/>
        </w:rPr>
        <w:t xml:space="preserve"> by giving them information or fighting their rivals in </w:t>
      </w:r>
      <w:r w:rsidRPr="009D372B">
        <w:rPr>
          <w:rStyle w:val="StyleUnderline"/>
        </w:rPr>
        <w:lastRenderedPageBreak/>
        <w:t xml:space="preserve">exchange for money, they are strengthening </w:t>
      </w:r>
      <w:proofErr w:type="spellStart"/>
      <w:r w:rsidRPr="009D372B">
        <w:rPr>
          <w:rStyle w:val="StyleUnderline"/>
        </w:rPr>
        <w:t>organised</w:t>
      </w:r>
      <w:proofErr w:type="spellEnd"/>
      <w:r w:rsidRPr="009D372B">
        <w:rPr>
          <w:rStyle w:val="StyleUnderline"/>
        </w:rPr>
        <w:t xml:space="preserve"> crime</w:t>
      </w:r>
      <w:r w:rsidRPr="00C13241">
        <w:rPr>
          <w:sz w:val="14"/>
        </w:rPr>
        <w:t xml:space="preserve">, even without directly trafficking weapons to it. </w:t>
      </w:r>
      <w:r w:rsidRPr="009D372B">
        <w:rPr>
          <w:rStyle w:val="Emphasis"/>
        </w:rPr>
        <w:t>US gun exports to Mexico thus strengthen the very forces, in many instances, that the arms sales are supposed to combat.</w:t>
      </w:r>
      <w:r>
        <w:rPr>
          <w:rStyle w:val="Emphasis"/>
        </w:rPr>
        <w:t xml:space="preserve"> </w:t>
      </w:r>
      <w:r w:rsidRPr="009D372B">
        <w:rPr>
          <w:rStyle w:val="StyleUnderline"/>
        </w:rPr>
        <w:t>The Trump administration plans to deregulate such sales further, which will likely lead to even more US weapons in the hands of corrupt or abusive military and police forces</w:t>
      </w:r>
      <w:r w:rsidRPr="00C13241">
        <w:rPr>
          <w:sz w:val="14"/>
        </w:rPr>
        <w:t xml:space="preserve">. </w:t>
      </w:r>
      <w:r w:rsidRPr="009D372B">
        <w:rPr>
          <w:rStyle w:val="Emphasis"/>
        </w:rPr>
        <w:t>The US should instead suspend gun export licenses to Mexico</w:t>
      </w:r>
      <w:r w:rsidRPr="00C13241">
        <w:rPr>
          <w:sz w:val="14"/>
        </w:rPr>
        <w:t xml:space="preserve"> and reorient its security policy there.</w:t>
      </w:r>
    </w:p>
    <w:p w:rsidR="0026405A" w:rsidRPr="00E0208B" w:rsidRDefault="0026405A" w:rsidP="0026405A">
      <w:pPr>
        <w:pStyle w:val="Heading4"/>
        <w:numPr>
          <w:ilvl w:val="0"/>
          <w:numId w:val="13"/>
        </w:numPr>
        <w:rPr>
          <w:rFonts w:asciiTheme="majorHAnsi" w:hAnsiTheme="majorHAnsi" w:cstheme="majorHAnsi"/>
        </w:rPr>
      </w:pPr>
      <w:r>
        <w:rPr>
          <w:rFonts w:asciiTheme="majorHAnsi" w:hAnsiTheme="majorHAnsi" w:cstheme="majorHAnsi"/>
        </w:rPr>
        <w:t>Most w</w:t>
      </w:r>
      <w:r w:rsidRPr="00E0208B">
        <w:rPr>
          <w:rFonts w:asciiTheme="majorHAnsi" w:hAnsiTheme="majorHAnsi" w:cstheme="majorHAnsi"/>
        </w:rPr>
        <w:t>eapons begin as legal purchases before becoming trafficked</w:t>
      </w:r>
    </w:p>
    <w:p w:rsidR="0026405A" w:rsidRPr="005D7C5A" w:rsidRDefault="0026405A" w:rsidP="0026405A">
      <w:pPr>
        <w:rPr>
          <w:rFonts w:asciiTheme="majorHAnsi" w:hAnsiTheme="majorHAnsi" w:cstheme="majorHAnsi"/>
          <w:b/>
          <w:sz w:val="26"/>
        </w:rPr>
      </w:pPr>
      <w:proofErr w:type="spellStart"/>
      <w:r w:rsidRPr="00E0208B">
        <w:rPr>
          <w:rStyle w:val="Style13ptBold"/>
          <w:rFonts w:asciiTheme="majorHAnsi" w:hAnsiTheme="majorHAnsi" w:cstheme="majorHAnsi"/>
        </w:rPr>
        <w:t>Lumpe</w:t>
      </w:r>
      <w:proofErr w:type="spellEnd"/>
      <w:r w:rsidRPr="00E0208B">
        <w:rPr>
          <w:rStyle w:val="Style13ptBold"/>
          <w:rFonts w:asciiTheme="majorHAnsi" w:hAnsiTheme="majorHAnsi" w:cstheme="majorHAnsi"/>
        </w:rPr>
        <w:t xml:space="preserve"> 97 </w:t>
      </w:r>
      <w:r w:rsidRPr="00E0208B">
        <w:rPr>
          <w:rFonts w:asciiTheme="majorHAnsi" w:eastAsiaTheme="majorEastAsia" w:hAnsiTheme="majorHAnsi" w:cstheme="majorHAnsi"/>
        </w:rPr>
        <w:t xml:space="preserve">(Lora </w:t>
      </w:r>
      <w:proofErr w:type="spellStart"/>
      <w:r w:rsidRPr="00E0208B">
        <w:rPr>
          <w:rFonts w:asciiTheme="majorHAnsi" w:eastAsiaTheme="majorEastAsia" w:hAnsiTheme="majorHAnsi" w:cstheme="majorHAnsi"/>
        </w:rPr>
        <w:t>Lumpe</w:t>
      </w:r>
      <w:proofErr w:type="spellEnd"/>
      <w:r w:rsidRPr="00E0208B">
        <w:rPr>
          <w:rFonts w:asciiTheme="majorHAnsi" w:eastAsiaTheme="majorEastAsia" w:hAnsiTheme="majorHAnsi" w:cstheme="majorHAnsi"/>
        </w:rPr>
        <w:t xml:space="preserve">, 12-12-1997, “U.S. Policy on Small/Light Arms Exports,”  </w:t>
      </w:r>
      <w:hyperlink r:id="rId19" w:history="1">
        <w:r w:rsidRPr="00E0208B">
          <w:rPr>
            <w:rStyle w:val="Hyperlink"/>
            <w:rFonts w:asciiTheme="majorHAnsi" w:eastAsiaTheme="majorEastAsia" w:hAnsiTheme="majorHAnsi" w:cstheme="majorHAnsi"/>
          </w:rPr>
          <w:t>https://fas.org/asmp/campaigns/smallarms/AAAS.html)//EK</w:t>
        </w:r>
      </w:hyperlink>
      <w:r w:rsidRPr="00E0208B">
        <w:rPr>
          <w:rFonts w:asciiTheme="majorHAnsi" w:eastAsiaTheme="majorEastAsia" w:hAnsiTheme="majorHAnsi" w:cstheme="majorHAnsi"/>
        </w:rPr>
        <w:t xml:space="preserve"> </w:t>
      </w:r>
    </w:p>
    <w:p w:rsidR="00727056" w:rsidRDefault="0026405A" w:rsidP="00727056">
      <w:pPr>
        <w:rPr>
          <w:rFonts w:asciiTheme="majorHAnsi" w:hAnsiTheme="majorHAnsi" w:cstheme="majorHAnsi"/>
          <w:u w:val="single"/>
        </w:rPr>
      </w:pPr>
      <w:r w:rsidRPr="009A0A4B">
        <w:rPr>
          <w:rFonts w:asciiTheme="majorHAnsi" w:hAnsiTheme="majorHAnsi" w:cstheme="majorHAnsi"/>
          <w:sz w:val="16"/>
        </w:rPr>
        <w:t xml:space="preserve">At the same </w:t>
      </w:r>
      <w:proofErr w:type="gramStart"/>
      <w:r w:rsidRPr="009A0A4B">
        <w:rPr>
          <w:rFonts w:asciiTheme="majorHAnsi" w:hAnsiTheme="majorHAnsi" w:cstheme="majorHAnsi"/>
          <w:sz w:val="16"/>
        </w:rPr>
        <w:t>time</w:t>
      </w:r>
      <w:proofErr w:type="gramEnd"/>
      <w:r w:rsidRPr="009A0A4B">
        <w:rPr>
          <w:rFonts w:asciiTheme="majorHAnsi" w:hAnsiTheme="majorHAnsi" w:cstheme="majorHAnsi"/>
          <w:sz w:val="16"/>
        </w:rPr>
        <w:t xml:space="preserve"> it is pursuing these laudable initiatives, however</w:t>
      </w:r>
      <w:r w:rsidRPr="009A0A4B">
        <w:rPr>
          <w:rFonts w:asciiTheme="majorHAnsi" w:hAnsiTheme="majorHAnsi" w:cstheme="majorHAnsi"/>
          <w:u w:val="single"/>
        </w:rPr>
        <w:t>, the U.S. government sells, gives or licenses for export hundreds of thousands of guns annually and vast quantities of ammunition. Many U.S.-source small and light arms enter into illegal circulation. In 1993, foreign governments reported 6,238 unlawfully acquired U.S.-origin firearms to the Bureau of Alcohol, Tobacco and Firearms. Over half--3,376--were discovered in Mexico.</w:t>
      </w:r>
      <w:hyperlink r:id="rId20" w:anchor="N_3_" w:history="1">
        <w:r w:rsidRPr="009A0A4B">
          <w:rPr>
            <w:rStyle w:val="Hyperlink"/>
            <w:rFonts w:asciiTheme="majorHAnsi" w:hAnsiTheme="majorHAnsi" w:cstheme="majorHAnsi"/>
            <w:u w:val="single"/>
          </w:rPr>
          <w:t>(3)</w:t>
        </w:r>
      </w:hyperlink>
      <w:r w:rsidRPr="009A0A4B">
        <w:rPr>
          <w:rFonts w:asciiTheme="majorHAnsi" w:hAnsiTheme="majorHAnsi" w:cstheme="majorHAnsi"/>
          <w:sz w:val="16"/>
        </w:rPr>
        <w:t xml:space="preserve"> According to President Clinton's statement at the signing of the OAS convention on illicit arms trafficking, in November 1997, the BATF received approximately 30,000 requests in 1996 from OAS member states to trace weapons used in crimes. </w:t>
      </w:r>
      <w:r w:rsidRPr="004E4417">
        <w:rPr>
          <w:rStyle w:val="Emphasis"/>
        </w:rPr>
        <w:t xml:space="preserve">For the most part, these weapons are legally sold, either domestically or abroad, </w:t>
      </w:r>
      <w:r w:rsidRPr="009A0A4B">
        <w:rPr>
          <w:rFonts w:asciiTheme="majorHAnsi" w:hAnsiTheme="majorHAnsi" w:cstheme="majorHAnsi"/>
          <w:u w:val="single"/>
        </w:rPr>
        <w:t xml:space="preserve">and later re-transferred to another party in contravention of U.S. law. </w:t>
      </w:r>
    </w:p>
    <w:p w:rsidR="004E4417" w:rsidRDefault="004E4417" w:rsidP="004E4417">
      <w:pPr>
        <w:pStyle w:val="Heading4"/>
        <w:numPr>
          <w:ilvl w:val="0"/>
          <w:numId w:val="13"/>
        </w:numPr>
      </w:pPr>
      <w:r>
        <w:t>Only restricting FMS and DCS solves</w:t>
      </w:r>
    </w:p>
    <w:p w:rsidR="004E4417" w:rsidRDefault="004E4417" w:rsidP="004E4417">
      <w:r w:rsidRPr="00AC6E19">
        <w:rPr>
          <w:rStyle w:val="Style13ptBold"/>
        </w:rPr>
        <w:t>Gagne 15</w:t>
      </w:r>
      <w:r w:rsidRPr="00FC4F3B">
        <w:t xml:space="preserve"> (David Gagne</w:t>
      </w:r>
      <w:r>
        <w:t xml:space="preserve">. Senior editor at </w:t>
      </w:r>
      <w:proofErr w:type="spellStart"/>
      <w:r>
        <w:t>InSight</w:t>
      </w:r>
      <w:proofErr w:type="spellEnd"/>
      <w:r>
        <w:t xml:space="preserve"> Crime, </w:t>
      </w:r>
      <w:r w:rsidRPr="00FC4F3B">
        <w:t xml:space="preserve">"New Strategy, Familiar Result: Militarization in Mexico," </w:t>
      </w:r>
      <w:proofErr w:type="spellStart"/>
      <w:r w:rsidRPr="00FC4F3B">
        <w:t>InSight</w:t>
      </w:r>
      <w:proofErr w:type="spellEnd"/>
      <w:r w:rsidRPr="00FC4F3B">
        <w:t xml:space="preserve"> Crime, 3-25-2015, https://www.insightcrime.org/news/analysis/new-strategy-familiar-result-militarization-in-mexico/)//Bennerz</w:t>
      </w:r>
    </w:p>
    <w:p w:rsidR="004E4417" w:rsidRPr="00C13241" w:rsidRDefault="004E4417" w:rsidP="004E4417">
      <w:pPr>
        <w:rPr>
          <w:sz w:val="14"/>
        </w:rPr>
      </w:pPr>
      <w:r w:rsidRPr="00F9569B">
        <w:rPr>
          <w:rStyle w:val="StyleUnderline"/>
        </w:rPr>
        <w:t xml:space="preserve">The dramatic increase in </w:t>
      </w:r>
      <w:r w:rsidRPr="00C13241">
        <w:rPr>
          <w:rStyle w:val="Emphasis"/>
        </w:rPr>
        <w:t>FMS spending</w:t>
      </w:r>
      <w:r w:rsidRPr="00F9569B">
        <w:rPr>
          <w:rStyle w:val="StyleUnderline"/>
        </w:rPr>
        <w:t xml:space="preserve"> suggests Mexico will continue to rely heavily on militarized security forces in its so-called war on drugs</w:t>
      </w:r>
      <w:r w:rsidRPr="00C13241">
        <w:rPr>
          <w:sz w:val="14"/>
        </w:rPr>
        <w:t xml:space="preserve">. Sarah </w:t>
      </w:r>
      <w:proofErr w:type="spellStart"/>
      <w:r w:rsidRPr="00C13241">
        <w:rPr>
          <w:sz w:val="14"/>
        </w:rPr>
        <w:t>Kinosian</w:t>
      </w:r>
      <w:proofErr w:type="spellEnd"/>
      <w:r w:rsidRPr="00C13241">
        <w:rPr>
          <w:sz w:val="14"/>
        </w:rPr>
        <w:t xml:space="preserve">, the lead Latin America researcher at the Center for International Policy, told </w:t>
      </w:r>
      <w:proofErr w:type="spellStart"/>
      <w:r w:rsidRPr="00C13241">
        <w:rPr>
          <w:sz w:val="14"/>
        </w:rPr>
        <w:t>InSight</w:t>
      </w:r>
      <w:proofErr w:type="spellEnd"/>
      <w:r w:rsidRPr="00C13241">
        <w:rPr>
          <w:sz w:val="14"/>
        </w:rPr>
        <w:t xml:space="preserve"> Crime </w:t>
      </w:r>
      <w:r w:rsidRPr="00F9569B">
        <w:rPr>
          <w:rStyle w:val="StyleUnderline"/>
        </w:rPr>
        <w:t xml:space="preserve">the surge in </w:t>
      </w:r>
      <w:r w:rsidRPr="00C13241">
        <w:rPr>
          <w:rStyle w:val="Emphasis"/>
        </w:rPr>
        <w:t>FMS weapon sales</w:t>
      </w:r>
      <w:r w:rsidRPr="00F9569B">
        <w:rPr>
          <w:rStyle w:val="StyleUnderline"/>
        </w:rPr>
        <w:t xml:space="preserve"> is “an indication that the militarization of the drug war [in Mexico] is here to stay.”</w:t>
      </w:r>
      <w:r>
        <w:rPr>
          <w:rStyle w:val="StyleUnderline"/>
        </w:rPr>
        <w:t xml:space="preserve">  </w:t>
      </w:r>
      <w:r w:rsidRPr="00F9569B">
        <w:rPr>
          <w:rStyle w:val="StyleUnderline"/>
        </w:rPr>
        <w:t>Recent data on direct commercial sales</w:t>
      </w:r>
      <w:r w:rsidRPr="00C13241">
        <w:rPr>
          <w:sz w:val="14"/>
        </w:rPr>
        <w:t xml:space="preserve"> — </w:t>
      </w:r>
      <w:r w:rsidRPr="003A5245">
        <w:rPr>
          <w:rStyle w:val="StyleUnderline"/>
        </w:rPr>
        <w:t>the other avenue through which Mexico purchases weapons from the United States — provides further indication of the country’s continued militarization</w:t>
      </w:r>
      <w:r w:rsidRPr="00C13241">
        <w:rPr>
          <w:sz w:val="14"/>
        </w:rPr>
        <w:t xml:space="preserve">. </w:t>
      </w:r>
      <w:r w:rsidRPr="003A5245">
        <w:rPr>
          <w:rStyle w:val="StyleUnderline"/>
        </w:rPr>
        <w:t xml:space="preserve">After a tripling in </w:t>
      </w:r>
      <w:r w:rsidRPr="00C13241">
        <w:rPr>
          <w:rStyle w:val="Emphasis"/>
        </w:rPr>
        <w:t>direct commercial sales</w:t>
      </w:r>
      <w:r w:rsidRPr="003A5245">
        <w:rPr>
          <w:rStyle w:val="StyleUnderline"/>
        </w:rPr>
        <w:t xml:space="preserve"> between 2011 and 2012, from under $400,000 to more than $1.2 billion, spending remained above $1 billion in 2013</w:t>
      </w:r>
      <w:r w:rsidRPr="00C13241">
        <w:rPr>
          <w:sz w:val="14"/>
        </w:rPr>
        <w:t xml:space="preserve">, President Enrique Peña Nieto’s first year in office. (Information on direct commercial sales for 2014 has yet to be released.)  </w:t>
      </w:r>
      <w:r w:rsidRPr="003A5245">
        <w:rPr>
          <w:rStyle w:val="StyleUnderline"/>
        </w:rPr>
        <w:t xml:space="preserve">Ongoing militarization is an unsettling prospect, considering human rights watchdog groups have linked Mexico’s military build-up </w:t>
      </w:r>
      <w:r w:rsidRPr="00C13241">
        <w:rPr>
          <w:sz w:val="14"/>
        </w:rPr>
        <w:t xml:space="preserve">under former President Felipe Calderon </w:t>
      </w:r>
      <w:r w:rsidRPr="003A5245">
        <w:rPr>
          <w:rStyle w:val="Emphasis"/>
        </w:rPr>
        <w:t>to a sharp rise in reports of torture and abuse by security personnel.</w:t>
      </w:r>
      <w:r w:rsidRPr="00C13241">
        <w:rPr>
          <w:sz w:val="14"/>
        </w:rPr>
        <w:t xml:space="preserve"> While the military has said the reports of abuse are going down, other </w:t>
      </w:r>
      <w:r w:rsidRPr="003A5245">
        <w:rPr>
          <w:rStyle w:val="StyleUnderline"/>
        </w:rPr>
        <w:t>incidents suggest authorities are struggling to reign in human rights abuses</w:t>
      </w:r>
      <w:r>
        <w:rPr>
          <w:rStyle w:val="StyleUnderline"/>
        </w:rPr>
        <w:t xml:space="preserve"> </w:t>
      </w:r>
      <w:r w:rsidRPr="003A5245">
        <w:rPr>
          <w:rStyle w:val="StyleUnderline"/>
        </w:rPr>
        <w:t>—</w:t>
      </w:r>
      <w:r>
        <w:rPr>
          <w:rStyle w:val="StyleUnderline"/>
        </w:rPr>
        <w:t xml:space="preserve"> </w:t>
      </w:r>
      <w:r w:rsidRPr="003A5245">
        <w:rPr>
          <w:rStyle w:val="StyleUnderline"/>
        </w:rPr>
        <w:t xml:space="preserve">such as last year’s Army massacre of at least 15 people, and recent revelations that the Army knew about police attacks against student protestors in </w:t>
      </w:r>
      <w:proofErr w:type="gramStart"/>
      <w:r w:rsidRPr="003A5245">
        <w:rPr>
          <w:rStyle w:val="StyleUnderline"/>
        </w:rPr>
        <w:t>Guerrero, yet</w:t>
      </w:r>
      <w:proofErr w:type="gramEnd"/>
      <w:r w:rsidRPr="003A5245">
        <w:rPr>
          <w:rStyle w:val="StyleUnderline"/>
        </w:rPr>
        <w:t xml:space="preserve"> did nothing.</w:t>
      </w:r>
      <w:r>
        <w:rPr>
          <w:rStyle w:val="StyleUnderline"/>
        </w:rPr>
        <w:t xml:space="preserve"> </w:t>
      </w:r>
      <w:r w:rsidRPr="00C13241">
        <w:rPr>
          <w:sz w:val="14"/>
        </w:rPr>
        <w:t xml:space="preserve"> The recent splurge on military spending is also disappointing given President Peña Nieto has previously hinted at a new approach towards security. After taking office in December 2012, Peña Nieto withdrew the military from some parts of the </w:t>
      </w:r>
      <w:proofErr w:type="gramStart"/>
      <w:r w:rsidRPr="00C13241">
        <w:rPr>
          <w:sz w:val="14"/>
        </w:rPr>
        <w:t>country, and</w:t>
      </w:r>
      <w:proofErr w:type="gramEnd"/>
      <w:r w:rsidRPr="00C13241">
        <w:rPr>
          <w:sz w:val="14"/>
        </w:rPr>
        <w:t xml:space="preserve"> signaled that his government intended to further reduce the military’s role in domestic security by deploying a specialized police unit, known as the </w:t>
      </w:r>
      <w:proofErr w:type="spellStart"/>
      <w:r w:rsidRPr="00C13241">
        <w:rPr>
          <w:sz w:val="14"/>
        </w:rPr>
        <w:t>gendarmarie</w:t>
      </w:r>
      <w:proofErr w:type="spellEnd"/>
      <w:r w:rsidRPr="00C13241">
        <w:rPr>
          <w:sz w:val="14"/>
        </w:rPr>
        <w:t xml:space="preserve">. In practice, however, Peña Nieto’s security approach has differed only slightly from that of his predecessor, and the </w:t>
      </w:r>
      <w:proofErr w:type="spellStart"/>
      <w:r w:rsidRPr="00C13241">
        <w:rPr>
          <w:sz w:val="14"/>
        </w:rPr>
        <w:t>gendarmarie</w:t>
      </w:r>
      <w:proofErr w:type="spellEnd"/>
      <w:r w:rsidRPr="00C13241">
        <w:rPr>
          <w:sz w:val="14"/>
        </w:rPr>
        <w:t xml:space="preserve"> has been dramatically scaled back.</w:t>
      </w:r>
    </w:p>
    <w:p w:rsidR="004E4417" w:rsidRDefault="004E4417" w:rsidP="00727056">
      <w:pPr>
        <w:rPr>
          <w:rFonts w:asciiTheme="majorHAnsi" w:hAnsiTheme="majorHAnsi" w:cstheme="majorHAnsi"/>
          <w:u w:val="single"/>
        </w:rPr>
      </w:pPr>
    </w:p>
    <w:p w:rsidR="00727056" w:rsidRPr="00727056" w:rsidRDefault="00727056" w:rsidP="00727056">
      <w:pPr>
        <w:pStyle w:val="Heading4"/>
        <w:numPr>
          <w:ilvl w:val="0"/>
          <w:numId w:val="13"/>
        </w:numPr>
      </w:pPr>
      <w:r w:rsidRPr="00727056">
        <w:lastRenderedPageBreak/>
        <w:t xml:space="preserve">U.S. gun shops aren’t </w:t>
      </w:r>
      <w:r w:rsidR="004E4417">
        <w:t xml:space="preserve">a </w:t>
      </w:r>
      <w:r w:rsidRPr="00727056">
        <w:t>primary cause for il</w:t>
      </w:r>
      <w:r w:rsidR="004E4417">
        <w:t xml:space="preserve">licit </w:t>
      </w:r>
      <w:r w:rsidRPr="00727056">
        <w:t xml:space="preserve">weapons- owners have too many incentives to risk it  </w:t>
      </w:r>
    </w:p>
    <w:p w:rsidR="00387C75" w:rsidRPr="00727056" w:rsidRDefault="00387C75" w:rsidP="00727056">
      <w:pPr>
        <w:rPr>
          <w:rStyle w:val="Style13ptBold"/>
          <w:rFonts w:asciiTheme="majorHAnsi" w:hAnsiTheme="majorHAnsi" w:cstheme="majorHAnsi"/>
        </w:rPr>
      </w:pPr>
      <w:r w:rsidRPr="00727056">
        <w:rPr>
          <w:rStyle w:val="Style13ptBold"/>
          <w:rFonts w:asciiTheme="majorHAnsi" w:hAnsiTheme="majorHAnsi" w:cstheme="majorHAnsi"/>
        </w:rPr>
        <w:t>Kuhn and Bunker 11</w:t>
      </w:r>
    </w:p>
    <w:p w:rsidR="00387C75" w:rsidRPr="00676953" w:rsidRDefault="00387C75" w:rsidP="00387C75">
      <w:pPr>
        <w:rPr>
          <w:rFonts w:asciiTheme="majorHAnsi" w:hAnsiTheme="majorHAnsi" w:cstheme="majorHAnsi"/>
          <w:b/>
          <w:sz w:val="20"/>
          <w:szCs w:val="20"/>
        </w:rPr>
      </w:pPr>
      <w:r w:rsidRPr="00676953">
        <w:rPr>
          <w:rStyle w:val="Style13ptBold"/>
          <w:rFonts w:asciiTheme="majorHAnsi" w:hAnsiTheme="majorHAnsi" w:cstheme="majorHAnsi"/>
          <w:sz w:val="20"/>
          <w:szCs w:val="20"/>
        </w:rPr>
        <w:t xml:space="preserve">(David A. Kuhn- VTM Solutions; &amp; Robert J. Bunker- Epochal Warfare Studies, (2011) Just where do Mexican cartel weapons come </w:t>
      </w:r>
      <w:proofErr w:type="gramStart"/>
      <w:r w:rsidRPr="00676953">
        <w:rPr>
          <w:rStyle w:val="Style13ptBold"/>
          <w:rFonts w:asciiTheme="majorHAnsi" w:hAnsiTheme="majorHAnsi" w:cstheme="majorHAnsi"/>
          <w:sz w:val="20"/>
          <w:szCs w:val="20"/>
        </w:rPr>
        <w:t>from?,</w:t>
      </w:r>
      <w:proofErr w:type="gramEnd"/>
      <w:r w:rsidRPr="00676953">
        <w:rPr>
          <w:rStyle w:val="Style13ptBold"/>
          <w:rFonts w:asciiTheme="majorHAnsi" w:hAnsiTheme="majorHAnsi" w:cstheme="majorHAnsi"/>
          <w:sz w:val="20"/>
          <w:szCs w:val="20"/>
        </w:rPr>
        <w:t xml:space="preserve"> Small Wars &amp; Insurgencies, 22:5, 807-834, DOI: 10.1080/09592318.2011.620815, JKS)</w:t>
      </w:r>
    </w:p>
    <w:p w:rsidR="00387C75" w:rsidRPr="00676953" w:rsidRDefault="00387C75" w:rsidP="00387C75">
      <w:pPr>
        <w:rPr>
          <w:rFonts w:asciiTheme="majorHAnsi" w:hAnsiTheme="majorHAnsi" w:cstheme="majorHAnsi"/>
        </w:rPr>
      </w:pPr>
      <w:r w:rsidRPr="00676953">
        <w:rPr>
          <w:rFonts w:asciiTheme="majorHAnsi" w:hAnsiTheme="majorHAnsi" w:cstheme="majorHAnsi"/>
        </w:rPr>
        <w:t>US gun shops</w:t>
      </w:r>
    </w:p>
    <w:p w:rsidR="00387C75" w:rsidRPr="00B73522" w:rsidRDefault="00387C75" w:rsidP="00387C75">
      <w:pPr>
        <w:rPr>
          <w:rFonts w:asciiTheme="majorHAnsi" w:hAnsiTheme="majorHAnsi" w:cstheme="majorHAnsi"/>
          <w:sz w:val="14"/>
        </w:rPr>
      </w:pPr>
      <w:r w:rsidRPr="00B73522">
        <w:rPr>
          <w:rFonts w:asciiTheme="majorHAnsi" w:hAnsiTheme="majorHAnsi" w:cstheme="majorHAnsi"/>
          <w:sz w:val="14"/>
        </w:rPr>
        <w:t xml:space="preserve">As previously discussed in the literature search, </w:t>
      </w:r>
      <w:r w:rsidRPr="00B73522">
        <w:rPr>
          <w:rStyle w:val="StyleUnderline"/>
        </w:rPr>
        <w:t xml:space="preserve">there are a significant number of published reports and papers that would lead any prudent reader to believe that the overwhelming portion of the illegal weapons entering Mexico were originally purchased (legally or illegally) at gun shops or at gun shows within the United States. </w:t>
      </w:r>
      <w:r w:rsidRPr="00B73522">
        <w:rPr>
          <w:rStyle w:val="Emphasis"/>
        </w:rPr>
        <w:t>This is not only far from the truth; it is an incorrect perception</w:t>
      </w:r>
      <w:r w:rsidRPr="00B73522">
        <w:rPr>
          <w:rStyle w:val="StyleUnderline"/>
        </w:rPr>
        <w:t xml:space="preserve"> that is being continually fed by political views and the media at large</w:t>
      </w:r>
      <w:r w:rsidRPr="00B73522">
        <w:rPr>
          <w:rFonts w:asciiTheme="majorHAnsi" w:hAnsiTheme="majorHAnsi" w:cstheme="majorHAnsi"/>
          <w:sz w:val="14"/>
        </w:rPr>
        <w:t xml:space="preserve">, regardless of the various agendas that those views may reflect. </w:t>
      </w:r>
      <w:r w:rsidRPr="00B73522">
        <w:rPr>
          <w:rStyle w:val="StyleUnderline"/>
        </w:rPr>
        <w:t>To completely comprehend this dynamic, it is important to understand the mechanism by which any individual can physically obtain any item within the United States that is classified as a ‘firear</w:t>
      </w:r>
      <w:r w:rsidRPr="00B73522">
        <w:rPr>
          <w:rFonts w:asciiTheme="majorHAnsi" w:hAnsiTheme="majorHAnsi" w:cstheme="majorHAnsi"/>
          <w:sz w:val="14"/>
        </w:rPr>
        <w:t xml:space="preserve">m’ under the 1968 Federal Firearms Act.33 </w:t>
      </w:r>
      <w:r w:rsidRPr="00B73522">
        <w:rPr>
          <w:rStyle w:val="StyleUnderline"/>
        </w:rPr>
        <w:t>Although general gun laws related to possession, sale, zoning, and carry vary from state to state, the 1968 Federal Firearms Act, to include all subsequent federal regulations, add to all existing regulations within the 50 states</w:t>
      </w:r>
      <w:r w:rsidRPr="00B73522">
        <w:rPr>
          <w:rFonts w:asciiTheme="majorHAnsi" w:hAnsiTheme="majorHAnsi" w:cstheme="majorHAnsi"/>
          <w:sz w:val="14"/>
        </w:rPr>
        <w:t xml:space="preserve">. Essentially, federal firearms regulations supersede individual state regulations, however, if an individual state regulation declares the purchase or possession of a firearm or component to be illegal, federal law will not interfere with that legislation as long as it does not weaken federal law, and the legislation continues to remain as part of that state’s statutes. </w:t>
      </w:r>
      <w:r w:rsidRPr="00B73522">
        <w:rPr>
          <w:rStyle w:val="StyleUnderline"/>
        </w:rPr>
        <w:t>Theoretically, firearms produced within the United States are tracked from the moment that they are serialized on the factory assembly line.</w:t>
      </w:r>
      <w:r w:rsidRPr="00B73522">
        <w:rPr>
          <w:rFonts w:asciiTheme="majorHAnsi" w:hAnsiTheme="majorHAnsi" w:cstheme="majorHAnsi"/>
          <w:sz w:val="14"/>
        </w:rPr>
        <w:t xml:space="preserve"> </w:t>
      </w:r>
      <w:r w:rsidRPr="00B73522">
        <w:rPr>
          <w:rStyle w:val="StyleUnderline"/>
        </w:rPr>
        <w:t>Any firearm produced within the US in the last 43 years that comes to the attention of law enforcement can immediately be traced back to the factory that produced it, the distributor that received it, and to the gun shop that ordered it from the distributor</w:t>
      </w:r>
      <w:r w:rsidRPr="00B73522">
        <w:rPr>
          <w:rFonts w:asciiTheme="majorHAnsi" w:hAnsiTheme="majorHAnsi" w:cstheme="majorHAnsi"/>
          <w:sz w:val="14"/>
        </w:rPr>
        <w:t xml:space="preserve">. </w:t>
      </w:r>
      <w:r w:rsidRPr="00B73522">
        <w:rPr>
          <w:rStyle w:val="StyleUnderline"/>
        </w:rPr>
        <w:t>The few foreign firearms that the BATF allows to be legally imported into the US are also tracked from a primary point of distribution</w:t>
      </w:r>
      <w:r w:rsidRPr="00B73522">
        <w:rPr>
          <w:rFonts w:asciiTheme="majorHAnsi" w:hAnsiTheme="majorHAnsi" w:cstheme="majorHAnsi"/>
          <w:sz w:val="14"/>
        </w:rPr>
        <w:t xml:space="preserve"> once they enter the country. </w:t>
      </w:r>
      <w:r w:rsidRPr="00B73522">
        <w:rPr>
          <w:rStyle w:val="StyleUnderline"/>
        </w:rPr>
        <w:t>When a federally licensed firearm dealer</w:t>
      </w:r>
      <w:r w:rsidRPr="00B73522">
        <w:rPr>
          <w:rFonts w:asciiTheme="majorHAnsi" w:hAnsiTheme="majorHAnsi" w:cstheme="majorHAnsi"/>
          <w:sz w:val="14"/>
        </w:rPr>
        <w:t xml:space="preserve"> (or sporting goods/gun shop operating under such license) </w:t>
      </w:r>
      <w:r w:rsidRPr="00B73522">
        <w:rPr>
          <w:rStyle w:val="StyleUnderline"/>
        </w:rPr>
        <w:t>within the US receives a firearm from a distributor, factory, or private individual, that firearm must be immediately entered into the permanent record book of the licensee</w:t>
      </w:r>
      <w:r w:rsidRPr="00B73522">
        <w:rPr>
          <w:rFonts w:asciiTheme="majorHAnsi" w:hAnsiTheme="majorHAnsi" w:cstheme="majorHAnsi"/>
          <w:sz w:val="14"/>
        </w:rPr>
        <w:t xml:space="preserve">. Information relevant to the actual firearm includes: description (rifle or pistol), manufacturer, model, type, serial number, caliber, and barrel length.34 In reality, it is recognized that mistakes are sometimes made by error and omission and intentional wrongdoing, even malfeasance, comes into play which undermines these strict safeguards and ensures that some weapons do get into the hands of criminals. </w:t>
      </w:r>
      <w:r w:rsidRPr="00B73522">
        <w:rPr>
          <w:rStyle w:val="StyleUnderline"/>
        </w:rPr>
        <w:t>Still, all federally licensed firearms dealers/gun shops within the US, and their firearms disposition records books, are subject to random inspections</w:t>
      </w:r>
      <w:r w:rsidRPr="00B73522">
        <w:rPr>
          <w:rFonts w:asciiTheme="majorHAnsi" w:hAnsiTheme="majorHAnsi" w:cstheme="majorHAnsi"/>
          <w:sz w:val="14"/>
        </w:rPr>
        <w:t xml:space="preserve"> (without notice) by the BATF. </w:t>
      </w:r>
      <w:r w:rsidRPr="00B73522">
        <w:rPr>
          <w:rStyle w:val="StyleUnderline"/>
        </w:rPr>
        <w:t xml:space="preserve">During such inspections, any discrepancy regarding transactions, disposition/location of firearms, or unrecorded firearms on site, will result in serious consequences for the licensee. Often random checks of records where minor administrative errors are found will result in a complete BATF inventory audit </w:t>
      </w:r>
      <w:r w:rsidRPr="00B73522">
        <w:rPr>
          <w:rFonts w:asciiTheme="majorHAnsi" w:hAnsiTheme="majorHAnsi" w:cstheme="majorHAnsi"/>
          <w:sz w:val="14"/>
        </w:rPr>
        <w:t xml:space="preserve">initiated by the agent in charge. Such an audit is exhaustive in </w:t>
      </w:r>
      <w:proofErr w:type="gramStart"/>
      <w:r w:rsidRPr="00B73522">
        <w:rPr>
          <w:rFonts w:asciiTheme="majorHAnsi" w:hAnsiTheme="majorHAnsi" w:cstheme="majorHAnsi"/>
          <w:sz w:val="14"/>
        </w:rPr>
        <w:t>scope, and</w:t>
      </w:r>
      <w:proofErr w:type="gramEnd"/>
      <w:r w:rsidRPr="00B73522">
        <w:rPr>
          <w:rFonts w:asciiTheme="majorHAnsi" w:hAnsiTheme="majorHAnsi" w:cstheme="majorHAnsi"/>
          <w:sz w:val="14"/>
        </w:rPr>
        <w:t xml:space="preserve"> may extend well in excess of two or more weeks for an average size shop. If such a BATF audit occurs, records will often be removed from the site to a secure location until the agency can establish that no impropriety has taken place. </w:t>
      </w:r>
      <w:r w:rsidRPr="00B73522">
        <w:rPr>
          <w:rStyle w:val="StyleUnderline"/>
        </w:rPr>
        <w:t xml:space="preserve">For all gun shop owners, the record keeping protocols and regulations that they must follow are extensive and unforgiving of errors. This system (federal) is set up in such a manner so as to expose and </w:t>
      </w:r>
      <w:r w:rsidRPr="00B73522">
        <w:rPr>
          <w:rStyle w:val="Emphasis"/>
        </w:rPr>
        <w:t>prosecute any attempt to circumvent</w:t>
      </w:r>
      <w:r w:rsidRPr="00B73522">
        <w:rPr>
          <w:rStyle w:val="StyleUnderline"/>
        </w:rPr>
        <w:t xml:space="preserve"> it.</w:t>
      </w:r>
      <w:r w:rsidRPr="00B73522">
        <w:rPr>
          <w:rFonts w:asciiTheme="majorHAnsi" w:hAnsiTheme="majorHAnsi" w:cstheme="majorHAnsi"/>
          <w:sz w:val="14"/>
        </w:rPr>
        <w:t xml:space="preserve"> </w:t>
      </w:r>
      <w:r w:rsidRPr="00B73522">
        <w:rPr>
          <w:rStyle w:val="Emphasis"/>
        </w:rPr>
        <w:t xml:space="preserve">Gun shop owners have a strong incentive to detect and defeat ‘straw’ purchases or </w:t>
      </w:r>
      <w:proofErr w:type="gramStart"/>
      <w:r w:rsidRPr="00B73522">
        <w:rPr>
          <w:rStyle w:val="Emphasis"/>
        </w:rPr>
        <w:t>third party</w:t>
      </w:r>
      <w:proofErr w:type="gramEnd"/>
      <w:r w:rsidRPr="00B73522">
        <w:rPr>
          <w:rStyle w:val="Emphasis"/>
        </w:rPr>
        <w:t xml:space="preserve"> sales, and suspicious or unqualified buyers.</w:t>
      </w:r>
      <w:r w:rsidRPr="00B73522">
        <w:rPr>
          <w:rFonts w:asciiTheme="majorHAnsi" w:hAnsiTheme="majorHAnsi" w:cstheme="majorHAnsi"/>
          <w:sz w:val="14"/>
        </w:rPr>
        <w:t xml:space="preserve"> Additionally, they are required to file a ‘Record of Multiple Firearms Purchase’ if a buyer purchases more than a single firearm at the time of transaction, and within a certain time frame.</w:t>
      </w:r>
    </w:p>
    <w:p w:rsidR="00995D1C" w:rsidRPr="00EF4204" w:rsidRDefault="00995D1C" w:rsidP="006E177F">
      <w:pPr>
        <w:rPr>
          <w:rFonts w:asciiTheme="majorHAnsi" w:hAnsiTheme="majorHAnsi" w:cstheme="majorHAnsi"/>
          <w:sz w:val="14"/>
        </w:rPr>
      </w:pPr>
    </w:p>
    <w:p w:rsidR="006E177F" w:rsidRPr="00676953" w:rsidRDefault="00727056" w:rsidP="00727056">
      <w:pPr>
        <w:pStyle w:val="Heading4"/>
        <w:rPr>
          <w:rFonts w:asciiTheme="majorHAnsi" w:hAnsiTheme="majorHAnsi" w:cstheme="majorHAnsi"/>
        </w:rPr>
      </w:pPr>
      <w:r>
        <w:rPr>
          <w:rFonts w:asciiTheme="majorHAnsi" w:hAnsiTheme="majorHAnsi" w:cstheme="majorHAnsi"/>
        </w:rPr>
        <w:t xml:space="preserve">The plan is morally necessary even in the face of alt causes and fill-in. You shouldn’t endorse state-sanctioned violence just because another country might. </w:t>
      </w:r>
    </w:p>
    <w:p w:rsidR="006E177F" w:rsidRPr="00676953" w:rsidRDefault="006E177F" w:rsidP="006E177F">
      <w:pPr>
        <w:rPr>
          <w:rStyle w:val="Style13ptBold"/>
          <w:rFonts w:asciiTheme="majorHAnsi" w:hAnsiTheme="majorHAnsi" w:cstheme="majorHAnsi"/>
        </w:rPr>
      </w:pPr>
      <w:proofErr w:type="spellStart"/>
      <w:r w:rsidRPr="00676953">
        <w:rPr>
          <w:rStyle w:val="Style13ptBold"/>
          <w:rFonts w:asciiTheme="majorHAnsi" w:hAnsiTheme="majorHAnsi" w:cstheme="majorHAnsi"/>
        </w:rPr>
        <w:t>Karlin</w:t>
      </w:r>
      <w:proofErr w:type="spellEnd"/>
      <w:r w:rsidRPr="00676953">
        <w:rPr>
          <w:rStyle w:val="Style13ptBold"/>
          <w:rFonts w:asciiTheme="majorHAnsi" w:hAnsiTheme="majorHAnsi" w:cstheme="majorHAnsi"/>
        </w:rPr>
        <w:t xml:space="preserve"> 12</w:t>
      </w:r>
    </w:p>
    <w:p w:rsidR="006E177F" w:rsidRPr="00676953" w:rsidRDefault="006E177F" w:rsidP="006E177F">
      <w:pPr>
        <w:rPr>
          <w:rStyle w:val="Style13ptBold"/>
          <w:rFonts w:asciiTheme="majorHAnsi" w:hAnsiTheme="majorHAnsi" w:cstheme="majorHAnsi"/>
          <w:sz w:val="20"/>
          <w:szCs w:val="20"/>
        </w:rPr>
      </w:pPr>
      <w:r w:rsidRPr="00676953">
        <w:rPr>
          <w:rStyle w:val="Style13ptBold"/>
          <w:rFonts w:asciiTheme="majorHAnsi" w:hAnsiTheme="majorHAnsi" w:cstheme="majorHAnsi"/>
          <w:sz w:val="20"/>
          <w:szCs w:val="20"/>
        </w:rPr>
        <w:t xml:space="preserve">(Mark </w:t>
      </w:r>
      <w:proofErr w:type="spellStart"/>
      <w:r w:rsidRPr="00676953">
        <w:rPr>
          <w:rStyle w:val="Style13ptBold"/>
          <w:rFonts w:asciiTheme="majorHAnsi" w:hAnsiTheme="majorHAnsi" w:cstheme="majorHAnsi"/>
          <w:sz w:val="20"/>
          <w:szCs w:val="20"/>
        </w:rPr>
        <w:t>Karlin</w:t>
      </w:r>
      <w:proofErr w:type="spellEnd"/>
      <w:r w:rsidRPr="00676953">
        <w:rPr>
          <w:rStyle w:val="Style13ptBold"/>
          <w:rFonts w:asciiTheme="majorHAnsi" w:hAnsiTheme="majorHAnsi" w:cstheme="majorHAnsi"/>
          <w:sz w:val="20"/>
          <w:szCs w:val="20"/>
        </w:rPr>
        <w:t xml:space="preserve"> founded BuzzFlash.com in May 2000. He wrote daily commentaries for </w:t>
      </w:r>
      <w:proofErr w:type="spellStart"/>
      <w:r w:rsidRPr="00676953">
        <w:rPr>
          <w:rStyle w:val="Style13ptBold"/>
          <w:rFonts w:asciiTheme="majorHAnsi" w:hAnsiTheme="majorHAnsi" w:cstheme="majorHAnsi"/>
          <w:sz w:val="20"/>
          <w:szCs w:val="20"/>
        </w:rPr>
        <w:t>Truthout</w:t>
      </w:r>
      <w:proofErr w:type="spellEnd"/>
      <w:r w:rsidRPr="00676953">
        <w:rPr>
          <w:rStyle w:val="Style13ptBold"/>
          <w:rFonts w:asciiTheme="majorHAnsi" w:hAnsiTheme="majorHAnsi" w:cstheme="majorHAnsi"/>
          <w:sz w:val="20"/>
          <w:szCs w:val="20"/>
        </w:rPr>
        <w:t xml:space="preserve"> for eight years and was a senior member of the staff., 3-20-2012, "Murder Incorporated: Guns, the NRA and the Politics of Violence on the Mexican Border," </w:t>
      </w:r>
      <w:proofErr w:type="spellStart"/>
      <w:r w:rsidRPr="00676953">
        <w:rPr>
          <w:rStyle w:val="Style13ptBold"/>
          <w:rFonts w:asciiTheme="majorHAnsi" w:hAnsiTheme="majorHAnsi" w:cstheme="majorHAnsi"/>
          <w:sz w:val="20"/>
          <w:szCs w:val="20"/>
        </w:rPr>
        <w:t>Truthout</w:t>
      </w:r>
      <w:proofErr w:type="spellEnd"/>
      <w:r w:rsidRPr="00676953">
        <w:rPr>
          <w:rStyle w:val="Style13ptBold"/>
          <w:rFonts w:asciiTheme="majorHAnsi" w:hAnsiTheme="majorHAnsi" w:cstheme="majorHAnsi"/>
          <w:sz w:val="20"/>
          <w:szCs w:val="20"/>
        </w:rPr>
        <w:t xml:space="preserve">, </w:t>
      </w:r>
      <w:hyperlink r:id="rId21" w:history="1">
        <w:r w:rsidRPr="00676953">
          <w:rPr>
            <w:rStyle w:val="Style13ptBold"/>
            <w:rFonts w:asciiTheme="majorHAnsi" w:hAnsiTheme="majorHAnsi" w:cstheme="majorHAnsi"/>
            <w:sz w:val="20"/>
            <w:szCs w:val="20"/>
          </w:rPr>
          <w:t>https://truthout.org/articles/murder-incorporated-guns-the-nra-and-the-politics-of-violence-on-the-mexican-border/</w:t>
        </w:r>
      </w:hyperlink>
      <w:r w:rsidRPr="00676953">
        <w:rPr>
          <w:rStyle w:val="Style13ptBold"/>
          <w:rFonts w:asciiTheme="majorHAnsi" w:hAnsiTheme="majorHAnsi" w:cstheme="majorHAnsi"/>
          <w:sz w:val="20"/>
          <w:szCs w:val="20"/>
        </w:rPr>
        <w:t>, JKS)</w:t>
      </w:r>
      <w:r>
        <w:rPr>
          <w:rStyle w:val="Style13ptBold"/>
          <w:rFonts w:asciiTheme="majorHAnsi" w:hAnsiTheme="majorHAnsi" w:cstheme="majorHAnsi"/>
          <w:sz w:val="20"/>
          <w:szCs w:val="20"/>
        </w:rPr>
        <w:t>** citing Bowden + Malloy</w:t>
      </w:r>
    </w:p>
    <w:p w:rsidR="006E177F" w:rsidRPr="00E962FA" w:rsidRDefault="006E177F" w:rsidP="006E177F">
      <w:pPr>
        <w:rPr>
          <w:rFonts w:asciiTheme="majorHAnsi" w:hAnsiTheme="majorHAnsi" w:cstheme="majorHAnsi"/>
          <w:sz w:val="16"/>
        </w:rPr>
      </w:pPr>
      <w:r w:rsidRPr="00E962FA">
        <w:rPr>
          <w:rFonts w:asciiTheme="majorHAnsi" w:hAnsiTheme="majorHAnsi" w:cstheme="majorHAnsi"/>
          <w:sz w:val="16"/>
        </w:rPr>
        <w:t xml:space="preserve">Perhaps, some would argue, the generally large number of estimated guns traveling from the US consumer and illegal markets to Mexico is exaggerated. Charles Bowden, a legendary writer on the borderland, and Molly Molloy, a tenacious recorder of the deaths in Juarez from her position as research librarian for Latin America and the border at New Mexico State University in Las Cruces, </w:t>
      </w:r>
      <w:r w:rsidRPr="00642DD9">
        <w:rPr>
          <w:rStyle w:val="StyleUnderline"/>
        </w:rPr>
        <w:t>both believe that many more guns come from other sources, including firearms that the US allows American arms dealers to sell directly to the Mexican military and law enforcement agencies</w:t>
      </w:r>
      <w:r w:rsidRPr="00E962FA">
        <w:rPr>
          <w:rFonts w:asciiTheme="majorHAnsi" w:hAnsiTheme="majorHAnsi" w:cstheme="majorHAnsi"/>
          <w:sz w:val="16"/>
        </w:rPr>
        <w:t xml:space="preserve">. Indeed, according to CBS News, </w:t>
      </w:r>
      <w:r w:rsidRPr="00E962FA">
        <w:rPr>
          <w:rStyle w:val="StyleUnderline"/>
        </w:rPr>
        <w:t xml:space="preserve">many </w:t>
      </w:r>
      <w:r w:rsidRPr="00E962FA">
        <w:rPr>
          <w:rStyle w:val="Emphasis"/>
        </w:rPr>
        <w:t>State Department-approved</w:t>
      </w:r>
      <w:r w:rsidRPr="00E962FA">
        <w:rPr>
          <w:rStyle w:val="StyleUnderline"/>
        </w:rPr>
        <w:t>, military-assault-style weapons sales result in arming the cartels due to the cross-pollination between corrupt segments of the Mexican army and the cartels</w:t>
      </w:r>
      <w:r w:rsidRPr="00E962FA">
        <w:rPr>
          <w:rFonts w:asciiTheme="majorHAnsi" w:hAnsiTheme="majorHAnsi" w:cstheme="majorHAnsi"/>
          <w:sz w:val="16"/>
        </w:rPr>
        <w:t xml:space="preserve">. Even the National Shooting Sports Foundation’s Larry Keane told CBS News, “There have been 150,000 or more Mexican </w:t>
      </w:r>
      <w:proofErr w:type="gramStart"/>
      <w:r w:rsidRPr="00E962FA">
        <w:rPr>
          <w:rFonts w:asciiTheme="majorHAnsi" w:hAnsiTheme="majorHAnsi" w:cstheme="majorHAnsi"/>
          <w:sz w:val="16"/>
        </w:rPr>
        <w:t>soldiers</w:t>
      </w:r>
      <w:proofErr w:type="gramEnd"/>
      <w:r w:rsidRPr="00E962FA">
        <w:rPr>
          <w:rFonts w:asciiTheme="majorHAnsi" w:hAnsiTheme="majorHAnsi" w:cstheme="majorHAnsi"/>
          <w:sz w:val="16"/>
        </w:rPr>
        <w:t xml:space="preserve"> defect to go work for the cartels, and I think it’s safe to assume that when they defect they take their firearms with them.” It has also been argued that </w:t>
      </w:r>
      <w:r w:rsidRPr="00E962FA">
        <w:rPr>
          <w:rStyle w:val="StyleUnderline"/>
        </w:rPr>
        <w:t>the Mexican army has played a significant role in the shooting of civilians, and that, at least in some cases, they used guns sold to them by US companies.</w:t>
      </w:r>
      <w:r w:rsidRPr="00E962FA">
        <w:rPr>
          <w:rFonts w:asciiTheme="majorHAnsi" w:hAnsiTheme="majorHAnsi" w:cstheme="majorHAnsi"/>
          <w:sz w:val="16"/>
        </w:rPr>
        <w:t xml:space="preserve"> Furthermore, Bowden and Molloy make the case that even if a lot of guns stopped coming from the United States, the cartels and the Mexican government have billions of dollars to find other suppliers. Bowden and Molloy, who shared with </w:t>
      </w:r>
      <w:proofErr w:type="spellStart"/>
      <w:r w:rsidRPr="00E962FA">
        <w:rPr>
          <w:rFonts w:asciiTheme="majorHAnsi" w:hAnsiTheme="majorHAnsi" w:cstheme="majorHAnsi"/>
          <w:sz w:val="16"/>
        </w:rPr>
        <w:t>Truthout</w:t>
      </w:r>
      <w:proofErr w:type="spellEnd"/>
      <w:r w:rsidRPr="00E962FA">
        <w:rPr>
          <w:rFonts w:asciiTheme="majorHAnsi" w:hAnsiTheme="majorHAnsi" w:cstheme="majorHAnsi"/>
          <w:sz w:val="16"/>
        </w:rPr>
        <w:t xml:space="preserve"> their concerns that the issue of guns being supplied from the United States should not divert attention from the Mexican government’s role in the ongoing Mexican killings, may very well be correct. </w:t>
      </w:r>
      <w:r w:rsidRPr="00E962FA">
        <w:rPr>
          <w:rStyle w:val="Emphasis"/>
        </w:rPr>
        <w:t xml:space="preserve">But regardless of whether the number of guns from the US is 90 percent, 70 percent, or even 50 percent or less of the cartels,’ Mexican military’s and “law enforcement’s” firepower – and regardless of whether these same parties who kill civilians have vast financial resources to buy firearms from other nations – at the current moment, </w:t>
      </w:r>
      <w:r w:rsidRPr="00E962FA">
        <w:rPr>
          <w:rStyle w:val="Emphasis"/>
          <w:sz w:val="28"/>
          <w:szCs w:val="28"/>
        </w:rPr>
        <w:t>isn’t it the moral obligation of the United States to limit its role in enabling the war-zone number of killings in Mexico?</w:t>
      </w:r>
      <w:r w:rsidRPr="00E962FA">
        <w:rPr>
          <w:rFonts w:asciiTheme="majorHAnsi" w:hAnsiTheme="majorHAnsi" w:cstheme="majorHAnsi"/>
          <w:sz w:val="16"/>
        </w:rPr>
        <w:t xml:space="preserve"> </w:t>
      </w:r>
      <w:r w:rsidRPr="00E962FA">
        <w:rPr>
          <w:rStyle w:val="StyleUnderline"/>
        </w:rPr>
        <w:t>This is one of the tacit deals that underlies US drugs and gun policy: we buy the drugs from Mexico, and the cartels buy many of their guns from us via straw purchasers and other illicit acquisition or with State Department sanction for the military and police.</w:t>
      </w:r>
      <w:r w:rsidRPr="00E962FA">
        <w:rPr>
          <w:rFonts w:asciiTheme="majorHAnsi" w:hAnsiTheme="majorHAnsi" w:cstheme="majorHAnsi"/>
          <w:sz w:val="16"/>
        </w:rPr>
        <w:t xml:space="preserve"> Disregard the political rhetoric; this is the reality in this grim exchange of goods, whatever “the collateral damage.”</w:t>
      </w:r>
    </w:p>
    <w:p w:rsidR="00454283" w:rsidRPr="00454283" w:rsidRDefault="00454283" w:rsidP="00454283"/>
    <w:p w:rsidR="00F8432D" w:rsidRDefault="00F8432D" w:rsidP="00F8432D">
      <w:pPr>
        <w:pStyle w:val="Heading3"/>
      </w:pPr>
      <w:r>
        <w:lastRenderedPageBreak/>
        <w:t>1AC- Framing</w:t>
      </w:r>
    </w:p>
    <w:p w:rsidR="00827D6D" w:rsidRDefault="00827D6D" w:rsidP="00827D6D">
      <w:pPr>
        <w:pStyle w:val="Heading4"/>
        <w:rPr>
          <w:rFonts w:asciiTheme="majorHAnsi" w:hAnsiTheme="majorHAnsi" w:cstheme="majorHAnsi"/>
        </w:rPr>
      </w:pPr>
      <w:r>
        <w:rPr>
          <w:rFonts w:asciiTheme="majorHAnsi" w:hAnsiTheme="majorHAnsi" w:cstheme="majorHAnsi"/>
        </w:rPr>
        <w:t xml:space="preserve">Small arms play a unique role in </w:t>
      </w:r>
      <w:r w:rsidRPr="00233803">
        <w:rPr>
          <w:rFonts w:asciiTheme="majorHAnsi" w:hAnsiTheme="majorHAnsi" w:cstheme="majorHAnsi"/>
          <w:u w:val="single"/>
        </w:rPr>
        <w:t>everyday violence</w:t>
      </w:r>
      <w:r>
        <w:rPr>
          <w:rFonts w:asciiTheme="majorHAnsi" w:hAnsiTheme="majorHAnsi" w:cstheme="majorHAnsi"/>
        </w:rPr>
        <w:t xml:space="preserve"> against women. Widespread access to small arms generates militarized masculinities that outlast wars and traditional understandings of “peace.” Focusing on questions of ‘alt causes’ is not neutral, but directly contributes to the mundane acceptance of gender violence.</w:t>
      </w:r>
    </w:p>
    <w:p w:rsidR="00F14403" w:rsidRPr="00F14403" w:rsidRDefault="00F14403" w:rsidP="00F14403">
      <w:r>
        <w:t>-</w:t>
      </w:r>
      <w:proofErr w:type="spellStart"/>
      <w:r>
        <w:t>zomg</w:t>
      </w:r>
      <w:proofErr w:type="spellEnd"/>
      <w:r>
        <w:t xml:space="preserve"> star this card judge</w:t>
      </w:r>
    </w:p>
    <w:p w:rsidR="00827D6D" w:rsidRPr="00676953" w:rsidRDefault="00827D6D" w:rsidP="00827D6D">
      <w:pPr>
        <w:rPr>
          <w:rStyle w:val="Style13ptBold"/>
          <w:rFonts w:asciiTheme="majorHAnsi" w:hAnsiTheme="majorHAnsi" w:cstheme="majorHAnsi"/>
        </w:rPr>
      </w:pPr>
      <w:r w:rsidRPr="00676953">
        <w:rPr>
          <w:rStyle w:val="Style13ptBold"/>
          <w:rFonts w:asciiTheme="majorHAnsi" w:hAnsiTheme="majorHAnsi" w:cstheme="majorHAnsi"/>
        </w:rPr>
        <w:t>Farr 06</w:t>
      </w:r>
    </w:p>
    <w:p w:rsidR="00827D6D" w:rsidRPr="00676953" w:rsidRDefault="00827D6D" w:rsidP="00827D6D">
      <w:pPr>
        <w:rPr>
          <w:rStyle w:val="Style13ptBold"/>
          <w:rFonts w:asciiTheme="majorHAnsi" w:hAnsiTheme="majorHAnsi" w:cstheme="majorHAnsi"/>
          <w:sz w:val="20"/>
          <w:szCs w:val="20"/>
        </w:rPr>
      </w:pPr>
      <w:r w:rsidRPr="00676953">
        <w:rPr>
          <w:rStyle w:val="Style13ptBold"/>
          <w:rFonts w:asciiTheme="majorHAnsi" w:hAnsiTheme="majorHAnsi" w:cstheme="majorHAnsi"/>
          <w:sz w:val="20"/>
          <w:szCs w:val="20"/>
        </w:rPr>
        <w:t xml:space="preserve">(Vanessa Farr, African Women’s Anti-War </w:t>
      </w:r>
      <w:proofErr w:type="gramStart"/>
      <w:r w:rsidRPr="00676953">
        <w:rPr>
          <w:rStyle w:val="Style13ptBold"/>
          <w:rFonts w:asciiTheme="majorHAnsi" w:hAnsiTheme="majorHAnsi" w:cstheme="majorHAnsi"/>
          <w:sz w:val="20"/>
          <w:szCs w:val="20"/>
        </w:rPr>
        <w:t>Coalition ,</w:t>
      </w:r>
      <w:proofErr w:type="gramEnd"/>
      <w:r w:rsidRPr="00676953">
        <w:rPr>
          <w:rStyle w:val="Style13ptBold"/>
          <w:rFonts w:asciiTheme="majorHAnsi" w:hAnsiTheme="majorHAnsi" w:cstheme="majorHAnsi"/>
          <w:sz w:val="20"/>
          <w:szCs w:val="20"/>
        </w:rPr>
        <w:t>(2006) Scared half to death: The gendered impacts of prolific small arms, Contemporary Security Policy, 27:01, 45-59, DOI: 10.1080/13523260600602263, JKS)</w:t>
      </w:r>
    </w:p>
    <w:p w:rsidR="00827D6D" w:rsidRDefault="00827D6D" w:rsidP="00827D6D">
      <w:pPr>
        <w:rPr>
          <w:rStyle w:val="StyleUnderline"/>
        </w:rPr>
      </w:pPr>
      <w:r w:rsidRPr="0066779D">
        <w:rPr>
          <w:rStyle w:val="StyleUnderline"/>
        </w:rPr>
        <w:t>War violently disrupts political, social and cultural mores: and this destruction</w:t>
      </w:r>
      <w:r w:rsidRPr="00D20414">
        <w:rPr>
          <w:rFonts w:asciiTheme="majorHAnsi" w:hAnsiTheme="majorHAnsi" w:cstheme="majorHAnsi"/>
          <w:sz w:val="16"/>
        </w:rPr>
        <w:t xml:space="preserve"> of values always </w:t>
      </w:r>
      <w:r w:rsidRPr="0066779D">
        <w:rPr>
          <w:rStyle w:val="StyleUnderline"/>
        </w:rPr>
        <w:t xml:space="preserve">has </w:t>
      </w:r>
      <w:r w:rsidRPr="00D20414">
        <w:rPr>
          <w:rFonts w:asciiTheme="majorHAnsi" w:hAnsiTheme="majorHAnsi" w:cstheme="majorHAnsi"/>
          <w:sz w:val="16"/>
        </w:rPr>
        <w:t xml:space="preserve">particular </w:t>
      </w:r>
      <w:r w:rsidRPr="0066779D">
        <w:rPr>
          <w:rStyle w:val="StyleUnderline"/>
        </w:rPr>
        <w:t>implications for gender relations</w:t>
      </w:r>
      <w:r w:rsidRPr="00D20414">
        <w:rPr>
          <w:rFonts w:asciiTheme="majorHAnsi" w:hAnsiTheme="majorHAnsi" w:cstheme="majorHAnsi"/>
          <w:sz w:val="16"/>
        </w:rPr>
        <w:t xml:space="preserve">, as decades of feminist scholarship has observed.38 </w:t>
      </w:r>
      <w:r w:rsidRPr="0066779D">
        <w:rPr>
          <w:rStyle w:val="Emphasis"/>
        </w:rPr>
        <w:t>Small arms play a significant part in the process of social destruction,</w:t>
      </w:r>
      <w:r w:rsidRPr="00D20414">
        <w:rPr>
          <w:rFonts w:asciiTheme="majorHAnsi" w:hAnsiTheme="majorHAnsi" w:cstheme="majorHAnsi"/>
          <w:sz w:val="16"/>
        </w:rPr>
        <w:t xml:space="preserve"> and their presence has a profound impact on how a society reshapes itself after conflict. </w:t>
      </w:r>
      <w:r w:rsidRPr="0066779D">
        <w:rPr>
          <w:rStyle w:val="StyleUnderline"/>
        </w:rPr>
        <w:t>Yet international attention has focused in a narrowly instrumental way on supply-related issues, which does not sufficiently promote consideration of the political dimensions of the trade in small arms.</w:t>
      </w:r>
      <w:r w:rsidRPr="00D20414">
        <w:rPr>
          <w:rFonts w:asciiTheme="majorHAnsi" w:hAnsiTheme="majorHAnsi" w:cstheme="majorHAnsi"/>
          <w:sz w:val="16"/>
        </w:rPr>
        <w:t xml:space="preserve"> </w:t>
      </w:r>
      <w:r w:rsidRPr="0066779D">
        <w:rPr>
          <w:rStyle w:val="StyleUnderline"/>
        </w:rPr>
        <w:t>There has also been a tendency to characterize the problem of small arms as one which results from ‘illicit’ or ‘criminal activity’, with ‘illegal’ guns</w:t>
      </w:r>
      <w:r w:rsidRPr="00D20414">
        <w:rPr>
          <w:rFonts w:asciiTheme="majorHAnsi" w:hAnsiTheme="majorHAnsi" w:cstheme="majorHAnsi"/>
          <w:sz w:val="16"/>
        </w:rPr>
        <w:t xml:space="preserve">. </w:t>
      </w:r>
      <w:r w:rsidRPr="0066779D">
        <w:rPr>
          <w:rStyle w:val="StyleUnderline"/>
        </w:rPr>
        <w:t xml:space="preserve">Such thinking leads not to meaningful actions to tackle the effects of these weapons and the </w:t>
      </w:r>
      <w:r w:rsidRPr="0066779D">
        <w:rPr>
          <w:rStyle w:val="Emphasis"/>
        </w:rPr>
        <w:t>structural violence</w:t>
      </w:r>
      <w:r w:rsidRPr="0066779D">
        <w:rPr>
          <w:rStyle w:val="StyleUnderline"/>
        </w:rPr>
        <w:t xml:space="preserve"> in which they are embedded, but to continued vagueness and abstraction, especially about how women’s lives are impacted. </w:t>
      </w:r>
      <w:r w:rsidRPr="00D20414">
        <w:rPr>
          <w:rFonts w:asciiTheme="majorHAnsi" w:hAnsiTheme="majorHAnsi" w:cstheme="majorHAnsi"/>
          <w:sz w:val="16"/>
        </w:rPr>
        <w:t xml:space="preserve">As a result, we still live in a world where there is little commitment to understanding the magnitude or scale of the problem, and from which few strategies for combating it can be developed. </w:t>
      </w:r>
      <w:r w:rsidRPr="0066779D">
        <w:rPr>
          <w:rStyle w:val="StyleUnderline"/>
        </w:rPr>
        <w:t>From a feminist perspective, a shift in attitude to the impact of small arms and light weapons, whether they are legitimately owned and subject to legislated control or not, is well overdue.</w:t>
      </w:r>
      <w:r w:rsidRPr="00D20414">
        <w:rPr>
          <w:rFonts w:asciiTheme="majorHAnsi" w:hAnsiTheme="majorHAnsi" w:cstheme="majorHAnsi"/>
          <w:sz w:val="16"/>
        </w:rPr>
        <w:t xml:space="preserve"> </w:t>
      </w:r>
      <w:r w:rsidRPr="0066779D">
        <w:rPr>
          <w:rStyle w:val="StyleUnderline"/>
        </w:rPr>
        <w:t xml:space="preserve">Feminists have long questioned the broad tendency to understand violence in a fragmented way that reduces our awareness of it as an egregious social phenomenon, whether it occurs in the domestic sphere or in the arena of war, </w:t>
      </w:r>
      <w:r w:rsidRPr="00D20414">
        <w:rPr>
          <w:rFonts w:asciiTheme="majorHAnsi" w:hAnsiTheme="majorHAnsi" w:cstheme="majorHAnsi"/>
          <w:sz w:val="16"/>
        </w:rPr>
        <w:t xml:space="preserve">at the point of a weapon that is legally owned or one that is not.40 </w:t>
      </w:r>
      <w:r w:rsidRPr="0066779D">
        <w:rPr>
          <w:rStyle w:val="StyleUnderline"/>
        </w:rPr>
        <w:t>Feminist responses to violence highlight that it is not private and individualized, but socially and structurally produced</w:t>
      </w:r>
      <w:r w:rsidRPr="00D20414">
        <w:rPr>
          <w:rFonts w:asciiTheme="majorHAnsi" w:hAnsiTheme="majorHAnsi" w:cstheme="majorHAnsi"/>
          <w:sz w:val="16"/>
        </w:rPr>
        <w:t xml:space="preserve">.41 From this perspective, </w:t>
      </w:r>
      <w:r w:rsidRPr="006E5EB8">
        <w:rPr>
          <w:rStyle w:val="StyleUnderline"/>
        </w:rPr>
        <w:t xml:space="preserve">an exclusive focus on the high levels of political violence which occur in and after a war, or on the technical problems posed by weapons proliferation, can hide the effects of other violence, often socially sanctioned, </w:t>
      </w:r>
      <w:r w:rsidRPr="006E5EB8">
        <w:rPr>
          <w:rStyle w:val="Emphasis"/>
        </w:rPr>
        <w:t>which predates war and continues in peacetime</w:t>
      </w:r>
      <w:r w:rsidRPr="006E5EB8">
        <w:rPr>
          <w:rStyle w:val="StyleUnderline"/>
        </w:rPr>
        <w:t>.</w:t>
      </w:r>
      <w:r w:rsidRPr="00D20414">
        <w:rPr>
          <w:rFonts w:asciiTheme="majorHAnsi" w:hAnsiTheme="majorHAnsi" w:cstheme="majorHAnsi"/>
          <w:sz w:val="16"/>
        </w:rPr>
        <w:t xml:space="preserve"> Because the purpose of most new wars is neither liberation nor social transformation, attitudes which endorse violence as an appropriate response to conflict or stress may not measurably change in the aftermath. In such instances, </w:t>
      </w:r>
      <w:r w:rsidRPr="006E5EB8">
        <w:rPr>
          <w:rStyle w:val="Emphasis"/>
        </w:rPr>
        <w:t>women’s bodies all too often become the ‘shock absorbers</w:t>
      </w:r>
      <w:r w:rsidRPr="006E5EB8">
        <w:rPr>
          <w:rStyle w:val="StyleUnderline"/>
        </w:rPr>
        <w:t xml:space="preserve"> of the social dislocations which are the legacy of many years of war’, continuing to bear the brunt of militarized conceptions of masculinity long after a war has officially come to an end.</w:t>
      </w:r>
      <w:r w:rsidRPr="00D20414">
        <w:rPr>
          <w:rFonts w:asciiTheme="majorHAnsi" w:hAnsiTheme="majorHAnsi" w:cstheme="majorHAnsi"/>
          <w:sz w:val="16"/>
        </w:rPr>
        <w:t xml:space="preserve">42 </w:t>
      </w:r>
      <w:r w:rsidRPr="006E5EB8">
        <w:rPr>
          <w:rStyle w:val="StyleUnderline"/>
        </w:rPr>
        <w:t>Readily available guns, and social attitudes that tolerate gun ownership and use, significantly contribute to women’s insecurity</w:t>
      </w:r>
      <w:r w:rsidRPr="00D20414">
        <w:rPr>
          <w:rFonts w:asciiTheme="majorHAnsi" w:hAnsiTheme="majorHAnsi" w:cstheme="majorHAnsi"/>
          <w:sz w:val="16"/>
        </w:rPr>
        <w:t xml:space="preserve"> in a post-war situation.43 In societies which have become habituated to high levels of aggression, women and other vulnerable members of society continue to bear the brunt of violent acts. This is one reason why </w:t>
      </w:r>
      <w:r w:rsidRPr="006E5EB8">
        <w:rPr>
          <w:rStyle w:val="StyleUnderline"/>
        </w:rPr>
        <w:t>gender-aware research</w:t>
      </w:r>
      <w:r w:rsidRPr="00D20414">
        <w:rPr>
          <w:rFonts w:asciiTheme="majorHAnsi" w:hAnsiTheme="majorHAnsi" w:cstheme="majorHAnsi"/>
          <w:sz w:val="16"/>
        </w:rPr>
        <w:t xml:space="preserve"> on the impacts of small arms proliferation is so important: it </w:t>
      </w:r>
      <w:r w:rsidRPr="006E5EB8">
        <w:rPr>
          <w:rStyle w:val="Emphasis"/>
        </w:rPr>
        <w:t xml:space="preserve">is an invaluable means to trace the links between ‘everyday’ violence and the ‘unspeakable’ extremes of violence seen in conflict situations. </w:t>
      </w:r>
      <w:r w:rsidRPr="00D20414">
        <w:rPr>
          <w:rFonts w:asciiTheme="majorHAnsi" w:hAnsiTheme="majorHAnsi" w:cstheme="majorHAnsi"/>
          <w:sz w:val="16"/>
        </w:rPr>
        <w:t xml:space="preserve">Feminist peace researchers would argue that these links derive, to a large extent, from the prevalence of gender </w:t>
      </w:r>
      <w:r w:rsidRPr="00D20414">
        <w:rPr>
          <w:rFonts w:asciiTheme="majorHAnsi" w:hAnsiTheme="majorHAnsi" w:cstheme="majorHAnsi"/>
          <w:sz w:val="16"/>
        </w:rPr>
        <w:lastRenderedPageBreak/>
        <w:t xml:space="preserve">ideologies which promote and glorify male superiority and condone its expression through aggression, giving men a form of power over women, children and other ‘inferior’ men that can be readily expressed through physically violating them.44 </w:t>
      </w:r>
      <w:r w:rsidRPr="004C1D90">
        <w:rPr>
          <w:rStyle w:val="StyleUnderline"/>
        </w:rPr>
        <w:t>The acknowledgement of this fact l</w:t>
      </w:r>
      <w:r w:rsidRPr="00D20414">
        <w:rPr>
          <w:rFonts w:asciiTheme="majorHAnsi" w:hAnsiTheme="majorHAnsi" w:cstheme="majorHAnsi"/>
          <w:sz w:val="16"/>
        </w:rPr>
        <w:t xml:space="preserve">ies at the heart of gender-aware peace research, whose purpose, then, </w:t>
      </w:r>
      <w:r w:rsidRPr="004C1D90">
        <w:rPr>
          <w:rStyle w:val="StyleUnderline"/>
        </w:rPr>
        <w:t>is ultimately to challenge ideologies which preserve and support the continuation of violence in all societies – those which are caught up in violent conflict as well as those that are supposedly ‘at peace’.</w:t>
      </w:r>
      <w:r w:rsidRPr="00D20414">
        <w:rPr>
          <w:rFonts w:asciiTheme="majorHAnsi" w:hAnsiTheme="majorHAnsi" w:cstheme="majorHAnsi"/>
          <w:sz w:val="16"/>
        </w:rPr>
        <w:t xml:space="preserve"> Social attitudes which implicitly condone violence against women can only be overcome by concerted actions which are based in carefully documented evidence and gendered analysis of how easily available firearms impact on women’s lives. Locally, accurate statistics are vital for the development of new, more far-reaching legislation. That gun laws need to be upgraded within terms that are gender-aware and responsive to the particular needs of women is essential for the peaceful development of a region, because, as existing research highlights, in aggression-prone societies the most vulnerable members must struggle daily against the effects of a continuum of violence, even in a peacetime context. For women, and often for children, then</w:t>
      </w:r>
      <w:r w:rsidRPr="004C1D90">
        <w:rPr>
          <w:rStyle w:val="StyleUnderline"/>
        </w:rPr>
        <w:t>, it is devastatingly misleading to refer to gun-related trauma as something which happens most frequently in times of violent upheaval, in other words, outside of ‘normality’</w:t>
      </w:r>
      <w:r w:rsidRPr="00D20414">
        <w:rPr>
          <w:rFonts w:asciiTheme="majorHAnsi" w:hAnsiTheme="majorHAnsi" w:cstheme="majorHAnsi"/>
          <w:sz w:val="16"/>
        </w:rPr>
        <w:t xml:space="preserve">. </w:t>
      </w:r>
      <w:r w:rsidRPr="004C1D90">
        <w:rPr>
          <w:rStyle w:val="StyleUnderline"/>
        </w:rPr>
        <w:t>It is also inaccurate to focus on the danger of ‘illicit’ small arms that are used in ‘criminal’ activity, as if gun misuse were not directly correlated to ideologies that support the use of violence, even in the home, and even in times of peace.</w:t>
      </w:r>
      <w:r w:rsidRPr="00D20414">
        <w:rPr>
          <w:rFonts w:asciiTheme="majorHAnsi" w:hAnsiTheme="majorHAnsi" w:cstheme="majorHAnsi"/>
          <w:sz w:val="16"/>
        </w:rPr>
        <w:t xml:space="preserve"> Evidence shows that </w:t>
      </w:r>
      <w:r w:rsidRPr="004C1D90">
        <w:rPr>
          <w:rStyle w:val="StyleUnderline"/>
        </w:rPr>
        <w:t>distinguishing between the impact of licit and illicit weapons in post-conflict zones characterized by robust gun cultures is, anyway, moot</w:t>
      </w:r>
      <w:r w:rsidRPr="00D20414">
        <w:rPr>
          <w:rFonts w:asciiTheme="majorHAnsi" w:hAnsiTheme="majorHAnsi" w:cstheme="majorHAnsi"/>
          <w:sz w:val="16"/>
        </w:rPr>
        <w:t xml:space="preserve">: in the southern African region, it has been proven that firearms used in criminal activities are systematically obtained through targeting those who first obtained them legally.45 </w:t>
      </w:r>
      <w:r w:rsidRPr="004C1D90">
        <w:rPr>
          <w:rStyle w:val="Emphasis"/>
          <w:sz w:val="28"/>
          <w:szCs w:val="28"/>
        </w:rPr>
        <w:t>For those who fall victim to such weapons, discourses on control that focus on a distinction in how firearms are obtained do little more than ‘support the process of minimizing and silencing evidence of violence’ in their everyday lives</w:t>
      </w:r>
      <w:r w:rsidRPr="00D20414">
        <w:rPr>
          <w:rFonts w:asciiTheme="majorHAnsi" w:hAnsiTheme="majorHAnsi" w:cstheme="majorHAnsi"/>
          <w:sz w:val="16"/>
        </w:rPr>
        <w:t xml:space="preserve">.46 </w:t>
      </w:r>
      <w:r w:rsidRPr="00D20414">
        <w:rPr>
          <w:rStyle w:val="StyleUnderline"/>
        </w:rPr>
        <w:t>Easy access to guns, however they are come by, shores up traditions of militarized masculinity and plays a significant part in the frighteningly high tolerance of gender-based violence that characterizes many countries in the region</w:t>
      </w:r>
      <w:r w:rsidRPr="00D20414">
        <w:rPr>
          <w:rFonts w:asciiTheme="majorHAnsi" w:hAnsiTheme="majorHAnsi" w:cstheme="majorHAnsi"/>
          <w:sz w:val="16"/>
        </w:rPr>
        <w:t xml:space="preserve">.47 I have focused, so far, on the ways in which accessible small arms may increase violence against women in the domestic and public sphere. As I have shown, while far more men than women die at the point of a gun around the world, </w:t>
      </w:r>
      <w:r w:rsidRPr="00D20414">
        <w:rPr>
          <w:rStyle w:val="StyleUnderline"/>
        </w:rPr>
        <w:t>the easy availability of small arms plays a particularly egregious role in maintaining male dominance and facilitating the violence perpetrated against women in conflict zones</w:t>
      </w:r>
      <w:r w:rsidRPr="00D20414">
        <w:rPr>
          <w:rFonts w:asciiTheme="majorHAnsi" w:hAnsiTheme="majorHAnsi" w:cstheme="majorHAnsi"/>
          <w:sz w:val="16"/>
        </w:rPr>
        <w:t xml:space="preserve">. However, as I highlighted earlier in this paper, it is inappropriate to consider the impact of weapons proliferation on women in terms of a dichotomy which portrays ‘women as victims’ and ‘men as </w:t>
      </w:r>
      <w:proofErr w:type="gramStart"/>
      <w:r w:rsidRPr="00D20414">
        <w:rPr>
          <w:rFonts w:asciiTheme="majorHAnsi" w:hAnsiTheme="majorHAnsi" w:cstheme="majorHAnsi"/>
          <w:sz w:val="16"/>
        </w:rPr>
        <w:t>perpetrators’</w:t>
      </w:r>
      <w:proofErr w:type="gramEnd"/>
      <w:r w:rsidRPr="00D20414">
        <w:rPr>
          <w:rFonts w:asciiTheme="majorHAnsi" w:hAnsiTheme="majorHAnsi" w:cstheme="majorHAnsi"/>
          <w:sz w:val="16"/>
        </w:rPr>
        <w:t xml:space="preserve">. Instead, </w:t>
      </w:r>
      <w:r w:rsidRPr="00D20414">
        <w:rPr>
          <w:rStyle w:val="StyleUnderline"/>
        </w:rPr>
        <w:t>we have to analyze the complex ways in which the widespread presence of guns and other light weapons support ideologies of masculinity and femininity.</w:t>
      </w:r>
    </w:p>
    <w:p w:rsidR="002709FF" w:rsidRDefault="002709FF" w:rsidP="002709FF">
      <w:pPr>
        <w:pStyle w:val="Heading4"/>
      </w:pPr>
      <w:r>
        <w:t>Large-scale threats of future suffering collapses ethics and creates a form of temporal blackmail- the only ethical response is to refuse that bribery and align yourself with feminist urgency</w:t>
      </w:r>
    </w:p>
    <w:p w:rsidR="002709FF" w:rsidRDefault="002709FF" w:rsidP="002709FF">
      <w:pPr>
        <w:rPr>
          <w:rStyle w:val="Style13ptBold"/>
        </w:rPr>
      </w:pPr>
      <w:r>
        <w:rPr>
          <w:rStyle w:val="Style13ptBold"/>
        </w:rPr>
        <w:t xml:space="preserve">Olson 15 </w:t>
      </w:r>
    </w:p>
    <w:p w:rsidR="002709FF" w:rsidRPr="00EC49A8" w:rsidRDefault="002709FF" w:rsidP="002709FF">
      <w:pPr>
        <w:rPr>
          <w:rStyle w:val="Style13ptBold"/>
          <w:sz w:val="20"/>
          <w:szCs w:val="20"/>
        </w:rPr>
      </w:pPr>
      <w:r w:rsidRPr="00EC49A8">
        <w:rPr>
          <w:rStyle w:val="Style13ptBold"/>
          <w:sz w:val="20"/>
          <w:szCs w:val="20"/>
        </w:rPr>
        <w:t>(Elizabeth, professor of geography and global studies at UNC Chapel Hill, ‘Geography and Ethics I: Waiting and Urgency,’ Progress in Human Geography, vol. 39 no. 4, pp. 517-526)</w:t>
      </w:r>
    </w:p>
    <w:p w:rsidR="002709FF" w:rsidRDefault="002709FF" w:rsidP="00827D6D">
      <w:pPr>
        <w:rPr>
          <w:rStyle w:val="StyleUnderline"/>
        </w:rPr>
      </w:pPr>
      <w:r w:rsidRPr="00741548">
        <w:rPr>
          <w:sz w:val="8"/>
        </w:rPr>
        <w:t xml:space="preserve">Though toileting might be thought of as a special case of bodily urgency, geographic research suggests that </w:t>
      </w:r>
      <w:r w:rsidRPr="006012B5">
        <w:rPr>
          <w:rStyle w:val="StyleUnderline"/>
        </w:rPr>
        <w:t xml:space="preserve">the body is </w:t>
      </w:r>
      <w:r w:rsidRPr="00741548">
        <w:rPr>
          <w:sz w:val="8"/>
        </w:rPr>
        <w:t>increasingly set</w:t>
      </w:r>
      <w:r w:rsidRPr="00AD1BB6">
        <w:rPr>
          <w:rStyle w:val="StyleUnderline"/>
        </w:rPr>
        <w:t xml:space="preserve"> </w:t>
      </w:r>
      <w:r w:rsidRPr="006012B5">
        <w:rPr>
          <w:rStyle w:val="StyleUnderline"/>
        </w:rPr>
        <w:t>at odds with larger scale ethical concerns</w:t>
      </w:r>
      <w:r w:rsidRPr="00AD1BB6">
        <w:rPr>
          <w:rStyle w:val="StyleUnderline"/>
        </w:rPr>
        <w:t xml:space="preserve">, </w:t>
      </w:r>
      <w:r w:rsidRPr="00741548">
        <w:rPr>
          <w:sz w:val="8"/>
        </w:rPr>
        <w:t xml:space="preserve">especially </w:t>
      </w:r>
      <w:r w:rsidRPr="006012B5">
        <w:rPr>
          <w:rStyle w:val="StyleUnderline"/>
        </w:rPr>
        <w:t xml:space="preserve">large-scale future events of </w:t>
      </w:r>
      <w:r w:rsidRPr="00741548">
        <w:rPr>
          <w:sz w:val="8"/>
        </w:rPr>
        <w:t>forecasted</w:t>
      </w:r>
      <w:r w:rsidRPr="00AD1BB6">
        <w:rPr>
          <w:rStyle w:val="StyleUnderline"/>
        </w:rPr>
        <w:t xml:space="preserve"> </w:t>
      </w:r>
      <w:r w:rsidRPr="006012B5">
        <w:rPr>
          <w:rStyle w:val="StyleUnderline"/>
        </w:rPr>
        <w:t>suffering</w:t>
      </w:r>
      <w:r w:rsidRPr="00741548">
        <w:rPr>
          <w:sz w:val="8"/>
        </w:rPr>
        <w:t xml:space="preserve">. Emergency planning is a particularly good example in which the large-scale threats of future suffering can distort moral reasoning. </w:t>
      </w:r>
      <w:proofErr w:type="spellStart"/>
      <w:r w:rsidRPr="00741548">
        <w:rPr>
          <w:sz w:val="8"/>
        </w:rPr>
        <w:t>Žižek</w:t>
      </w:r>
      <w:proofErr w:type="spellEnd"/>
      <w:r w:rsidRPr="00741548">
        <w:rPr>
          <w:sz w:val="8"/>
        </w:rPr>
        <w:t xml:space="preserve"> (2006) lightly develops this point in the context of the war on terror, where in the presence of fictitious and real ticking clocks and warning systems, </w:t>
      </w:r>
      <w:r w:rsidRPr="006012B5">
        <w:rPr>
          <w:rStyle w:val="StyleUnderline"/>
        </w:rPr>
        <w:t>the urgent body must be bypassed because there are bigger scales to worry about:</w:t>
      </w:r>
      <w:r w:rsidRPr="006012B5">
        <w:rPr>
          <w:rStyle w:val="StyleUnderline"/>
          <w:sz w:val="12"/>
        </w:rPr>
        <w:t>¶</w:t>
      </w:r>
      <w:r w:rsidRPr="006012B5">
        <w:rPr>
          <w:rStyle w:val="StyleUnderline"/>
        </w:rPr>
        <w:t xml:space="preserve"> What does this</w:t>
      </w:r>
      <w:r w:rsidRPr="00AD1BB6">
        <w:rPr>
          <w:rStyle w:val="StyleUnderline"/>
        </w:rPr>
        <w:t xml:space="preserve"> </w:t>
      </w:r>
      <w:r w:rsidRPr="00741548">
        <w:rPr>
          <w:sz w:val="8"/>
        </w:rPr>
        <w:t>all-pervasive sense of urgency</w:t>
      </w:r>
      <w:r w:rsidRPr="00AD1BB6">
        <w:rPr>
          <w:rStyle w:val="StyleUnderline"/>
        </w:rPr>
        <w:t xml:space="preserve"> </w:t>
      </w:r>
      <w:r w:rsidRPr="006012B5">
        <w:rPr>
          <w:rStyle w:val="StyleUnderline"/>
        </w:rPr>
        <w:t>mean ethically? The pressure of events is so overbearing, the stakes are so high, that they necessitate a suspension of ordinary ethical concerns</w:t>
      </w:r>
      <w:r w:rsidRPr="00AD1BB6">
        <w:rPr>
          <w:rStyle w:val="StyleUnderline"/>
        </w:rPr>
        <w:t xml:space="preserve">. After all, displaying moral qualms when the lives of </w:t>
      </w:r>
      <w:r w:rsidRPr="00AD1BB6">
        <w:rPr>
          <w:rStyle w:val="StyleUnderline"/>
        </w:rPr>
        <w:lastRenderedPageBreak/>
        <w:t>millions are at stake plays into the hands of the enemy.</w:t>
      </w:r>
      <w:r w:rsidRPr="00741548">
        <w:rPr>
          <w:sz w:val="8"/>
        </w:rPr>
        <w:t xml:space="preserve"> (</w:t>
      </w:r>
      <w:proofErr w:type="spellStart"/>
      <w:r w:rsidRPr="00741548">
        <w:rPr>
          <w:sz w:val="8"/>
        </w:rPr>
        <w:t>Žižek</w:t>
      </w:r>
      <w:proofErr w:type="spellEnd"/>
      <w:r w:rsidRPr="00741548">
        <w:rPr>
          <w:sz w:val="8"/>
        </w:rPr>
        <w:t xml:space="preserve">, 2006)¶ </w:t>
      </w:r>
      <w:r w:rsidRPr="006012B5">
        <w:rPr>
          <w:rStyle w:val="StyleUnderline"/>
        </w:rPr>
        <w:t>In the presence of large-scale future emergency, the urgency to secure the state</w:t>
      </w:r>
      <w:r w:rsidRPr="00AD1BB6">
        <w:rPr>
          <w:rStyle w:val="StyleUnderline"/>
        </w:rPr>
        <w:t xml:space="preserve">, </w:t>
      </w:r>
      <w:r w:rsidRPr="00741548">
        <w:rPr>
          <w:sz w:val="8"/>
        </w:rPr>
        <w:t>the citizenry, the economy, or the climate</w:t>
      </w:r>
      <w:r w:rsidRPr="00AD1BB6">
        <w:rPr>
          <w:rStyle w:val="StyleUnderline"/>
        </w:rPr>
        <w:t xml:space="preserve"> </w:t>
      </w:r>
      <w:r w:rsidRPr="006012B5">
        <w:rPr>
          <w:rStyle w:val="StyleUnderline"/>
        </w:rPr>
        <w:t xml:space="preserve">creates new scales and </w:t>
      </w:r>
      <w:r w:rsidRPr="00741548">
        <w:rPr>
          <w:sz w:val="8"/>
        </w:rPr>
        <w:t xml:space="preserve">new </w:t>
      </w:r>
      <w:r w:rsidRPr="006012B5">
        <w:rPr>
          <w:rStyle w:val="StyleUnderline"/>
        </w:rPr>
        <w:t>temporal orders of response</w:t>
      </w:r>
      <w:r w:rsidRPr="006012B5">
        <w:rPr>
          <w:sz w:val="8"/>
        </w:rPr>
        <w:t xml:space="preserve"> </w:t>
      </w:r>
      <w:r w:rsidRPr="00741548">
        <w:rPr>
          <w:sz w:val="8"/>
        </w:rPr>
        <w:t xml:space="preserve">(see Anderson, 2010; Baldwin, 2012; Dalby, 2013; Morrissey, 2012), </w:t>
      </w:r>
      <w:r w:rsidRPr="00AD1BB6">
        <w:rPr>
          <w:rStyle w:val="StyleUnderline"/>
        </w:rPr>
        <w:t>many of which treat the urgent body as impulsive and thus requiring management</w:t>
      </w:r>
      <w:r w:rsidRPr="00741548">
        <w:rPr>
          <w:sz w:val="8"/>
        </w:rPr>
        <w:t xml:space="preserve">. McDonald’s (2013) analysis of three interconnected discourses of ‘climate security’ illustrates how bodily urgency in climate change is also recast as a menacing impulse that might require exclusion from moral reckoning. The logics of climate security, especially those related to national security, ‘can encourage perverse political responses that not only fail to respond effectively to climate change but may present victims of it as a threat’ (McDonald, 2013: 49). </w:t>
      </w:r>
      <w:r w:rsidRPr="006012B5">
        <w:rPr>
          <w:rStyle w:val="Emphasis"/>
        </w:rPr>
        <w:t>Bodies that are currently suffering cannot be urgent, because they are excluded from the potential collectivity that could be suffering everywhere in some future time</w:t>
      </w:r>
      <w:r w:rsidRPr="00AD1BB6">
        <w:rPr>
          <w:rStyle w:val="StyleUnderline"/>
        </w:rPr>
        <w:t xml:space="preserve">. </w:t>
      </w:r>
      <w:r w:rsidRPr="00987A72">
        <w:rPr>
          <w:rStyle w:val="StyleUnderline"/>
        </w:rPr>
        <w:t xml:space="preserve">Similar bypassing of existing bodily urgency is echoed in writing about violent securitization, such as drone warfare </w:t>
      </w:r>
      <w:r w:rsidRPr="00741548">
        <w:rPr>
          <w:sz w:val="8"/>
        </w:rPr>
        <w:t xml:space="preserve">(Shaw and Akhter, 2012), </w:t>
      </w:r>
      <w:r w:rsidRPr="00987A72">
        <w:rPr>
          <w:rStyle w:val="StyleUnderline"/>
        </w:rPr>
        <w:t xml:space="preserve">and also in intimate scales like the street and the school, especially in relation to race </w:t>
      </w:r>
      <w:r w:rsidRPr="00741548">
        <w:rPr>
          <w:sz w:val="8"/>
        </w:rPr>
        <w:t xml:space="preserve">(Mitchell, 2009; Young et al., 2014).¶ </w:t>
      </w:r>
      <w:r w:rsidRPr="00AD1BB6">
        <w:rPr>
          <w:rStyle w:val="StyleUnderline"/>
        </w:rPr>
        <w:t xml:space="preserve">As </w:t>
      </w:r>
      <w:r w:rsidRPr="001816B8">
        <w:rPr>
          <w:rStyle w:val="StyleUnderline"/>
        </w:rPr>
        <w:t xml:space="preserve">large-scale urgent concerns are institutionalized, </w:t>
      </w:r>
      <w:r w:rsidRPr="006012B5">
        <w:rPr>
          <w:rStyle w:val="StyleUnderline"/>
        </w:rPr>
        <w:t>the urgent body is increasingly obscured through technical planning and coordination</w:t>
      </w:r>
      <w:r w:rsidRPr="00741548">
        <w:rPr>
          <w:sz w:val="8"/>
        </w:rPr>
        <w:t xml:space="preserve"> (Anderson and Adey, 2012). </w:t>
      </w:r>
      <w:r w:rsidRPr="00AD1BB6">
        <w:rPr>
          <w:rStyle w:val="StyleUnderline"/>
        </w:rPr>
        <w:t>The predominant characteristic of this institutionalization of large-scale emergency is a ‘built-in bias for action’</w:t>
      </w:r>
      <w:r w:rsidRPr="00741548">
        <w:rPr>
          <w:sz w:val="8"/>
        </w:rPr>
        <w:t xml:space="preserve"> (</w:t>
      </w:r>
      <w:proofErr w:type="spellStart"/>
      <w:r w:rsidRPr="00741548">
        <w:rPr>
          <w:sz w:val="8"/>
        </w:rPr>
        <w:t>Wuthnow</w:t>
      </w:r>
      <w:proofErr w:type="spellEnd"/>
      <w:r w:rsidRPr="00741548">
        <w:rPr>
          <w:sz w:val="8"/>
        </w:rPr>
        <w:t xml:space="preserve">, 2010: 212) that circumvents contingencies. The urgent body is at best an assumed eventuality, one that will likely require another state of waiting, such as triage (e.g. </w:t>
      </w:r>
      <w:proofErr w:type="spellStart"/>
      <w:r w:rsidRPr="00741548">
        <w:rPr>
          <w:sz w:val="8"/>
        </w:rPr>
        <w:t>Greatbach</w:t>
      </w:r>
      <w:proofErr w:type="spellEnd"/>
      <w:r w:rsidRPr="00741548">
        <w:rPr>
          <w:sz w:val="8"/>
        </w:rPr>
        <w:t xml:space="preserve"> et al., 2005). Amin (2013) cautions that in much of the West, governmental need to provide evidence of laissez-faire governing on the one hand, and assurance of strength in facing a threatening future on the other, produces ‘just-in-case preparedness’ (Amin, 2013: 151) of neoliberal risk management policies. In the US, ‘</w:t>
      </w:r>
      <w:r w:rsidRPr="00AD1BB6">
        <w:rPr>
          <w:rStyle w:val="StyleUnderline"/>
        </w:rPr>
        <w:t xml:space="preserve">personal ingenuity’ is built into emergency response at the expense of the poor and vulnerable for whom ‘[t]he difference between abjection and bearable survival’ </w:t>
      </w:r>
      <w:r w:rsidRPr="00741548">
        <w:rPr>
          <w:sz w:val="8"/>
        </w:rPr>
        <w:t xml:space="preserve">(Amin, 2013: 153) </w:t>
      </w:r>
      <w:r w:rsidRPr="00AD1BB6">
        <w:rPr>
          <w:rStyle w:val="StyleUnderline"/>
        </w:rPr>
        <w:t>will not be determined by emergency planning, but in the material infrastructure of the city.</w:t>
      </w:r>
      <w:r w:rsidRPr="00741548">
        <w:rPr>
          <w:sz w:val="8"/>
        </w:rPr>
        <w:t>¶ In short</w:t>
      </w:r>
      <w:r w:rsidRPr="006012B5">
        <w:rPr>
          <w:sz w:val="8"/>
        </w:rPr>
        <w:t xml:space="preserve">, </w:t>
      </w:r>
      <w:r w:rsidRPr="005C4B74">
        <w:rPr>
          <w:rStyle w:val="StyleUnderline"/>
        </w:rPr>
        <w:t>the</w:t>
      </w:r>
      <w:r w:rsidRPr="006012B5">
        <w:rPr>
          <w:rStyle w:val="StyleUnderline"/>
        </w:rPr>
        <w:t xml:space="preserve"> urgencies of the body provide justifications for social exclusion of the most marginalized based on impulse and perceived threat, while large-scale future emergencies effectively absorb the deliberative power of urgency into the institutions of preparedness and risk avoidance.</w:t>
      </w:r>
      <w:r w:rsidRPr="00741548">
        <w:rPr>
          <w:sz w:val="8"/>
        </w:rPr>
        <w:t xml:space="preserve"> </w:t>
      </w:r>
      <w:proofErr w:type="spellStart"/>
      <w:r w:rsidRPr="00741548">
        <w:rPr>
          <w:sz w:val="8"/>
        </w:rPr>
        <w:t>Žižek</w:t>
      </w:r>
      <w:proofErr w:type="spellEnd"/>
      <w:r w:rsidRPr="00741548">
        <w:rPr>
          <w:sz w:val="8"/>
        </w:rPr>
        <w:t xml:space="preserve"> references Arendt’s (2006) analysis of the banality of evil to explain the current state of ethical reasoning under the war on terror, noting that people who perform morally reprehensible actions under the conditions of urgency assume a ‘tragic-ethic grandeur’ (</w:t>
      </w:r>
      <w:proofErr w:type="spellStart"/>
      <w:r w:rsidRPr="00741548">
        <w:rPr>
          <w:sz w:val="8"/>
        </w:rPr>
        <w:t>Žižek</w:t>
      </w:r>
      <w:proofErr w:type="spellEnd"/>
      <w:r w:rsidRPr="00741548">
        <w:rPr>
          <w:sz w:val="8"/>
        </w:rPr>
        <w:t xml:space="preserve">, 2006) by sacrificing their own morality for the good of the state. But his analysis fails to note that </w:t>
      </w:r>
      <w:r w:rsidRPr="005C4B74">
        <w:rPr>
          <w:rStyle w:val="StyleUnderline"/>
        </w:rPr>
        <w:t xml:space="preserve">bodies </w:t>
      </w:r>
      <w:r w:rsidRPr="00741548">
        <w:rPr>
          <w:sz w:val="8"/>
        </w:rPr>
        <w:t>are</w:t>
      </w:r>
      <w:r w:rsidRPr="005C4B74">
        <w:rPr>
          <w:rStyle w:val="StyleUnderline"/>
        </w:rPr>
        <w:t xml:space="preserve"> today </w:t>
      </w:r>
      <w:r w:rsidRPr="00741548">
        <w:rPr>
          <w:sz w:val="8"/>
        </w:rPr>
        <w:t xml:space="preserve">so </w:t>
      </w:r>
      <w:r w:rsidRPr="005C4B74">
        <w:rPr>
          <w:rStyle w:val="StyleUnderline"/>
        </w:rPr>
        <w:t>rarely legitimate sites for claiming urgency.</w:t>
      </w:r>
      <w:r w:rsidRPr="00741548">
        <w:rPr>
          <w:sz w:val="8"/>
        </w:rPr>
        <w:t xml:space="preserve"> </w:t>
      </w:r>
      <w:r w:rsidRPr="005C4B74">
        <w:rPr>
          <w:rStyle w:val="StyleUnderline"/>
        </w:rPr>
        <w:t>In the context of the assumed priority of the large-scale future emergency, the urgent body becomes literally nonsense</w:t>
      </w:r>
      <w:r w:rsidRPr="0031325A">
        <w:rPr>
          <w:rStyle w:val="StyleUnderline"/>
        </w:rPr>
        <w:t>,</w:t>
      </w:r>
      <w:r w:rsidRPr="00741548">
        <w:rPr>
          <w:sz w:val="8"/>
        </w:rPr>
        <w:t xml:space="preserve"> a non sequitur within societies, states and worlds that will always be more urgent.¶ If the important ethical work of urgency has been to identify that which must not wait, then the capture of the power and persuasiveness of urgency by large-scale future emergencies has consequences for the kinds of normative arguments we can raise on behalf of urgent bodies. How, then, might waiting compare as a normative description and critique in our own urgent time? </w:t>
      </w:r>
      <w:r w:rsidRPr="00086507">
        <w:rPr>
          <w:rStyle w:val="StyleUnderline"/>
        </w:rPr>
        <w:t>Waiting</w:t>
      </w:r>
      <w:r w:rsidRPr="00741548">
        <w:rPr>
          <w:sz w:val="8"/>
        </w:rPr>
        <w:t xml:space="preserve"> can be categorized according to its purpose or outcome (see Corbridge, 2004; Gray, 2011), but it also </w:t>
      </w:r>
      <w:r w:rsidRPr="00086507">
        <w:rPr>
          <w:rStyle w:val="StyleUnderline"/>
        </w:rPr>
        <w:t>modifies the place of the individual in society and her importance.</w:t>
      </w:r>
      <w:r w:rsidRPr="00741548">
        <w:rPr>
          <w:sz w:val="8"/>
        </w:rPr>
        <w:t xml:space="preserve"> As Ramdas (2012: 834) writes, ‘</w:t>
      </w:r>
      <w:r w:rsidRPr="006012B5">
        <w:rPr>
          <w:rStyle w:val="StyleUnderline"/>
        </w:rPr>
        <w:t xml:space="preserve">waiting … produces hierarchies which segregate people and places into </w:t>
      </w:r>
      <w:proofErr w:type="gramStart"/>
      <w:r w:rsidRPr="006012B5">
        <w:rPr>
          <w:rStyle w:val="StyleUnderline"/>
        </w:rPr>
        <w:t>those which matter</w:t>
      </w:r>
      <w:proofErr w:type="gramEnd"/>
      <w:r w:rsidRPr="006012B5">
        <w:rPr>
          <w:rStyle w:val="StyleUnderline"/>
        </w:rPr>
        <w:t xml:space="preserve"> and those which do not’</w:t>
      </w:r>
      <w:r w:rsidRPr="00741548">
        <w:rPr>
          <w:sz w:val="8"/>
        </w:rPr>
        <w:t xml:space="preserve">. The segregation of waiting might produce effects that counteract suffering, however, and Jeffery (2008: 957) explains that though the ‘politics of waiting’ can be repressive, it can also engender creative political engagement. In his research with educated unemployed </w:t>
      </w:r>
      <w:proofErr w:type="spellStart"/>
      <w:r w:rsidRPr="00741548">
        <w:rPr>
          <w:sz w:val="8"/>
        </w:rPr>
        <w:t>Jat</w:t>
      </w:r>
      <w:proofErr w:type="spellEnd"/>
      <w:r w:rsidRPr="00741548">
        <w:rPr>
          <w:sz w:val="8"/>
        </w:rPr>
        <w:t xml:space="preserve"> youth who spend days and years waiting for desired employment, Jeffery finds that ‘the temporal suffering and sense of ambivalence experienced by young men can generate cultural and political experiments that, in turn, have marked social and spatial effects’ (Jeffery, 2010: 186). Though this is not the same as claiming normative neutrality for waiting, it does suggest that waiting is more ethically ambivalent and open than </w:t>
      </w:r>
      <w:proofErr w:type="gramStart"/>
      <w:r w:rsidRPr="00741548">
        <w:rPr>
          <w:sz w:val="8"/>
        </w:rPr>
        <w:t>urgency.¶</w:t>
      </w:r>
      <w:proofErr w:type="gramEnd"/>
      <w:r w:rsidRPr="00741548">
        <w:rPr>
          <w:sz w:val="8"/>
        </w:rPr>
        <w:t xml:space="preserve"> In other contexts, however, our descriptions of waiting indicate a strong condemnation of its effects upon the subjects of study. Waiting can demobilize radical reform, depoliticizing ‘the insurrectionary possibilities of the present by delaying the revolutionary imperative to a future moment that is forever drifting towards infinity’ (Springer, 2014: 407). </w:t>
      </w:r>
      <w:proofErr w:type="spellStart"/>
      <w:r w:rsidRPr="00741548">
        <w:rPr>
          <w:sz w:val="8"/>
        </w:rPr>
        <w:t>Yonucu’s</w:t>
      </w:r>
      <w:proofErr w:type="spellEnd"/>
      <w:r w:rsidRPr="00741548">
        <w:rPr>
          <w:sz w:val="8"/>
        </w:rPr>
        <w:t xml:space="preserve"> (2011) analysis of the self-destructive activities of disrespected working-class youth in Istanbul suggests that this sense of infinite waiting can lead not only to depoliticization, but also to a disbelief in the possibility of a future self of any value. </w:t>
      </w:r>
      <w:r w:rsidRPr="00167ECA">
        <w:rPr>
          <w:rStyle w:val="StyleUnderline"/>
        </w:rPr>
        <w:t>Waiting</w:t>
      </w:r>
      <w:r w:rsidRPr="00741548">
        <w:rPr>
          <w:sz w:val="8"/>
        </w:rPr>
        <w:t xml:space="preserve">, like urgency, </w:t>
      </w:r>
      <w:r w:rsidRPr="00167ECA">
        <w:rPr>
          <w:rStyle w:val="StyleUnderline"/>
        </w:rPr>
        <w:t>can undermine the possibility of self-care two-fold, first by making people wait for essential needs, and again by reinforcing that waiting is ‘[s]</w:t>
      </w:r>
      <w:proofErr w:type="spellStart"/>
      <w:r w:rsidRPr="00167ECA">
        <w:rPr>
          <w:rStyle w:val="StyleUnderline"/>
        </w:rPr>
        <w:t>omething</w:t>
      </w:r>
      <w:proofErr w:type="spellEnd"/>
      <w:r w:rsidRPr="00167ECA">
        <w:rPr>
          <w:rStyle w:val="StyleUnderline"/>
        </w:rPr>
        <w:t xml:space="preserve"> to be ashamed of because it may be noted or taken as evidence of indolence or low status, seen as a symptom of rejection or a signal to exclude’</w:t>
      </w:r>
      <w:r w:rsidRPr="00741548">
        <w:rPr>
          <w:sz w:val="8"/>
        </w:rPr>
        <w:t xml:space="preserve"> (Bauman, 2004: 109). This is why </w:t>
      </w:r>
      <w:proofErr w:type="spellStart"/>
      <w:r w:rsidRPr="00741548">
        <w:rPr>
          <w:sz w:val="8"/>
        </w:rPr>
        <w:t>Auyero</w:t>
      </w:r>
      <w:proofErr w:type="spellEnd"/>
      <w:r w:rsidRPr="00741548">
        <w:rPr>
          <w:sz w:val="8"/>
        </w:rPr>
        <w:t xml:space="preserve"> (2012) suggests that waiting creates an ideal state subject, providing ‘temporal processes in and through which political subordination is produced’ (</w:t>
      </w:r>
      <w:proofErr w:type="spellStart"/>
      <w:r w:rsidRPr="00741548">
        <w:rPr>
          <w:sz w:val="8"/>
        </w:rPr>
        <w:t>Auyero</w:t>
      </w:r>
      <w:proofErr w:type="spellEnd"/>
      <w:r w:rsidRPr="00741548">
        <w:rPr>
          <w:sz w:val="8"/>
        </w:rPr>
        <w:t xml:space="preserve">, 2012: loc. 90; see also </w:t>
      </w:r>
      <w:proofErr w:type="spellStart"/>
      <w:r w:rsidRPr="00741548">
        <w:rPr>
          <w:sz w:val="8"/>
        </w:rPr>
        <w:t>Secor</w:t>
      </w:r>
      <w:proofErr w:type="spellEnd"/>
      <w:r w:rsidRPr="00741548">
        <w:rPr>
          <w:sz w:val="8"/>
        </w:rPr>
        <w:t xml:space="preserve">, 2007). Furthermore, </w:t>
      </w:r>
      <w:proofErr w:type="spellStart"/>
      <w:r w:rsidRPr="00741548">
        <w:rPr>
          <w:sz w:val="8"/>
        </w:rPr>
        <w:t>Auyero</w:t>
      </w:r>
      <w:proofErr w:type="spellEnd"/>
      <w:r w:rsidRPr="00741548">
        <w:rPr>
          <w:sz w:val="8"/>
        </w:rPr>
        <w:t xml:space="preserve"> notes, it is not only political subordination, but the subjective effect of waiting that secures domination, as citizens and non-citizens find themselves ‘waiting hopefully and then frustratedly for others to make decisions, and in effect surrendering to the authority of others’ (</w:t>
      </w:r>
      <w:proofErr w:type="spellStart"/>
      <w:r w:rsidRPr="00741548">
        <w:rPr>
          <w:sz w:val="8"/>
        </w:rPr>
        <w:t>Auyero</w:t>
      </w:r>
      <w:proofErr w:type="spellEnd"/>
      <w:r w:rsidRPr="00741548">
        <w:rPr>
          <w:sz w:val="8"/>
        </w:rPr>
        <w:t xml:space="preserve">, 2012: loc. 123).¶ Waiting can therefore function as a potentially important spatial technology of the elite and powerful, mobilized not only for the purpose of governing individuals, but also to retain claims over moral urgency. But there is growing resistance to the capture of claims of urgency by the elite, and it is important to note that even in cases where the material conditions of containment are currently impenetrable, arguments based on human value are at the forefront of reclaiming urgency for the body. In detention centers, clandestine prisons, state borders and refugee camps, geographers point to ongoing struggles against the ethical impossibility of bodily urgency and a rejection of states of waiting (see Conlon, 2011; Darling, 2009, 2011; </w:t>
      </w:r>
      <w:proofErr w:type="spellStart"/>
      <w:r w:rsidRPr="00741548">
        <w:rPr>
          <w:sz w:val="8"/>
        </w:rPr>
        <w:t>Garmany</w:t>
      </w:r>
      <w:proofErr w:type="spellEnd"/>
      <w:r w:rsidRPr="00741548">
        <w:rPr>
          <w:sz w:val="8"/>
        </w:rPr>
        <w:t xml:space="preserve">, 2012; Mountz et al., 2013; Schuster, 2011). Ramakrishnan’s (2014) analysis of a Delhi resettlement colony and </w:t>
      </w:r>
      <w:proofErr w:type="spellStart"/>
      <w:r w:rsidRPr="00741548">
        <w:rPr>
          <w:sz w:val="8"/>
        </w:rPr>
        <w:t>Shewly’s</w:t>
      </w:r>
      <w:proofErr w:type="spellEnd"/>
      <w:r w:rsidRPr="00741548">
        <w:rPr>
          <w:sz w:val="8"/>
        </w:rPr>
        <w:t xml:space="preserve"> (2013) discussion of the enclave between India and Bangladesh describe people who refuse to give up their own status as legitimately urgent, even in the context of larger scale politics. Similarly, Tyler’s (2013) account of desperate female detainees stripping off their clothes to expose their humanness and suffering in the </w:t>
      </w:r>
      <w:proofErr w:type="spellStart"/>
      <w:r w:rsidRPr="00741548">
        <w:rPr>
          <w:sz w:val="8"/>
        </w:rPr>
        <w:t>Yarl’s</w:t>
      </w:r>
      <w:proofErr w:type="spellEnd"/>
      <w:r w:rsidRPr="00741548">
        <w:rPr>
          <w:sz w:val="8"/>
        </w:rPr>
        <w:t xml:space="preserve"> Wood Immigration Removal Centre in the UK suggests that demands for recognition are not just about politics, but also about the acknowledgement of humanness and the irrevocable possibility of being that which cannot wait. The continued existence of places like </w:t>
      </w:r>
      <w:proofErr w:type="spellStart"/>
      <w:r w:rsidRPr="00741548">
        <w:rPr>
          <w:sz w:val="8"/>
        </w:rPr>
        <w:t>Yarl’s</w:t>
      </w:r>
      <w:proofErr w:type="spellEnd"/>
      <w:r w:rsidRPr="00741548">
        <w:rPr>
          <w:sz w:val="8"/>
        </w:rPr>
        <w:t xml:space="preserve"> Wood and similar institutions in the USA nonetheless points to the challenge of exposing the urgent body as a moral priority when it is so easily hidden from view, and also reminds us that our research can help to explain the relationships between normative dimensions and the political and social conditions of struggle.¶ In closing, geographic depictions of waiting do seem to evocatively describe otherwise obscured suffering (e.g. Bennett, 2011), but it is striking how rarely these descriptions also use the language of urgency. Given the discussion above, what might be accomplished – and risked – by incorporating urgency more overtly and deliberately into our discussions of waiting, surplus and abandoned bodies? </w:t>
      </w:r>
      <w:r w:rsidRPr="00792821">
        <w:rPr>
          <w:rStyle w:val="StyleUnderline"/>
        </w:rPr>
        <w:t xml:space="preserve">Urgency can clarify the implicit but understated ethical consequences and normativity associated with </w:t>
      </w:r>
      <w:proofErr w:type="gramStart"/>
      <w:r w:rsidRPr="00792821">
        <w:rPr>
          <w:rStyle w:val="StyleUnderline"/>
        </w:rPr>
        <w:t>waiting, and</w:t>
      </w:r>
      <w:proofErr w:type="gramEnd"/>
      <w:r w:rsidRPr="00792821">
        <w:rPr>
          <w:rStyle w:val="StyleUnderline"/>
        </w:rPr>
        <w:t xml:space="preserve"> encourage explicit discussion about harmful suffering. Waiting can be productive or unproductive for radical praxis, but urgency compels and requires response. </w:t>
      </w:r>
      <w:r w:rsidRPr="00741548">
        <w:rPr>
          <w:sz w:val="8"/>
        </w:rPr>
        <w:t xml:space="preserve">Geographers could be instrumental in reclaiming the ethical work of urgency in ways that leave it open for critique, clarifying common spatial misunderstandings and representations. There is good reason to be thoughtful in this process, since moral outrage towards inhumanity can itself obscure differentiated experiences of being human, dividing up ‘those for whom we feel urgent unreasoned concern and those whose lives and deaths simply do not touch us, or do not appear as lives at all’ (Butler, 2009: 50). But when </w:t>
      </w:r>
      <w:r w:rsidRPr="00741548">
        <w:rPr>
          <w:rStyle w:val="StyleUnderline"/>
        </w:rPr>
        <w:t xml:space="preserve">the urgent body is rendered as only waiting, both materially and discursively, it is just as easily cast as impulsive, disgusting, animalistic </w:t>
      </w:r>
      <w:r w:rsidRPr="00741548">
        <w:rPr>
          <w:sz w:val="8"/>
        </w:rPr>
        <w:t xml:space="preserve">(see also McKittrick, 2006). </w:t>
      </w:r>
      <w:r w:rsidRPr="006012B5">
        <w:rPr>
          <w:rStyle w:val="StyleUnderline"/>
        </w:rPr>
        <w:t>Feminist theory insists that the urgent body, whose encounters of violence are ‘usually framed as private, apolitical and mundane’</w:t>
      </w:r>
      <w:r w:rsidRPr="006012B5">
        <w:rPr>
          <w:sz w:val="8"/>
        </w:rPr>
        <w:t xml:space="preserve"> </w:t>
      </w:r>
      <w:r w:rsidRPr="00741548">
        <w:rPr>
          <w:sz w:val="8"/>
        </w:rPr>
        <w:t xml:space="preserve">(Pain, 2014: 8), </w:t>
      </w:r>
      <w:r w:rsidRPr="006012B5">
        <w:rPr>
          <w:rStyle w:val="StyleUnderline"/>
        </w:rPr>
        <w:t xml:space="preserve">are as deeply political, public, and </w:t>
      </w:r>
      <w:r w:rsidRPr="006012B5">
        <w:rPr>
          <w:rStyle w:val="StyleUnderline"/>
        </w:rPr>
        <w:lastRenderedPageBreak/>
        <w:t>exceptional as other forms of violence</w:t>
      </w:r>
      <w:r w:rsidRPr="00741548">
        <w:rPr>
          <w:sz w:val="8"/>
        </w:rPr>
        <w:t xml:space="preserve"> (Phillips, 2008; Pratt, 2005). Insisting that a suffering body, now, is that which cannot wait, has the ethical effect of drawing it into consideration alongside the political, public and exceptional scope of large-scale futures. It may help us insist on the body, both as a single unit and a plurality, as a legitimate scale of normative priority and social </w:t>
      </w:r>
      <w:proofErr w:type="gramStart"/>
      <w:r w:rsidRPr="00741548">
        <w:rPr>
          <w:sz w:val="8"/>
        </w:rPr>
        <w:t>care.¶</w:t>
      </w:r>
      <w:proofErr w:type="gramEnd"/>
      <w:r w:rsidRPr="00741548">
        <w:rPr>
          <w:sz w:val="8"/>
        </w:rPr>
        <w:t xml:space="preserve"> In this report, I have explored old and new reflections on the ethical work of urgency and waiting. Geographic research suggests a contemporary popular bias towards the urgency of large-scale futures, institutionalized in ways that further obscure and discredit the urgencies of the body. This bias also justifies the production of new waiting places in our material landscape, places like the detention center and the waiting room. In some cases, waiting is normatively neutral, even providing opportunities for alternative politics. In others, the technologies of waiting serve to manage potentially problematic bodies, leading to suspended suffering and even to extermination (e.g. Wright, 2013). One of my aims has been to suggest that moral reasoning is important both because it exposes normative biases against subjugated people, and because it potentially provides routes toward struggle where claims to urgency seem to foreclose the possibilities of alleviation of suffering. </w:t>
      </w:r>
      <w:r w:rsidRPr="00516DA4">
        <w:rPr>
          <w:rStyle w:val="StyleUnderline"/>
        </w:rPr>
        <w:t>Saving the world still should require a debate about whose world is being saved, when, and at what cost – and this requires a debate about what really cannot wait</w:t>
      </w:r>
      <w:r w:rsidRPr="00741548">
        <w:rPr>
          <w:sz w:val="8"/>
        </w:rPr>
        <w:t xml:space="preserve">. My next report will extend some of these concerns by reviewing how feelings of urgency, as well as hope, fear, and other emotions, have played a role in geography and ethical </w:t>
      </w:r>
      <w:proofErr w:type="gramStart"/>
      <w:r w:rsidRPr="00741548">
        <w:rPr>
          <w:sz w:val="8"/>
        </w:rPr>
        <w:t>reasoning.¶</w:t>
      </w:r>
      <w:proofErr w:type="gramEnd"/>
      <w:r w:rsidRPr="00741548">
        <w:rPr>
          <w:sz w:val="8"/>
        </w:rPr>
        <w:t xml:space="preserve"> I conclude, however, by pulling together past and present. In 1972, Gilbert White asked why geographers were not engaging ‘the truly urgent questions’ (1972: 101) such as racial repression, decaying cities, economic inequality, and global environmental destruction. His question highlights just how much the discipline has changed, but it is also unnerving in its echoes of our contemporary problems. Since White’s writing, our moral reasoning has been stretched to consider the future body and the more-than-human, alongside the presently urgent body – topics and concerns that I have not taken up in this </w:t>
      </w:r>
      <w:proofErr w:type="gramStart"/>
      <w:r w:rsidRPr="00741548">
        <w:rPr>
          <w:sz w:val="8"/>
        </w:rPr>
        <w:t>review</w:t>
      </w:r>
      <w:proofErr w:type="gramEnd"/>
      <w:r w:rsidRPr="00741548">
        <w:rPr>
          <w:sz w:val="8"/>
        </w:rPr>
        <w:t xml:space="preserve"> but which will provide their own new possibilities for urgent concerns. My own hope presently is drawn from an acknowledgement that the temporal characteristics of contemporary capitalism can be interrupted in creative ways (Sharma, 2014), with the possibility of squaring the urgent body with our large-scale future concerns. Temporal alternatives already exist in ongoing and emerging revolutions and the disruption of claims of cycles and circular political processes (e.g. Lombard, 2013; Reyes, 2012). Though calls for urgency will certainly be used to obscure evasion of responsibility (e.g. Gilmore, 2008: 56, </w:t>
      </w:r>
      <w:proofErr w:type="spellStart"/>
      <w:r w:rsidRPr="00741548">
        <w:rPr>
          <w:sz w:val="8"/>
        </w:rPr>
        <w:t>fn</w:t>
      </w:r>
      <w:proofErr w:type="spellEnd"/>
      <w:r w:rsidRPr="00741548">
        <w:rPr>
          <w:sz w:val="8"/>
        </w:rPr>
        <w:t xml:space="preserve"> 6), they may also serve as fertile ground for radical critique, a truly fierce urgency for now</w:t>
      </w:r>
      <w:r w:rsidRPr="0060075C">
        <w:rPr>
          <w:rStyle w:val="StyleUnderline"/>
        </w:rPr>
        <w:t>.</w:t>
      </w:r>
    </w:p>
    <w:p w:rsidR="002709FF" w:rsidRPr="00D20414" w:rsidRDefault="002709FF" w:rsidP="00827D6D">
      <w:pPr>
        <w:rPr>
          <w:rStyle w:val="StyleUnderline"/>
        </w:rPr>
      </w:pPr>
    </w:p>
    <w:p w:rsidR="00E1268A" w:rsidRPr="007102FC" w:rsidRDefault="00E1268A" w:rsidP="00E1268A">
      <w:pPr>
        <w:pStyle w:val="Heading4"/>
      </w:pPr>
      <w:r>
        <w:t>The metrics and justifications for feminist policies matter just as much as the ends. Moves to resolve the aff by using masculine forms of risk calculus are antithetical to the ethical demands of the plan.</w:t>
      </w:r>
    </w:p>
    <w:p w:rsidR="00E1268A" w:rsidRPr="007102FC" w:rsidRDefault="00E1268A" w:rsidP="00E1268A">
      <w:pPr>
        <w:rPr>
          <w:rStyle w:val="Style13ptBold"/>
        </w:rPr>
      </w:pPr>
      <w:proofErr w:type="spellStart"/>
      <w:r w:rsidRPr="007102FC">
        <w:rPr>
          <w:rStyle w:val="Style13ptBold"/>
        </w:rPr>
        <w:t>Verloo</w:t>
      </w:r>
      <w:proofErr w:type="spellEnd"/>
      <w:r w:rsidRPr="007102FC">
        <w:rPr>
          <w:rStyle w:val="Style13ptBold"/>
        </w:rPr>
        <w:t xml:space="preserve"> 05 </w:t>
      </w:r>
    </w:p>
    <w:p w:rsidR="00E1268A" w:rsidRPr="007102FC" w:rsidRDefault="00E1268A" w:rsidP="00E1268A">
      <w:pPr>
        <w:rPr>
          <w:rStyle w:val="Style13ptBold"/>
          <w:sz w:val="20"/>
          <w:szCs w:val="20"/>
        </w:rPr>
      </w:pPr>
      <w:r w:rsidRPr="007102FC">
        <w:rPr>
          <w:rStyle w:val="Style13ptBold"/>
          <w:sz w:val="20"/>
          <w:szCs w:val="20"/>
        </w:rPr>
        <w:t>(</w:t>
      </w:r>
      <w:proofErr w:type="spellStart"/>
      <w:r w:rsidRPr="007102FC">
        <w:rPr>
          <w:rStyle w:val="Style13ptBold"/>
          <w:sz w:val="20"/>
          <w:szCs w:val="20"/>
        </w:rPr>
        <w:t>Mieke</w:t>
      </w:r>
      <w:proofErr w:type="spellEnd"/>
      <w:r w:rsidRPr="007102FC">
        <w:rPr>
          <w:rStyle w:val="Style13ptBold"/>
          <w:sz w:val="20"/>
          <w:szCs w:val="20"/>
        </w:rPr>
        <w:t>, Senior Lecturer in Political Sciences and Gender Studies at Radboud University Nijmegen and Research Director of an EU-funded comparative research facility, “Displacement and Empowerment:  Reflections on the Concept and Practice of the Council of Europe Approach to Gender Mainstreaming and Gender Equality”, Social Politics: International Studies in Gender, State and Society 12.3 (2005) 344-365)</w:t>
      </w:r>
    </w:p>
    <w:p w:rsidR="00E1268A" w:rsidRDefault="00E1268A" w:rsidP="00E1268A">
      <w:pPr>
        <w:pStyle w:val="Shrink"/>
        <w:ind w:left="0"/>
        <w:rPr>
          <w:rStyle w:val="underline"/>
          <w:rFonts w:asciiTheme="majorHAnsi" w:hAnsiTheme="majorHAnsi" w:cstheme="majorHAnsi"/>
        </w:rPr>
      </w:pPr>
      <w:r w:rsidRPr="001971CC">
        <w:rPr>
          <w:rFonts w:asciiTheme="majorHAnsi" w:hAnsiTheme="majorHAnsi" w:cstheme="majorHAnsi"/>
          <w:sz w:val="10"/>
        </w:rPr>
        <w:t>Some studies that focus on assessing the success of gender mainstreaming practices at the level of the European Union point to a similar phenomenon of "adding other goals," as happened in the Message to the Committee of Ministers to Steering Committees of the Council of Europe on Gender Mainstreaming. In Hafner-Burton and Pollack's analysis (2000) of five areas (structural funds, employment and social affairs, development, competition and science, research and development), the accent is on explaining cross-sectional variety within the European Commission in the start and the implementation of gender mainstreaming. They show how important it has been that political opportunities in Europe have widened and increased over the course of the last decade, for instance as a result of the entrance of the Nordic countries. They also show how important lobbying and modernization have been, for instance the lobbying of WISE (the European organization for women's studies) in the case of gender mainstreaming in science, research, and development. In assessing the success of gender mainstreaming, they refer to classical power mechanisms that are at the heart of social movement theory: political opportunities and mobilizing.  In the context of this article, the most interesting part of their analysis is their use of the concept of strategical framing, another power mechanism conceptualized in social movement theory. Strategical framing is a dynamic concept that enables us to see how</w:t>
      </w:r>
      <w:r w:rsidRPr="00EA1F5C">
        <w:rPr>
          <w:rStyle w:val="underline"/>
          <w:rFonts w:asciiTheme="majorHAnsi" w:hAnsiTheme="majorHAnsi" w:cstheme="majorHAnsi"/>
        </w:rPr>
        <w:t xml:space="preserve"> different actors adapt </w:t>
      </w:r>
      <w:r w:rsidRPr="001971CC">
        <w:rPr>
          <w:rFonts w:asciiTheme="majorHAnsi" w:hAnsiTheme="majorHAnsi" w:cstheme="majorHAnsi"/>
          <w:sz w:val="10"/>
        </w:rPr>
        <w:t>existing</w:t>
      </w:r>
      <w:r w:rsidRPr="007102FC">
        <w:rPr>
          <w:rStyle w:val="underline"/>
          <w:rFonts w:asciiTheme="majorHAnsi" w:hAnsiTheme="majorHAnsi" w:cstheme="majorHAnsi"/>
        </w:rPr>
        <w:t xml:space="preserve"> </w:t>
      </w:r>
      <w:r w:rsidRPr="00EA1F5C">
        <w:rPr>
          <w:rStyle w:val="underline"/>
          <w:rFonts w:asciiTheme="majorHAnsi" w:hAnsiTheme="majorHAnsi" w:cstheme="majorHAnsi"/>
        </w:rPr>
        <w:t xml:space="preserve">policy frames to pursue </w:t>
      </w:r>
      <w:r w:rsidRPr="001971CC">
        <w:rPr>
          <w:sz w:val="10"/>
        </w:rPr>
        <w:t>their</w:t>
      </w:r>
      <w:r w:rsidRPr="007102FC">
        <w:rPr>
          <w:rStyle w:val="underline"/>
          <w:rFonts w:asciiTheme="majorHAnsi" w:hAnsiTheme="majorHAnsi" w:cstheme="majorHAnsi"/>
        </w:rPr>
        <w:t xml:space="preserve"> </w:t>
      </w:r>
      <w:r w:rsidRPr="00EA1F5C">
        <w:rPr>
          <w:rStyle w:val="underline"/>
          <w:rFonts w:asciiTheme="majorHAnsi" w:hAnsiTheme="majorHAnsi" w:cstheme="majorHAnsi"/>
        </w:rPr>
        <w:t>prospective goals</w:t>
      </w:r>
      <w:r w:rsidRPr="00EA1F5C">
        <w:rPr>
          <w:rFonts w:asciiTheme="majorHAnsi" w:hAnsiTheme="majorHAnsi" w:cstheme="majorHAnsi"/>
          <w:sz w:val="10"/>
        </w:rPr>
        <w:t>.</w:t>
      </w:r>
      <w:r w:rsidRPr="001971CC">
        <w:rPr>
          <w:rFonts w:asciiTheme="majorHAnsi" w:hAnsiTheme="majorHAnsi" w:cstheme="majorHAnsi"/>
          <w:sz w:val="10"/>
        </w:rPr>
        <w:t xml:space="preserve"> Strategical framing is defined as attempting to construct a fit between existing frames, or networks of meaning, and the frames of a change agent. Hafner-Burton and Pollack show that </w:t>
      </w:r>
      <w:r w:rsidRPr="00EA1F5C">
        <w:rPr>
          <w:rStyle w:val="underline"/>
          <w:rFonts w:asciiTheme="majorHAnsi" w:hAnsiTheme="majorHAnsi" w:cstheme="majorHAnsi"/>
        </w:rPr>
        <w:t>gender</w:t>
      </w:r>
      <w:r w:rsidRPr="007102FC">
        <w:rPr>
          <w:rStyle w:val="underline"/>
          <w:rFonts w:asciiTheme="majorHAnsi" w:hAnsiTheme="majorHAnsi" w:cstheme="majorHAnsi"/>
        </w:rPr>
        <w:t xml:space="preserve"> </w:t>
      </w:r>
      <w:r w:rsidRPr="001971CC">
        <w:rPr>
          <w:rFonts w:asciiTheme="majorHAnsi" w:hAnsiTheme="majorHAnsi" w:cstheme="majorHAnsi"/>
          <w:sz w:val="10"/>
        </w:rPr>
        <w:t xml:space="preserve">mainstreaming </w:t>
      </w:r>
      <w:r w:rsidRPr="00EA1F5C">
        <w:rPr>
          <w:rStyle w:val="underline"/>
          <w:rFonts w:asciiTheme="majorHAnsi" w:hAnsiTheme="majorHAnsi" w:cstheme="majorHAnsi"/>
        </w:rPr>
        <w:t>is "sold" as a</w:t>
      </w:r>
      <w:r w:rsidRPr="001971CC">
        <w:rPr>
          <w:rFonts w:asciiTheme="majorHAnsi" w:hAnsiTheme="majorHAnsi" w:cstheme="majorHAnsi"/>
          <w:sz w:val="10"/>
        </w:rPr>
        <w:t>n effective</w:t>
      </w:r>
      <w:r w:rsidRPr="007102FC">
        <w:rPr>
          <w:rStyle w:val="underline"/>
          <w:rFonts w:asciiTheme="majorHAnsi" w:hAnsiTheme="majorHAnsi" w:cstheme="majorHAnsi"/>
        </w:rPr>
        <w:t xml:space="preserve"> </w:t>
      </w:r>
      <w:r w:rsidRPr="00EA1F5C">
        <w:rPr>
          <w:rStyle w:val="underline"/>
          <w:rFonts w:asciiTheme="majorHAnsi" w:hAnsiTheme="majorHAnsi" w:cstheme="majorHAnsi"/>
        </w:rPr>
        <w:t>means to the ends</w:t>
      </w:r>
      <w:r w:rsidRPr="007102FC">
        <w:rPr>
          <w:rStyle w:val="underline"/>
          <w:rFonts w:asciiTheme="majorHAnsi" w:hAnsiTheme="majorHAnsi" w:cstheme="majorHAnsi"/>
        </w:rPr>
        <w:t xml:space="preserve"> </w:t>
      </w:r>
      <w:r w:rsidRPr="001971CC">
        <w:rPr>
          <w:rFonts w:asciiTheme="majorHAnsi" w:hAnsiTheme="majorHAnsi" w:cstheme="majorHAnsi"/>
          <w:sz w:val="10"/>
        </w:rPr>
        <w:t xml:space="preserve">pursued by the European Commission, </w:t>
      </w:r>
      <w:r w:rsidRPr="00EA1F5C">
        <w:rPr>
          <w:rStyle w:val="underline"/>
          <w:rFonts w:asciiTheme="majorHAnsi" w:hAnsiTheme="majorHAnsi" w:cstheme="majorHAnsi"/>
        </w:rPr>
        <w:t>rather than as an overt challenge to those ends</w:t>
      </w:r>
      <w:r w:rsidRPr="007102FC">
        <w:rPr>
          <w:rStyle w:val="underline"/>
          <w:rFonts w:asciiTheme="majorHAnsi" w:hAnsiTheme="majorHAnsi" w:cstheme="majorHAnsi"/>
        </w:rPr>
        <w:t>.</w:t>
      </w:r>
      <w:r w:rsidRPr="001971CC">
        <w:rPr>
          <w:rFonts w:asciiTheme="majorHAnsi" w:hAnsiTheme="majorHAnsi" w:cstheme="majorHAnsi"/>
          <w:sz w:val="10"/>
        </w:rPr>
        <w:t xml:space="preserve"> They argue that the </w:t>
      </w:r>
      <w:r w:rsidRPr="007102FC">
        <w:rPr>
          <w:rStyle w:val="underline"/>
          <w:rFonts w:asciiTheme="majorHAnsi" w:hAnsiTheme="majorHAnsi" w:cstheme="majorHAnsi"/>
        </w:rPr>
        <w:t xml:space="preserve">gender mainstreaming </w:t>
      </w:r>
      <w:r w:rsidRPr="001971CC">
        <w:rPr>
          <w:rStyle w:val="underline"/>
          <w:rFonts w:asciiTheme="majorHAnsi" w:hAnsiTheme="majorHAnsi" w:cstheme="majorHAnsi"/>
        </w:rPr>
        <w:t xml:space="preserve">efforts, </w:t>
      </w:r>
      <w:r w:rsidRPr="007102FC">
        <w:rPr>
          <w:rStyle w:val="underline"/>
          <w:rFonts w:asciiTheme="majorHAnsi" w:hAnsiTheme="majorHAnsi" w:cstheme="majorHAnsi"/>
        </w:rPr>
        <w:t xml:space="preserve">because of </w:t>
      </w:r>
      <w:r w:rsidRPr="00EA1F5C">
        <w:rPr>
          <w:rStyle w:val="underline"/>
          <w:rFonts w:asciiTheme="majorHAnsi" w:hAnsiTheme="majorHAnsi" w:cstheme="majorHAnsi"/>
        </w:rPr>
        <w:t>this strategical framing, might turn into</w:t>
      </w:r>
      <w:r w:rsidRPr="007102FC">
        <w:rPr>
          <w:rStyle w:val="underline"/>
          <w:rFonts w:asciiTheme="majorHAnsi" w:hAnsiTheme="majorHAnsi" w:cstheme="majorHAnsi"/>
        </w:rPr>
        <w:t xml:space="preserve"> an integrationist approach, </w:t>
      </w:r>
      <w:r w:rsidRPr="00EA1F5C">
        <w:rPr>
          <w:rStyle w:val="underline"/>
          <w:rFonts w:asciiTheme="majorHAnsi" w:hAnsiTheme="majorHAnsi" w:cstheme="majorHAnsi"/>
        </w:rPr>
        <w:t xml:space="preserve">integrating </w:t>
      </w:r>
      <w:r w:rsidRPr="006F07B1">
        <w:t>women and</w:t>
      </w:r>
      <w:r w:rsidRPr="007102FC">
        <w:rPr>
          <w:rStyle w:val="underline"/>
          <w:rFonts w:asciiTheme="majorHAnsi" w:hAnsiTheme="majorHAnsi" w:cstheme="majorHAnsi"/>
        </w:rPr>
        <w:t xml:space="preserve"> </w:t>
      </w:r>
      <w:r w:rsidRPr="00EA1F5C">
        <w:rPr>
          <w:rStyle w:val="underline"/>
          <w:rFonts w:asciiTheme="majorHAnsi" w:hAnsiTheme="majorHAnsi" w:cstheme="majorHAnsi"/>
        </w:rPr>
        <w:t xml:space="preserve">gender issues into </w:t>
      </w:r>
      <w:r w:rsidRPr="001971CC">
        <w:rPr>
          <w:sz w:val="10"/>
        </w:rPr>
        <w:t xml:space="preserve">specific </w:t>
      </w:r>
      <w:r w:rsidRPr="00EA1F5C">
        <w:rPr>
          <w:rStyle w:val="underline"/>
          <w:rFonts w:asciiTheme="majorHAnsi" w:hAnsiTheme="majorHAnsi" w:cstheme="majorHAnsi"/>
        </w:rPr>
        <w:t>regular policies rather than rethinking</w:t>
      </w:r>
      <w:r w:rsidRPr="001971CC">
        <w:rPr>
          <w:rFonts w:asciiTheme="majorHAnsi" w:hAnsiTheme="majorHAnsi" w:cstheme="majorHAnsi"/>
          <w:sz w:val="10"/>
        </w:rPr>
        <w:t xml:space="preserve"> the </w:t>
      </w:r>
      <w:r w:rsidRPr="00EA1F5C">
        <w:rPr>
          <w:rStyle w:val="underline"/>
          <w:rFonts w:asciiTheme="majorHAnsi" w:hAnsiTheme="majorHAnsi" w:cstheme="majorHAnsi"/>
        </w:rPr>
        <w:t>fundamental aims</w:t>
      </w:r>
      <w:r w:rsidRPr="001971CC">
        <w:rPr>
          <w:rFonts w:asciiTheme="majorHAnsi" w:hAnsiTheme="majorHAnsi" w:cstheme="majorHAnsi"/>
          <w:sz w:val="10"/>
        </w:rPr>
        <w:t xml:space="preserve"> of the European Union </w:t>
      </w:r>
      <w:r w:rsidRPr="00EA1F5C">
        <w:rPr>
          <w:rStyle w:val="underline"/>
          <w:rFonts w:asciiTheme="majorHAnsi" w:hAnsiTheme="majorHAnsi" w:cstheme="majorHAnsi"/>
        </w:rPr>
        <w:t>from a gender perspective</w:t>
      </w:r>
      <w:r w:rsidRPr="00EA1F5C">
        <w:rPr>
          <w:rFonts w:asciiTheme="majorHAnsi" w:hAnsiTheme="majorHAnsi" w:cstheme="majorHAnsi"/>
          <w:sz w:val="10"/>
        </w:rPr>
        <w:t>.</w:t>
      </w:r>
      <w:r w:rsidRPr="001971CC">
        <w:rPr>
          <w:rFonts w:asciiTheme="majorHAnsi" w:hAnsiTheme="majorHAnsi" w:cstheme="majorHAnsi"/>
          <w:sz w:val="10"/>
        </w:rPr>
        <w:t xml:space="preserve"> Especially since the European Union is one of the most successful implementers of gender mainstreaming so far, </w:t>
      </w:r>
      <w:r w:rsidRPr="00EA1F5C">
        <w:rPr>
          <w:rStyle w:val="underline"/>
          <w:rFonts w:asciiTheme="majorHAnsi" w:hAnsiTheme="majorHAnsi" w:cstheme="majorHAnsi"/>
        </w:rPr>
        <w:t>this threatens</w:t>
      </w:r>
      <w:r w:rsidRPr="001971CC">
        <w:rPr>
          <w:rFonts w:asciiTheme="majorHAnsi" w:hAnsiTheme="majorHAnsi" w:cstheme="majorHAnsi"/>
          <w:sz w:val="10"/>
        </w:rPr>
        <w:t xml:space="preserve"> the </w:t>
      </w:r>
      <w:r w:rsidRPr="00EA1F5C">
        <w:rPr>
          <w:rStyle w:val="underline"/>
          <w:rFonts w:asciiTheme="majorHAnsi" w:hAnsiTheme="majorHAnsi" w:cstheme="majorHAnsi"/>
        </w:rPr>
        <w:t>transformative potential</w:t>
      </w:r>
      <w:r w:rsidRPr="001971CC">
        <w:rPr>
          <w:rFonts w:asciiTheme="majorHAnsi" w:hAnsiTheme="majorHAnsi" w:cstheme="majorHAnsi"/>
          <w:sz w:val="10"/>
        </w:rPr>
        <w:t xml:space="preserve"> of gender mainstreaming, they say. [End Page 358</w:t>
      </w:r>
      <w:proofErr w:type="gramStart"/>
      <w:r w:rsidRPr="001971CC">
        <w:rPr>
          <w:rFonts w:asciiTheme="majorHAnsi" w:hAnsiTheme="majorHAnsi" w:cstheme="majorHAnsi"/>
          <w:sz w:val="10"/>
        </w:rPr>
        <w:t>]  Mary</w:t>
      </w:r>
      <w:proofErr w:type="gramEnd"/>
      <w:r w:rsidRPr="001971CC">
        <w:rPr>
          <w:rFonts w:asciiTheme="majorHAnsi" w:hAnsiTheme="majorHAnsi" w:cstheme="majorHAnsi"/>
          <w:sz w:val="10"/>
        </w:rPr>
        <w:t xml:space="preserve"> Braithwaite's work on gender mainstreaming in the structural funds (1999) corroborates these findings. She finds that because of the absence of precise objectives on reducing gender inequalities, </w:t>
      </w:r>
      <w:r w:rsidRPr="00EA1F5C">
        <w:rPr>
          <w:rStyle w:val="underline"/>
          <w:rFonts w:asciiTheme="majorHAnsi" w:hAnsiTheme="majorHAnsi" w:cstheme="majorHAnsi"/>
        </w:rPr>
        <w:t xml:space="preserve">gender is </w:t>
      </w:r>
      <w:r w:rsidRPr="007102FC">
        <w:rPr>
          <w:rStyle w:val="underline"/>
          <w:rFonts w:asciiTheme="majorHAnsi" w:hAnsiTheme="majorHAnsi" w:cstheme="majorHAnsi"/>
        </w:rPr>
        <w:t xml:space="preserve">easily located within and has been </w:t>
      </w:r>
      <w:r w:rsidRPr="00EA1F5C">
        <w:rPr>
          <w:rStyle w:val="underline"/>
          <w:rFonts w:asciiTheme="majorHAnsi" w:hAnsiTheme="majorHAnsi" w:cstheme="majorHAnsi"/>
        </w:rPr>
        <w:t>subjected to other goals</w:t>
      </w:r>
      <w:r w:rsidRPr="00EA1F5C">
        <w:rPr>
          <w:rFonts w:asciiTheme="majorHAnsi" w:hAnsiTheme="majorHAnsi" w:cstheme="majorHAnsi"/>
          <w:sz w:val="10"/>
        </w:rPr>
        <w:t xml:space="preserve">, </w:t>
      </w:r>
      <w:r w:rsidRPr="00EA1F5C">
        <w:rPr>
          <w:rStyle w:val="underline"/>
          <w:rFonts w:asciiTheme="majorHAnsi" w:hAnsiTheme="majorHAnsi" w:cstheme="majorHAnsi"/>
        </w:rPr>
        <w:t xml:space="preserve">such as </w:t>
      </w:r>
      <w:r w:rsidRPr="005555C7">
        <w:t>employment creation,</w:t>
      </w:r>
      <w:r w:rsidRPr="007102FC">
        <w:rPr>
          <w:rStyle w:val="underline"/>
          <w:rFonts w:asciiTheme="majorHAnsi" w:hAnsiTheme="majorHAnsi" w:cstheme="majorHAnsi"/>
        </w:rPr>
        <w:t xml:space="preserve"> </w:t>
      </w:r>
      <w:r w:rsidRPr="00EA1F5C">
        <w:rPr>
          <w:rStyle w:val="underline"/>
          <w:rFonts w:asciiTheme="majorHAnsi" w:hAnsiTheme="majorHAnsi" w:cstheme="majorHAnsi"/>
        </w:rPr>
        <w:t xml:space="preserve">economic growth, </w:t>
      </w:r>
      <w:r w:rsidRPr="001971CC">
        <w:rPr>
          <w:rStyle w:val="underline"/>
          <w:rFonts w:asciiTheme="majorHAnsi" w:hAnsiTheme="majorHAnsi" w:cstheme="majorHAnsi"/>
        </w:rPr>
        <w:t>or poverty</w:t>
      </w:r>
      <w:r w:rsidRPr="007102FC">
        <w:rPr>
          <w:rStyle w:val="underline"/>
          <w:rFonts w:asciiTheme="majorHAnsi" w:hAnsiTheme="majorHAnsi" w:cstheme="majorHAnsi"/>
        </w:rPr>
        <w:t xml:space="preserve"> </w:t>
      </w:r>
      <w:r w:rsidRPr="001971CC">
        <w:rPr>
          <w:rFonts w:asciiTheme="majorHAnsi" w:hAnsiTheme="majorHAnsi" w:cstheme="majorHAnsi"/>
          <w:sz w:val="10"/>
        </w:rPr>
        <w:t>reduction. This is not to say that these are abject goals, just to stress that they are not synonymous with gender equality. Braithwaite concludes that gender equity suffers from the dominance of efficiency and effectiveness in gender mainstreaming practices in the structural funds.  Strategical Framing and Power The studies presented point out that "success," in the sense of starting a process of gender mainstreaming, seems to be connected to the "stretching" of the goal of gender equality, to strategical framing, and they also show that the actual goal of gender mainstreaming is not articulated clearly. In the last section of this article, I will therefore take a closer look at framing processes, at the politics of framing. What happens in processes of strategical framing? Why would it be that integration rather than transformation is the inevitable result of strategical framing processes?  Strategical framing refers to a process of linking a feminist goal, such as gender equality, to some major goal of an organization that should engage or is engaging in gender mainstreaming, thereby securing the allegiance of these organizations to gender mainstreaming. In technical terms, this means that until now strategical framing in gender mainstreaming practices has usually involved framing bridging or frame extension6 (</w:t>
      </w:r>
      <w:proofErr w:type="spellStart"/>
      <w:r w:rsidRPr="001971CC">
        <w:rPr>
          <w:rFonts w:asciiTheme="majorHAnsi" w:hAnsiTheme="majorHAnsi" w:cstheme="majorHAnsi"/>
          <w:sz w:val="10"/>
        </w:rPr>
        <w:t>Benford</w:t>
      </w:r>
      <w:proofErr w:type="spellEnd"/>
      <w:r w:rsidRPr="001971CC">
        <w:rPr>
          <w:rFonts w:asciiTheme="majorHAnsi" w:hAnsiTheme="majorHAnsi" w:cstheme="majorHAnsi"/>
          <w:sz w:val="10"/>
        </w:rPr>
        <w:t xml:space="preserve"> and Snow 2000). The strategies chosen </w:t>
      </w:r>
      <w:proofErr w:type="gramStart"/>
      <w:r w:rsidRPr="001971CC">
        <w:rPr>
          <w:rFonts w:asciiTheme="majorHAnsi" w:hAnsiTheme="majorHAnsi" w:cstheme="majorHAnsi"/>
          <w:sz w:val="10"/>
        </w:rPr>
        <w:t>do</w:t>
      </w:r>
      <w:proofErr w:type="gramEnd"/>
      <w:r w:rsidRPr="001971CC">
        <w:rPr>
          <w:rFonts w:asciiTheme="majorHAnsi" w:hAnsiTheme="majorHAnsi" w:cstheme="majorHAnsi"/>
          <w:sz w:val="10"/>
        </w:rPr>
        <w:t xml:space="preserve"> not challenge the other, mainstream goals of policy makers, but provide for a link by "stretching" the gender equality goal. This means that </w:t>
      </w:r>
      <w:r w:rsidRPr="00EA1F5C">
        <w:rPr>
          <w:rStyle w:val="underline"/>
          <w:rFonts w:asciiTheme="majorHAnsi" w:hAnsiTheme="majorHAnsi" w:cstheme="majorHAnsi"/>
        </w:rPr>
        <w:t>the dual agenda</w:t>
      </w:r>
      <w:r w:rsidRPr="001971CC">
        <w:rPr>
          <w:rFonts w:asciiTheme="majorHAnsi" w:hAnsiTheme="majorHAnsi" w:cstheme="majorHAnsi"/>
          <w:sz w:val="10"/>
        </w:rPr>
        <w:t xml:space="preserve"> that is mostly present in gender mainstreaming (</w:t>
      </w:r>
      <w:r w:rsidRPr="00EA1F5C">
        <w:rPr>
          <w:rStyle w:val="underline"/>
          <w:rFonts w:asciiTheme="majorHAnsi" w:hAnsiTheme="majorHAnsi" w:cstheme="majorHAnsi"/>
        </w:rPr>
        <w:t>of the feminist goal and some other goal</w:t>
      </w:r>
      <w:r w:rsidRPr="00EA1F5C">
        <w:rPr>
          <w:rFonts w:asciiTheme="majorHAnsi" w:hAnsiTheme="majorHAnsi" w:cstheme="majorHAnsi"/>
          <w:sz w:val="10"/>
        </w:rPr>
        <w:t xml:space="preserve">) </w:t>
      </w:r>
      <w:r w:rsidRPr="00EA1F5C">
        <w:rPr>
          <w:rStyle w:val="underline"/>
          <w:rFonts w:asciiTheme="majorHAnsi" w:hAnsiTheme="majorHAnsi" w:cstheme="majorHAnsi"/>
        </w:rPr>
        <w:t>is presented as</w:t>
      </w:r>
      <w:r w:rsidRPr="007102FC">
        <w:rPr>
          <w:rStyle w:val="underline"/>
          <w:rFonts w:asciiTheme="majorHAnsi" w:hAnsiTheme="majorHAnsi" w:cstheme="majorHAnsi"/>
        </w:rPr>
        <w:t xml:space="preserve"> </w:t>
      </w:r>
      <w:r w:rsidRPr="001971CC">
        <w:t>the possibility of</w:t>
      </w:r>
      <w:r w:rsidRPr="007102FC">
        <w:rPr>
          <w:rStyle w:val="underline"/>
          <w:rFonts w:asciiTheme="majorHAnsi" w:hAnsiTheme="majorHAnsi" w:cstheme="majorHAnsi"/>
        </w:rPr>
        <w:t xml:space="preserve"> </w:t>
      </w:r>
      <w:r w:rsidRPr="00EA1F5C">
        <w:rPr>
          <w:rStyle w:val="underline"/>
          <w:rFonts w:asciiTheme="majorHAnsi" w:hAnsiTheme="majorHAnsi" w:cstheme="majorHAnsi"/>
        </w:rPr>
        <w:t xml:space="preserve">a win-win </w:t>
      </w:r>
      <w:r w:rsidRPr="007102FC">
        <w:rPr>
          <w:rStyle w:val="underline"/>
          <w:rFonts w:asciiTheme="majorHAnsi" w:hAnsiTheme="majorHAnsi" w:cstheme="majorHAnsi"/>
        </w:rPr>
        <w:t>situation. In such conceptualizations</w:t>
      </w:r>
      <w:r w:rsidRPr="00EA1F5C">
        <w:rPr>
          <w:rStyle w:val="underline"/>
          <w:rFonts w:asciiTheme="majorHAnsi" w:hAnsiTheme="majorHAnsi" w:cstheme="majorHAnsi"/>
        </w:rPr>
        <w:t xml:space="preserve">, power seems to evaporate; </w:t>
      </w:r>
      <w:r w:rsidRPr="001971CC">
        <w:rPr>
          <w:sz w:val="10"/>
        </w:rPr>
        <w:t>it is</w:t>
      </w:r>
      <w:r w:rsidRPr="007102FC">
        <w:rPr>
          <w:rStyle w:val="underline"/>
          <w:rFonts w:asciiTheme="majorHAnsi" w:hAnsiTheme="majorHAnsi" w:cstheme="majorHAnsi"/>
        </w:rPr>
        <w:t xml:space="preserve"> </w:t>
      </w:r>
      <w:r w:rsidRPr="00EA1F5C">
        <w:rPr>
          <w:rStyle w:val="underline"/>
          <w:rFonts w:asciiTheme="majorHAnsi" w:hAnsiTheme="majorHAnsi" w:cstheme="majorHAnsi"/>
        </w:rPr>
        <w:t>put between brackets.</w:t>
      </w:r>
      <w:r w:rsidRPr="001971CC">
        <w:rPr>
          <w:rFonts w:asciiTheme="majorHAnsi" w:hAnsiTheme="majorHAnsi" w:cstheme="majorHAnsi"/>
          <w:sz w:val="10"/>
        </w:rPr>
        <w:t xml:space="preserve"> Gender mainstreaming is presented as a harmonious process, certainly in the Council of Europe report. The state is also mostly conceptualized as "friendly," probably connected to the fact that Sweden and the Netherlands have been among its pioneers, countries that to some extent have been "friendly" states in the past. Yet, if gender inequality is about power and privileges, then gender mainstreaming should be about abolishing privileges, and if gender mainstreaming is about</w:t>
      </w:r>
      <w:r w:rsidRPr="007102FC">
        <w:rPr>
          <w:rStyle w:val="underline"/>
          <w:rFonts w:asciiTheme="majorHAnsi" w:hAnsiTheme="majorHAnsi" w:cstheme="majorHAnsi"/>
        </w:rPr>
        <w:t xml:space="preserve"> </w:t>
      </w:r>
      <w:r w:rsidRPr="001971CC">
        <w:rPr>
          <w:rStyle w:val="underline"/>
          <w:rFonts w:asciiTheme="majorHAnsi" w:hAnsiTheme="majorHAnsi" w:cstheme="majorHAnsi"/>
        </w:rPr>
        <w:t>eliminating gender bias in policy making, then the state should be problematized</w:t>
      </w:r>
      <w:r w:rsidRPr="001971CC">
        <w:rPr>
          <w:rFonts w:asciiTheme="majorHAnsi" w:hAnsiTheme="majorHAnsi" w:cstheme="majorHAnsi"/>
          <w:sz w:val="10"/>
        </w:rPr>
        <w:t xml:space="preserve">. Why then is a process of abolishing privileges and gender bias conceptualized as harmony? The answer provided in the studies discussed earlier is that it helps in organizing acceptance of gender mainstreaming, by making it less [End Page 359] threatening. The consequence of this avoidance of struggle is the exclusion of opposing voices, including radical feminist voices.  The </w:t>
      </w:r>
      <w:r w:rsidRPr="001971CC">
        <w:rPr>
          <w:rStyle w:val="underline"/>
          <w:rFonts w:asciiTheme="majorHAnsi" w:hAnsiTheme="majorHAnsi" w:cstheme="majorHAnsi"/>
        </w:rPr>
        <w:t>"Beyond Armchair Feminism" volume of Organization (2000) is one of the few studies analyzing the bad results of such a dual agenda: the disappearance of a gender focus altogether</w:t>
      </w:r>
      <w:r w:rsidRPr="001971CC">
        <w:rPr>
          <w:rFonts w:asciiTheme="majorHAnsi" w:hAnsiTheme="majorHAnsi" w:cstheme="majorHAnsi"/>
          <w:sz w:val="10"/>
        </w:rPr>
        <w:t xml:space="preserve">. Coleman and </w:t>
      </w:r>
      <w:proofErr w:type="spellStart"/>
      <w:r w:rsidRPr="001971CC">
        <w:rPr>
          <w:rFonts w:asciiTheme="majorHAnsi" w:hAnsiTheme="majorHAnsi" w:cstheme="majorHAnsi"/>
          <w:sz w:val="10"/>
        </w:rPr>
        <w:t>Rippin</w:t>
      </w:r>
      <w:proofErr w:type="spellEnd"/>
      <w:r w:rsidRPr="001971CC">
        <w:rPr>
          <w:rFonts w:asciiTheme="majorHAnsi" w:hAnsiTheme="majorHAnsi" w:cstheme="majorHAnsi"/>
          <w:sz w:val="10"/>
        </w:rPr>
        <w:t xml:space="preserve"> (2000) conclude, after having tried such a process of harmonious change, that </w:t>
      </w:r>
      <w:r w:rsidRPr="001971CC">
        <w:rPr>
          <w:rStyle w:val="underline"/>
          <w:rFonts w:asciiTheme="majorHAnsi" w:hAnsiTheme="majorHAnsi" w:cstheme="majorHAnsi"/>
        </w:rPr>
        <w:t>there needs to be more challenge and less agreement in such change</w:t>
      </w:r>
      <w:r w:rsidRPr="007102FC">
        <w:rPr>
          <w:rStyle w:val="underline"/>
          <w:rFonts w:asciiTheme="majorHAnsi" w:hAnsiTheme="majorHAnsi" w:cstheme="majorHAnsi"/>
        </w:rPr>
        <w:t xml:space="preserve"> </w:t>
      </w:r>
      <w:r w:rsidRPr="001971CC">
        <w:rPr>
          <w:rFonts w:asciiTheme="majorHAnsi" w:hAnsiTheme="majorHAnsi" w:cstheme="majorHAnsi"/>
          <w:sz w:val="10"/>
        </w:rPr>
        <w:t xml:space="preserve">processes, even if trust is a crucial component. The presentation of harmony, used to help smooth the process of change, is counterproductive in the end. In Hearn's (2000) reflection on the project, not only organizations are gendered (in the Acker 1990 definition), but also models of organizational or societal change are gendered, as well as embodying other forms of social division and domination. Following this analysis, </w:t>
      </w:r>
      <w:r w:rsidRPr="00EA1F5C">
        <w:rPr>
          <w:rStyle w:val="underline"/>
          <w:rFonts w:asciiTheme="majorHAnsi" w:hAnsiTheme="majorHAnsi" w:cstheme="majorHAnsi"/>
        </w:rPr>
        <w:t>change processes</w:t>
      </w:r>
      <w:r w:rsidRPr="001971CC">
        <w:rPr>
          <w:rFonts w:asciiTheme="majorHAnsi" w:hAnsiTheme="majorHAnsi" w:cstheme="majorHAnsi"/>
          <w:sz w:val="10"/>
        </w:rPr>
        <w:t xml:space="preserve"> and hence gender mainstreaming processes and activities </w:t>
      </w:r>
      <w:r w:rsidRPr="00EA1F5C">
        <w:rPr>
          <w:rStyle w:val="underline"/>
          <w:rFonts w:asciiTheme="majorHAnsi" w:hAnsiTheme="majorHAnsi" w:cstheme="majorHAnsi"/>
        </w:rPr>
        <w:t xml:space="preserve">should be conceptualized as </w:t>
      </w:r>
      <w:r w:rsidRPr="001971CC">
        <w:rPr>
          <w:sz w:val="10"/>
        </w:rPr>
        <w:t xml:space="preserve">necessarily </w:t>
      </w:r>
      <w:r w:rsidRPr="00EA1F5C">
        <w:rPr>
          <w:rStyle w:val="underline"/>
          <w:rFonts w:asciiTheme="majorHAnsi" w:hAnsiTheme="majorHAnsi" w:cstheme="majorHAnsi"/>
        </w:rPr>
        <w:t>riddled with power</w:t>
      </w:r>
      <w:r w:rsidRPr="007102FC">
        <w:rPr>
          <w:rStyle w:val="underline"/>
          <w:rFonts w:asciiTheme="majorHAnsi" w:hAnsiTheme="majorHAnsi" w:cstheme="majorHAnsi"/>
        </w:rPr>
        <w:t xml:space="preserve">, </w:t>
      </w:r>
      <w:r w:rsidRPr="001971CC">
        <w:rPr>
          <w:rFonts w:asciiTheme="majorHAnsi" w:hAnsiTheme="majorHAnsi" w:cstheme="majorHAnsi"/>
          <w:sz w:val="10"/>
        </w:rPr>
        <w:t xml:space="preserve">subject to mechanisms of power, and best understood in terms of power.  Looking at processes of strategical framing as connected to power relations through a Foucauldian lens </w:t>
      </w:r>
      <w:r w:rsidRPr="001971CC">
        <w:rPr>
          <w:rFonts w:asciiTheme="majorHAnsi" w:hAnsiTheme="majorHAnsi" w:cstheme="majorHAnsi"/>
          <w:sz w:val="10"/>
        </w:rPr>
        <w:lastRenderedPageBreak/>
        <w:t xml:space="preserve">shows the logic of the dual agenda as a mix of enabling and constraining processes. The main enabling part is the opening generated by the bridging of frames. Yet, in this logic that juxtaposes two sets of goals, some options are repressed. Exposing the "organization" goal as not neutral, but already gendered, or positioning the "feminist" goal as an organization goal in its own right, will be difficult. As organizations tend to have a self-image of gender neutrality, the gender bias in their existing goals will not easily be recognized. And as </w:t>
      </w:r>
      <w:r w:rsidRPr="00EA1F5C">
        <w:rPr>
          <w:rStyle w:val="underline"/>
          <w:rFonts w:asciiTheme="majorHAnsi" w:hAnsiTheme="majorHAnsi" w:cstheme="majorHAnsi"/>
        </w:rPr>
        <w:t xml:space="preserve">both goals will hardly </w:t>
      </w:r>
      <w:r w:rsidRPr="001971CC">
        <w:t>ever</w:t>
      </w:r>
      <w:r w:rsidRPr="00EA1F5C">
        <w:rPr>
          <w:rStyle w:val="underline"/>
          <w:rFonts w:asciiTheme="majorHAnsi" w:hAnsiTheme="majorHAnsi" w:cstheme="majorHAnsi"/>
        </w:rPr>
        <w:t xml:space="preserve"> be backed by equal power resources, the feminist goal will be watered down</w:t>
      </w:r>
      <w:r w:rsidRPr="001971CC">
        <w:rPr>
          <w:rFonts w:asciiTheme="majorHAnsi" w:hAnsiTheme="majorHAnsi" w:cstheme="majorHAnsi"/>
          <w:sz w:val="10"/>
        </w:rPr>
        <w:t xml:space="preserve"> much more, or much more easily than the organization goal. </w:t>
      </w:r>
      <w:r w:rsidRPr="007102FC">
        <w:rPr>
          <w:rStyle w:val="underline"/>
          <w:rFonts w:asciiTheme="majorHAnsi" w:hAnsiTheme="majorHAnsi" w:cstheme="majorHAnsi"/>
        </w:rPr>
        <w:t>Moreover, in the process of convincing organizations or people to start a process of gender mainstreaming</w:t>
      </w:r>
      <w:r w:rsidRPr="00EA1F5C">
        <w:rPr>
          <w:rStyle w:val="underline"/>
          <w:rFonts w:asciiTheme="majorHAnsi" w:hAnsiTheme="majorHAnsi" w:cstheme="majorHAnsi"/>
        </w:rPr>
        <w:t xml:space="preserve">, there will </w:t>
      </w:r>
      <w:r w:rsidRPr="001971CC">
        <w:rPr>
          <w:sz w:val="10"/>
        </w:rPr>
        <w:t xml:space="preserve">already </w:t>
      </w:r>
      <w:r w:rsidRPr="00EA1F5C">
        <w:rPr>
          <w:rStyle w:val="underline"/>
          <w:rFonts w:asciiTheme="majorHAnsi" w:hAnsiTheme="majorHAnsi" w:cstheme="majorHAnsi"/>
        </w:rPr>
        <w:t xml:space="preserve">be a tendency to select </w:t>
      </w:r>
      <w:r w:rsidRPr="001971CC">
        <w:t xml:space="preserve">more </w:t>
      </w:r>
      <w:r w:rsidRPr="00EA1F5C">
        <w:rPr>
          <w:rStyle w:val="underline"/>
          <w:rFonts w:asciiTheme="majorHAnsi" w:hAnsiTheme="majorHAnsi" w:cstheme="majorHAnsi"/>
        </w:rPr>
        <w:t>"acceptable" feminist goals</w:t>
      </w:r>
      <w:r w:rsidRPr="001971CC">
        <w:rPr>
          <w:rFonts w:asciiTheme="majorHAnsi" w:hAnsiTheme="majorHAnsi" w:cstheme="majorHAnsi"/>
          <w:sz w:val="10"/>
        </w:rPr>
        <w:t xml:space="preserve">. Also, the feminists or </w:t>
      </w:r>
      <w:proofErr w:type="spellStart"/>
      <w:r w:rsidRPr="001971CC">
        <w:rPr>
          <w:rFonts w:asciiTheme="majorHAnsi" w:hAnsiTheme="majorHAnsi" w:cstheme="majorHAnsi"/>
          <w:sz w:val="10"/>
        </w:rPr>
        <w:t>femocrats</w:t>
      </w:r>
      <w:proofErr w:type="spellEnd"/>
      <w:r w:rsidRPr="001971CC">
        <w:rPr>
          <w:rFonts w:asciiTheme="majorHAnsi" w:hAnsiTheme="majorHAnsi" w:cstheme="majorHAnsi"/>
          <w:sz w:val="10"/>
        </w:rPr>
        <w:t xml:space="preserve"> involved in these efforts will necessarily have some kind of acceptance by the (gender-biased) organization</w:t>
      </w:r>
      <w:r w:rsidRPr="00EA1F5C">
        <w:rPr>
          <w:rStyle w:val="underline"/>
          <w:rFonts w:asciiTheme="majorHAnsi" w:hAnsiTheme="majorHAnsi" w:cstheme="majorHAnsi"/>
        </w:rPr>
        <w:t>, leading to further</w:t>
      </w:r>
      <w:r w:rsidRPr="007102FC">
        <w:rPr>
          <w:rStyle w:val="underline"/>
          <w:rFonts w:asciiTheme="majorHAnsi" w:hAnsiTheme="majorHAnsi" w:cstheme="majorHAnsi"/>
        </w:rPr>
        <w:t xml:space="preserve"> </w:t>
      </w:r>
      <w:r w:rsidRPr="001971CC">
        <w:rPr>
          <w:sz w:val="10"/>
        </w:rPr>
        <w:t>selection and</w:t>
      </w:r>
      <w:r w:rsidRPr="007102FC">
        <w:rPr>
          <w:rStyle w:val="underline"/>
          <w:rFonts w:asciiTheme="majorHAnsi" w:hAnsiTheme="majorHAnsi" w:cstheme="majorHAnsi"/>
        </w:rPr>
        <w:t xml:space="preserve"> </w:t>
      </w:r>
      <w:r w:rsidRPr="00EA1F5C">
        <w:rPr>
          <w:rStyle w:val="underline"/>
          <w:rFonts w:asciiTheme="majorHAnsi" w:hAnsiTheme="majorHAnsi" w:cstheme="majorHAnsi"/>
        </w:rPr>
        <w:t>exclusion of radical or marginalized voices</w:t>
      </w:r>
      <w:r w:rsidRPr="00EA1F5C">
        <w:rPr>
          <w:rFonts w:asciiTheme="majorHAnsi" w:hAnsiTheme="majorHAnsi" w:cstheme="majorHAnsi"/>
          <w:sz w:val="10"/>
        </w:rPr>
        <w:t>.</w:t>
      </w:r>
      <w:r w:rsidRPr="001971CC">
        <w:rPr>
          <w:rFonts w:asciiTheme="majorHAnsi" w:hAnsiTheme="majorHAnsi" w:cstheme="majorHAnsi"/>
          <w:sz w:val="10"/>
        </w:rPr>
        <w:t xml:space="preserve">  </w:t>
      </w:r>
      <w:r w:rsidRPr="001971CC">
        <w:rPr>
          <w:sz w:val="10"/>
        </w:rPr>
        <w:t>The logic of</w:t>
      </w:r>
      <w:r w:rsidRPr="007102FC">
        <w:rPr>
          <w:rStyle w:val="underline"/>
          <w:rFonts w:asciiTheme="majorHAnsi" w:hAnsiTheme="majorHAnsi" w:cstheme="majorHAnsi"/>
        </w:rPr>
        <w:t xml:space="preserve"> </w:t>
      </w:r>
      <w:r w:rsidRPr="00EA1F5C">
        <w:rPr>
          <w:rStyle w:val="underline"/>
          <w:rFonts w:asciiTheme="majorHAnsi" w:hAnsiTheme="majorHAnsi" w:cstheme="majorHAnsi"/>
        </w:rPr>
        <w:t xml:space="preserve">the dual agenda </w:t>
      </w:r>
      <w:r w:rsidRPr="001971CC">
        <w:rPr>
          <w:sz w:val="10"/>
        </w:rPr>
        <w:t xml:space="preserve">therefore </w:t>
      </w:r>
      <w:r w:rsidRPr="00EA1F5C">
        <w:rPr>
          <w:rStyle w:val="underline"/>
          <w:rFonts w:asciiTheme="majorHAnsi" w:hAnsiTheme="majorHAnsi" w:cstheme="majorHAnsi"/>
        </w:rPr>
        <w:t>leads first to an opening for a feminist agenda</w:t>
      </w:r>
      <w:r w:rsidRPr="001971CC">
        <w:rPr>
          <w:sz w:val="10"/>
        </w:rPr>
        <w:t>, and</w:t>
      </w:r>
      <w:r w:rsidRPr="007102FC">
        <w:rPr>
          <w:rStyle w:val="underline"/>
          <w:rFonts w:asciiTheme="majorHAnsi" w:hAnsiTheme="majorHAnsi" w:cstheme="majorHAnsi"/>
        </w:rPr>
        <w:t xml:space="preserve"> </w:t>
      </w:r>
      <w:r w:rsidRPr="00EA1F5C">
        <w:rPr>
          <w:rStyle w:val="underline"/>
          <w:rFonts w:asciiTheme="majorHAnsi" w:hAnsiTheme="majorHAnsi" w:cstheme="majorHAnsi"/>
        </w:rPr>
        <w:t xml:space="preserve">then to a narrowing </w:t>
      </w:r>
      <w:r w:rsidRPr="001971CC">
        <w:rPr>
          <w:sz w:val="10"/>
        </w:rPr>
        <w:t>down</w:t>
      </w:r>
      <w:r w:rsidRPr="00EA1F5C">
        <w:rPr>
          <w:rStyle w:val="underline"/>
          <w:rFonts w:asciiTheme="majorHAnsi" w:hAnsiTheme="majorHAnsi" w:cstheme="majorHAnsi"/>
        </w:rPr>
        <w:t xml:space="preserve"> of the feminist focus and </w:t>
      </w:r>
      <w:r w:rsidRPr="001971CC">
        <w:rPr>
          <w:sz w:val="10"/>
        </w:rPr>
        <w:t>feminist</w:t>
      </w:r>
      <w:r w:rsidRPr="00EA1F5C">
        <w:rPr>
          <w:sz w:val="10"/>
        </w:rPr>
        <w:t xml:space="preserve"> </w:t>
      </w:r>
      <w:r w:rsidRPr="00EA1F5C">
        <w:rPr>
          <w:rStyle w:val="underline"/>
          <w:rFonts w:asciiTheme="majorHAnsi" w:hAnsiTheme="majorHAnsi" w:cstheme="majorHAnsi"/>
        </w:rPr>
        <w:t xml:space="preserve">voices, to </w:t>
      </w:r>
      <w:r w:rsidRPr="001971CC">
        <w:rPr>
          <w:sz w:val="10"/>
        </w:rPr>
        <w:t>eventually</w:t>
      </w:r>
      <w:r w:rsidRPr="00EA1F5C">
        <w:rPr>
          <w:rStyle w:val="underline"/>
          <w:rFonts w:asciiTheme="majorHAnsi" w:hAnsiTheme="majorHAnsi" w:cstheme="majorHAnsi"/>
        </w:rPr>
        <w:t xml:space="preserve"> losing the focus on gender </w:t>
      </w:r>
      <w:r w:rsidRPr="007102FC">
        <w:rPr>
          <w:rStyle w:val="underline"/>
          <w:rFonts w:asciiTheme="majorHAnsi" w:hAnsiTheme="majorHAnsi" w:cstheme="majorHAnsi"/>
        </w:rPr>
        <w:t xml:space="preserve">and gender equality </w:t>
      </w:r>
      <w:r w:rsidRPr="00EA1F5C">
        <w:rPr>
          <w:rStyle w:val="underline"/>
          <w:rFonts w:asciiTheme="majorHAnsi" w:hAnsiTheme="majorHAnsi" w:cstheme="majorHAnsi"/>
        </w:rPr>
        <w:t>altogether.</w:t>
      </w:r>
      <w:r w:rsidRPr="001971CC">
        <w:rPr>
          <w:rFonts w:asciiTheme="majorHAnsi" w:hAnsiTheme="majorHAnsi" w:cstheme="majorHAnsi"/>
          <w:sz w:val="10"/>
        </w:rPr>
        <w:t xml:space="preserve"> This logic functions through mechanisms of power. Both goals are not equally powerful, as they have unequal support and resources within the regular organizations that are the relevant context of gender mainstreaming. Especially when gender mainstreaming is conceptualized in a technocratic way, less external pressure or mobilization of feminist groups is to be expected. [End Page 360] Moreover, this inequality of support and resources hinders a clear articulation of a feminist goal, or the expression of particular feminist goals that are seen as more radical, while such radical goals would be needed in view of the watering-down mechanisms. </w:t>
      </w:r>
      <w:r w:rsidRPr="001971CC">
        <w:rPr>
          <w:rStyle w:val="underline"/>
          <w:rFonts w:asciiTheme="majorHAnsi" w:hAnsiTheme="majorHAnsi" w:cstheme="majorHAnsi"/>
        </w:rPr>
        <w:t>Mainstream liberal feminism hence has an advantage, while a goal that is articulated as a need to displace gender will meet resistance.</w:t>
      </w:r>
      <w:r w:rsidRPr="001971CC">
        <w:rPr>
          <w:rFonts w:asciiTheme="majorHAnsi" w:hAnsiTheme="majorHAnsi" w:cstheme="majorHAnsi"/>
          <w:sz w:val="10"/>
        </w:rPr>
        <w:t xml:space="preserve"> Finally, </w:t>
      </w:r>
      <w:r w:rsidRPr="001971CC">
        <w:rPr>
          <w:rStyle w:val="underline"/>
          <w:rFonts w:asciiTheme="majorHAnsi" w:hAnsiTheme="majorHAnsi" w:cstheme="majorHAnsi"/>
        </w:rPr>
        <w:t>within feminism there are hegemonic processes as well that are not recognized and that lead to the exclusion of certain feminist voices.</w:t>
      </w:r>
    </w:p>
    <w:p w:rsidR="002F7371" w:rsidRDefault="002F7371" w:rsidP="00E1268A">
      <w:pPr>
        <w:pStyle w:val="Shrink"/>
        <w:ind w:left="0"/>
        <w:rPr>
          <w:rStyle w:val="underline"/>
          <w:rFonts w:asciiTheme="majorHAnsi" w:hAnsiTheme="majorHAnsi" w:cstheme="majorHAnsi"/>
        </w:rPr>
      </w:pPr>
    </w:p>
    <w:p w:rsidR="00E1268A" w:rsidRPr="002F7371" w:rsidRDefault="00CD5132" w:rsidP="002F7371">
      <w:pPr>
        <w:pStyle w:val="Heading4"/>
        <w:rPr>
          <w:rStyle w:val="underline"/>
          <w:rFonts w:ascii="Calibri" w:hAnsi="Calibri"/>
          <w:sz w:val="26"/>
          <w:u w:val="none"/>
        </w:rPr>
      </w:pPr>
      <w:r>
        <w:t>The aff is an act of</w:t>
      </w:r>
      <w:r w:rsidR="002F7371" w:rsidRPr="002F7371">
        <w:t xml:space="preserve"> feminist foreign policy</w:t>
      </w:r>
      <w:r>
        <w:t xml:space="preserve"> that reshapes how nations operate through an ethics of care. Rather than adopt traditional methods of decision-making, you should </w:t>
      </w:r>
      <w:r w:rsidR="00F24D6E">
        <w:t xml:space="preserve">employ empathetic understandings of human security. </w:t>
      </w:r>
    </w:p>
    <w:p w:rsidR="007F77AA" w:rsidRDefault="007F77AA" w:rsidP="007F77AA">
      <w:pPr>
        <w:rPr>
          <w:rStyle w:val="Style13ptBold"/>
        </w:rPr>
      </w:pPr>
      <w:proofErr w:type="spellStart"/>
      <w:r w:rsidRPr="007F77AA">
        <w:rPr>
          <w:rStyle w:val="Style13ptBold"/>
        </w:rPr>
        <w:t>Aggestam</w:t>
      </w:r>
      <w:proofErr w:type="spellEnd"/>
      <w:r w:rsidRPr="007F77AA">
        <w:rPr>
          <w:rStyle w:val="Style13ptBold"/>
        </w:rPr>
        <w:t xml:space="preserve"> et al 18</w:t>
      </w:r>
      <w:r>
        <w:rPr>
          <w:rStyle w:val="Style13ptBold"/>
        </w:rPr>
        <w:t xml:space="preserve"> </w:t>
      </w:r>
    </w:p>
    <w:p w:rsidR="007F77AA" w:rsidRPr="007F77AA" w:rsidRDefault="007F77AA" w:rsidP="007F77AA">
      <w:pPr>
        <w:rPr>
          <w:rStyle w:val="Style13ptBold"/>
          <w:sz w:val="20"/>
          <w:szCs w:val="20"/>
        </w:rPr>
      </w:pPr>
      <w:r w:rsidRPr="007F77AA">
        <w:rPr>
          <w:rStyle w:val="Style13ptBold"/>
          <w:sz w:val="20"/>
          <w:szCs w:val="20"/>
        </w:rPr>
        <w:t xml:space="preserve">(Karin </w:t>
      </w:r>
      <w:proofErr w:type="spellStart"/>
      <w:r w:rsidRPr="007F77AA">
        <w:rPr>
          <w:rStyle w:val="Style13ptBold"/>
          <w:sz w:val="20"/>
          <w:szCs w:val="20"/>
        </w:rPr>
        <w:t>Aggestam</w:t>
      </w:r>
      <w:proofErr w:type="spellEnd"/>
      <w:r w:rsidRPr="007F77AA">
        <w:rPr>
          <w:rStyle w:val="Style13ptBold"/>
          <w:sz w:val="20"/>
          <w:szCs w:val="20"/>
        </w:rPr>
        <w:t xml:space="preserve">, Annika Bergman Rosamond and Annica </w:t>
      </w:r>
      <w:proofErr w:type="spellStart"/>
      <w:r w:rsidRPr="007F77AA">
        <w:rPr>
          <w:rStyle w:val="Style13ptBold"/>
          <w:sz w:val="20"/>
          <w:szCs w:val="20"/>
        </w:rPr>
        <w:t>Kronsell</w:t>
      </w:r>
      <w:proofErr w:type="spellEnd"/>
      <w:r w:rsidRPr="007F77AA">
        <w:rPr>
          <w:rStyle w:val="Style13ptBold"/>
          <w:sz w:val="20"/>
          <w:szCs w:val="20"/>
        </w:rPr>
        <w:t xml:space="preserve">, Lund University, </w:t>
      </w:r>
      <w:proofErr w:type="spellStart"/>
      <w:r w:rsidRPr="007F77AA">
        <w:rPr>
          <w:rStyle w:val="Style13ptBold"/>
          <w:sz w:val="20"/>
          <w:szCs w:val="20"/>
        </w:rPr>
        <w:t>Theorising</w:t>
      </w:r>
      <w:proofErr w:type="spellEnd"/>
      <w:r w:rsidRPr="007F77AA">
        <w:rPr>
          <w:rStyle w:val="Style13ptBold"/>
          <w:sz w:val="20"/>
          <w:szCs w:val="20"/>
        </w:rPr>
        <w:t xml:space="preserve"> feminist foreign policy, International Relations 2019, Vol. 33(1) 23–39, JKS)</w:t>
      </w:r>
    </w:p>
    <w:p w:rsidR="00454283" w:rsidRPr="004E4417" w:rsidRDefault="007F77AA" w:rsidP="007F77AA">
      <w:pPr>
        <w:rPr>
          <w:sz w:val="14"/>
        </w:rPr>
      </w:pPr>
      <w:r w:rsidRPr="004E4417">
        <w:rPr>
          <w:sz w:val="14"/>
        </w:rPr>
        <w:t xml:space="preserve">While feminist IR theory remains alert to and critical of the structural underpinnings of world politics, the ontological relationality of </w:t>
      </w:r>
      <w:r w:rsidRPr="004E4417">
        <w:rPr>
          <w:rStyle w:val="StyleUnderline"/>
        </w:rPr>
        <w:t>the ethics of care provides a key contribution because it takes stock of the experiences of the people at the receiving end of feminist foreign policy. In contrast with orthodox foreign policy practice and theory, which tends to disregard the lived histories of women and colonial subjects, an ethics of care approach would actively seek to uncover their stories to enable intersectional and situated analyses of foreign policy.</w:t>
      </w:r>
      <w:r w:rsidRPr="004E4417">
        <w:rPr>
          <w:sz w:val="14"/>
        </w:rPr>
        <w:t xml:space="preserve"> </w:t>
      </w:r>
      <w:r w:rsidRPr="004E4417">
        <w:rPr>
          <w:rStyle w:val="StyleUnderline"/>
        </w:rPr>
        <w:t xml:space="preserve">This involves investigating whether states and other actors actually employ care and empathy as a normative ideal in their pursuit of foreign, security, </w:t>
      </w:r>
      <w:proofErr w:type="spellStart"/>
      <w:r w:rsidRPr="004E4417">
        <w:rPr>
          <w:rStyle w:val="StyleUnderline"/>
        </w:rPr>
        <w:t>defence</w:t>
      </w:r>
      <w:proofErr w:type="spellEnd"/>
      <w:r w:rsidRPr="004E4417">
        <w:rPr>
          <w:rStyle w:val="StyleUnderline"/>
        </w:rPr>
        <w:t xml:space="preserve"> and development policies</w:t>
      </w:r>
      <w:r w:rsidRPr="004E4417">
        <w:rPr>
          <w:sz w:val="14"/>
        </w:rPr>
        <w:t xml:space="preserve">. </w:t>
      </w:r>
      <w:r w:rsidRPr="00CD5132">
        <w:rPr>
          <w:rStyle w:val="Emphasis"/>
          <w:sz w:val="24"/>
        </w:rPr>
        <w:t>States tend to vary in their commitment to such dialogue, but this does not mean that a global ethics of care should be dismissed in the context of foreign and security policy analysis</w:t>
      </w:r>
      <w:r w:rsidRPr="00CD5132">
        <w:rPr>
          <w:sz w:val="24"/>
        </w:rPr>
        <w:t>.</w:t>
      </w:r>
      <w:r w:rsidRPr="004E4417">
        <w:rPr>
          <w:sz w:val="14"/>
        </w:rPr>
        <w:t xml:space="preserve"> Instead a critical analysis of </w:t>
      </w:r>
      <w:r w:rsidRPr="004E4417">
        <w:rPr>
          <w:rStyle w:val="StyleUnderline"/>
        </w:rPr>
        <w:t>feminist- oriented foreign policy should seek to address the ethical question how our view of security in global politics would change o</w:t>
      </w:r>
      <w:r w:rsidRPr="004E4417">
        <w:rPr>
          <w:sz w:val="14"/>
        </w:rPr>
        <w:t xml:space="preserve">nce we recognize and accept ... the ways responsibilities and practices of care grow out of relations of dependence and vulnerability of people in the context of complex webs of relations of responsibility.63 </w:t>
      </w:r>
      <w:r w:rsidRPr="004E4417">
        <w:rPr>
          <w:rStyle w:val="StyleUnderline"/>
        </w:rPr>
        <w:t>This entails exploring to what extent the makers of feminist foreign policy take note of ‘the everyday’ a</w:t>
      </w:r>
      <w:r w:rsidRPr="004E4417">
        <w:rPr>
          <w:sz w:val="14"/>
        </w:rPr>
        <w:t xml:space="preserve">nd whether Robison’s notion of ‘a feminist ethics of security’ which </w:t>
      </w:r>
      <w:proofErr w:type="spellStart"/>
      <w:r w:rsidRPr="004E4417">
        <w:rPr>
          <w:sz w:val="14"/>
        </w:rPr>
        <w:t>centres</w:t>
      </w:r>
      <w:proofErr w:type="spellEnd"/>
      <w:r w:rsidRPr="004E4417">
        <w:rPr>
          <w:sz w:val="14"/>
        </w:rPr>
        <w:t xml:space="preserve"> on ‘</w:t>
      </w:r>
      <w:proofErr w:type="spellStart"/>
      <w:r w:rsidRPr="004E4417">
        <w:rPr>
          <w:sz w:val="14"/>
        </w:rPr>
        <w:t>marginalised</w:t>
      </w:r>
      <w:proofErr w:type="spellEnd"/>
      <w:r w:rsidRPr="004E4417">
        <w:rPr>
          <w:sz w:val="14"/>
        </w:rPr>
        <w:t xml:space="preserve"> sites’ has some resonance with actual policy-making.64 </w:t>
      </w:r>
      <w:r w:rsidRPr="004E4417">
        <w:rPr>
          <w:rStyle w:val="StyleUnderline"/>
        </w:rPr>
        <w:t xml:space="preserve">Ethics of care as foreign policy conduct is often expressed in notions of gender-just protection of such </w:t>
      </w:r>
      <w:proofErr w:type="spellStart"/>
      <w:r w:rsidRPr="004E4417">
        <w:rPr>
          <w:rStyle w:val="StyleUnderline"/>
        </w:rPr>
        <w:t>marginalised</w:t>
      </w:r>
      <w:proofErr w:type="spellEnd"/>
      <w:r w:rsidRPr="004E4417">
        <w:rPr>
          <w:rStyle w:val="StyleUnderline"/>
        </w:rPr>
        <w:t xml:space="preserve"> groups, in particular, the protection of women and children from gendered violence and discrimination.</w:t>
      </w:r>
      <w:r w:rsidRPr="004E4417">
        <w:rPr>
          <w:sz w:val="14"/>
        </w:rPr>
        <w:t xml:space="preserve"> Here ethics of care scholar Joan </w:t>
      </w:r>
      <w:proofErr w:type="spellStart"/>
      <w:r w:rsidRPr="004E4417">
        <w:rPr>
          <w:sz w:val="14"/>
        </w:rPr>
        <w:t>Tronto</w:t>
      </w:r>
      <w:proofErr w:type="spellEnd"/>
      <w:r w:rsidRPr="004E4417">
        <w:rPr>
          <w:sz w:val="14"/>
        </w:rPr>
        <w:t xml:space="preserve"> highlights the shift in global relations from what previously was a ‘right to intervene’ and sovereign-based logic to ‘the responsibility to protect’ and an ethics of global care.65 We propose here that protection, though at times requiring military means, should always rest on the act of listening to </w:t>
      </w:r>
      <w:proofErr w:type="spellStart"/>
      <w:r w:rsidRPr="004E4417">
        <w:rPr>
          <w:sz w:val="14"/>
        </w:rPr>
        <w:t>marginalised</w:t>
      </w:r>
      <w:proofErr w:type="spellEnd"/>
      <w:r w:rsidRPr="004E4417">
        <w:rPr>
          <w:sz w:val="14"/>
        </w:rPr>
        <w:t xml:space="preserve"> voices – a diplomatic tool that is key to the successful conduct of feminist foreign policy. </w:t>
      </w:r>
      <w:r w:rsidRPr="004E4417">
        <w:rPr>
          <w:rStyle w:val="StyleUnderline"/>
        </w:rPr>
        <w:t>A foreign policy, which builds on the ethics of care as its foundation, rests on the idea of inclusive and ethical dialogues as well as acts of listening across borders and intersectional confines</w:t>
      </w:r>
      <w:r w:rsidRPr="004E4417">
        <w:rPr>
          <w:sz w:val="14"/>
        </w:rPr>
        <w:t xml:space="preserve">. Virginia Held holds that </w:t>
      </w:r>
      <w:r w:rsidRPr="004E4417">
        <w:rPr>
          <w:rStyle w:val="StyleUnderline"/>
        </w:rPr>
        <w:t xml:space="preserve">emotions, such as empathy, sensitivity and responsiveness, are sentiments that need to be cultivated as a significant element when </w:t>
      </w:r>
      <w:r w:rsidRPr="00CD5132">
        <w:rPr>
          <w:rStyle w:val="Emphasis"/>
        </w:rPr>
        <w:t>making moral decisions</w:t>
      </w:r>
      <w:r w:rsidRPr="004E4417">
        <w:rPr>
          <w:rStyle w:val="StyleUnderline"/>
        </w:rPr>
        <w:t>.6</w:t>
      </w:r>
      <w:r w:rsidRPr="004E4417">
        <w:rPr>
          <w:sz w:val="14"/>
        </w:rPr>
        <w:t xml:space="preserve">6 </w:t>
      </w:r>
      <w:r w:rsidRPr="004E4417">
        <w:rPr>
          <w:rStyle w:val="StyleUnderline"/>
        </w:rPr>
        <w:t xml:space="preserve">Central to the analysis of </w:t>
      </w:r>
      <w:r w:rsidRPr="004E4417">
        <w:rPr>
          <w:rStyle w:val="StyleUnderline"/>
        </w:rPr>
        <w:lastRenderedPageBreak/>
        <w:t xml:space="preserve">feminist foreign policy then is the extent to which care, the act of listening and dialogical engagement </w:t>
      </w:r>
      <w:r w:rsidRPr="004E4417">
        <w:rPr>
          <w:rStyle w:val="Emphasis"/>
        </w:rPr>
        <w:t>really are key norms in the implementation of gender-just external relations</w:t>
      </w:r>
      <w:r w:rsidRPr="004E4417">
        <w:rPr>
          <w:rStyle w:val="StyleUnderline"/>
        </w:rPr>
        <w:t xml:space="preserve">? </w:t>
      </w:r>
      <w:r w:rsidRPr="004E4417">
        <w:rPr>
          <w:sz w:val="14"/>
        </w:rPr>
        <w:t xml:space="preserve">Here we find Christine Sylvester’s67 concept of empathetic cooperation particularly useful and closely </w:t>
      </w:r>
      <w:proofErr w:type="spellStart"/>
      <w:r w:rsidRPr="004E4417">
        <w:rPr>
          <w:sz w:val="14"/>
        </w:rPr>
        <w:t>associ</w:t>
      </w:r>
      <w:proofErr w:type="spellEnd"/>
      <w:r w:rsidRPr="004E4417">
        <w:rPr>
          <w:sz w:val="14"/>
        </w:rPr>
        <w:t xml:space="preserve">- </w:t>
      </w:r>
      <w:proofErr w:type="spellStart"/>
      <w:r w:rsidRPr="004E4417">
        <w:rPr>
          <w:sz w:val="14"/>
        </w:rPr>
        <w:t>ated</w:t>
      </w:r>
      <w:proofErr w:type="spellEnd"/>
      <w:r w:rsidRPr="004E4417">
        <w:rPr>
          <w:sz w:val="14"/>
        </w:rPr>
        <w:t xml:space="preserve"> with the ethics of care.68 </w:t>
      </w:r>
      <w:r w:rsidRPr="004E4417">
        <w:rPr>
          <w:rStyle w:val="StyleUnderline"/>
        </w:rPr>
        <w:t xml:space="preserve">Empathetic cooperation challenges sovereign rights and national interests as the sole platforms for international interactions in </w:t>
      </w:r>
      <w:proofErr w:type="spellStart"/>
      <w:r w:rsidRPr="004E4417">
        <w:rPr>
          <w:rStyle w:val="StyleUnderline"/>
        </w:rPr>
        <w:t>favour</w:t>
      </w:r>
      <w:proofErr w:type="spellEnd"/>
      <w:r w:rsidRPr="004E4417">
        <w:rPr>
          <w:rStyle w:val="StyleUnderline"/>
        </w:rPr>
        <w:t xml:space="preserve"> of empathy across intersectional and ethical boundaries</w:t>
      </w:r>
      <w:r w:rsidRPr="004E4417">
        <w:rPr>
          <w:sz w:val="14"/>
        </w:rPr>
        <w:t xml:space="preserve">. Laura Sjoberg also suggests that </w:t>
      </w:r>
      <w:r w:rsidRPr="004E4417">
        <w:rPr>
          <w:rStyle w:val="StyleUnderline"/>
        </w:rPr>
        <w:t xml:space="preserve">emphatic cooperation is a fruitful platform for the development of a feminist international security ethic, which pays attention to care and justice as well as the gendered structures that have led to the </w:t>
      </w:r>
      <w:proofErr w:type="spellStart"/>
      <w:r w:rsidRPr="004E4417">
        <w:rPr>
          <w:rStyle w:val="StyleUnderline"/>
        </w:rPr>
        <w:t>marginalisation</w:t>
      </w:r>
      <w:proofErr w:type="spellEnd"/>
      <w:r w:rsidRPr="004E4417">
        <w:rPr>
          <w:rStyle w:val="StyleUnderline"/>
        </w:rPr>
        <w:t xml:space="preserve"> of vulnerable groups </w:t>
      </w:r>
      <w:r w:rsidRPr="004E4417">
        <w:rPr>
          <w:sz w:val="14"/>
        </w:rPr>
        <w:t xml:space="preserve">across international society.69 It may also lead to ‘a form of knowledge of other persons that draws explicitly on the commonalty of feelings and experiences to enrich one’s understanding of another in his or her own right’.70 If empathy is an expressed willingness and ability to appreciate the other then empathetic cooperation is ‘a process of positional slippage that occurs when one listens seriously to the concerns, fears and agendas of those one is unaccustomed to hearing’.71 In short, we argue that </w:t>
      </w:r>
      <w:r w:rsidRPr="004E4417">
        <w:rPr>
          <w:rStyle w:val="StyleUnderline"/>
        </w:rPr>
        <w:t>empathetic cooperation,</w:t>
      </w:r>
      <w:r w:rsidRPr="004E4417">
        <w:rPr>
          <w:sz w:val="14"/>
        </w:rPr>
        <w:t xml:space="preserve"> as part of the making of a feminist for- </w:t>
      </w:r>
      <w:proofErr w:type="spellStart"/>
      <w:r w:rsidRPr="004E4417">
        <w:rPr>
          <w:sz w:val="14"/>
        </w:rPr>
        <w:t>eign</w:t>
      </w:r>
      <w:proofErr w:type="spellEnd"/>
      <w:r w:rsidRPr="004E4417">
        <w:rPr>
          <w:sz w:val="14"/>
        </w:rPr>
        <w:t xml:space="preserve"> policy, </w:t>
      </w:r>
      <w:r w:rsidRPr="004E4417">
        <w:rPr>
          <w:rStyle w:val="StyleUnderline"/>
        </w:rPr>
        <w:t>may be a way of opening up for a global ethic and concrete expressions of politics, which do not privilege statist interests and notions of security</w:t>
      </w:r>
      <w:r w:rsidRPr="004E4417">
        <w:rPr>
          <w:sz w:val="14"/>
        </w:rPr>
        <w:t xml:space="preserve">. Moreover, </w:t>
      </w:r>
      <w:r w:rsidRPr="004E4417">
        <w:rPr>
          <w:rStyle w:val="StyleUnderline"/>
        </w:rPr>
        <w:t>it moves the agenda towards human security while respecting cultural difference.</w:t>
      </w:r>
      <w:r w:rsidRPr="004E4417">
        <w:rPr>
          <w:sz w:val="14"/>
        </w:rPr>
        <w:t xml:space="preserve">72 Thus, to explore the presence of empathetic cooperation in the conduct of feminist and gender- based foreign policy is key to the analysis of feminist foreign policy and to ethical </w:t>
      </w:r>
      <w:proofErr w:type="spellStart"/>
      <w:r w:rsidRPr="004E4417">
        <w:rPr>
          <w:sz w:val="14"/>
        </w:rPr>
        <w:t>inves</w:t>
      </w:r>
      <w:proofErr w:type="spellEnd"/>
      <w:r w:rsidRPr="004E4417">
        <w:rPr>
          <w:sz w:val="14"/>
        </w:rPr>
        <w:t xml:space="preserve">- </w:t>
      </w:r>
      <w:proofErr w:type="spellStart"/>
      <w:r w:rsidRPr="004E4417">
        <w:rPr>
          <w:sz w:val="14"/>
        </w:rPr>
        <w:t>tigations</w:t>
      </w:r>
      <w:proofErr w:type="spellEnd"/>
      <w:r w:rsidRPr="004E4417">
        <w:rPr>
          <w:sz w:val="14"/>
        </w:rPr>
        <w:t xml:space="preserve"> into ethically minded foreign policy more broadly.</w:t>
      </w:r>
    </w:p>
    <w:p w:rsidR="0051348F" w:rsidRDefault="0051348F" w:rsidP="0051348F"/>
    <w:p w:rsidR="00E42E4C" w:rsidRDefault="00CD4145" w:rsidP="00CD4145">
      <w:pPr>
        <w:pStyle w:val="Heading1"/>
      </w:pPr>
      <w:r>
        <w:lastRenderedPageBreak/>
        <w:t>**2AC</w:t>
      </w:r>
      <w:r w:rsidR="00FD2390">
        <w:t xml:space="preserve"> Core</w:t>
      </w:r>
      <w:r>
        <w:t>**</w:t>
      </w:r>
    </w:p>
    <w:p w:rsidR="00FD2390" w:rsidRDefault="00FD2390" w:rsidP="00FD2390">
      <w:pPr>
        <w:pStyle w:val="Heading2"/>
      </w:pPr>
      <w:r>
        <w:lastRenderedPageBreak/>
        <w:t>**Small Arms Impacts**</w:t>
      </w:r>
    </w:p>
    <w:p w:rsidR="00FD2390" w:rsidRDefault="00FD2390" w:rsidP="00FD2390">
      <w:pPr>
        <w:pStyle w:val="Heading3"/>
      </w:pPr>
      <w:r>
        <w:lastRenderedPageBreak/>
        <w:t>Arms=Femicide</w:t>
      </w:r>
    </w:p>
    <w:p w:rsidR="00FD2390" w:rsidRPr="00FC577D" w:rsidRDefault="00FD2390" w:rsidP="00FD2390">
      <w:pPr>
        <w:pStyle w:val="Heading4"/>
      </w:pPr>
      <w:r>
        <w:t>That causes femicide – firearms are a key factor</w:t>
      </w:r>
    </w:p>
    <w:p w:rsidR="00FD2390" w:rsidRDefault="00FD2390" w:rsidP="00FD2390">
      <w:r w:rsidRPr="0069134E">
        <w:rPr>
          <w:rStyle w:val="Style13ptBold"/>
        </w:rPr>
        <w:t>Nowak 12</w:t>
      </w:r>
      <w:r>
        <w:t xml:space="preserve"> (Matthias Nowak, SAS researcher, “</w:t>
      </w:r>
      <w:r w:rsidRPr="00BE6A30">
        <w:rPr>
          <w:rStyle w:val="StyleUnderline"/>
        </w:rPr>
        <w:t>Femicide: A Global Problem” Small Arms Survey</w:t>
      </w:r>
      <w:r>
        <w:t xml:space="preserve">, </w:t>
      </w:r>
      <w:hyperlink r:id="rId22" w:history="1">
        <w:r w:rsidRPr="00DB777A">
          <w:rPr>
            <w:rStyle w:val="Hyperlink"/>
          </w:rPr>
          <w:t>http://www.smallarmssurvey.org/fileadmin/docs/H-Research_Notes/SAS-Research-Note-14.pdf)//ICH-EC</w:t>
        </w:r>
      </w:hyperlink>
    </w:p>
    <w:p w:rsidR="00FD2390" w:rsidRPr="00FD2390" w:rsidRDefault="00FD2390" w:rsidP="00FD2390">
      <w:pPr>
        <w:rPr>
          <w:sz w:val="10"/>
        </w:rPr>
      </w:pPr>
      <w:r w:rsidRPr="00FD2390">
        <w:rPr>
          <w:sz w:val="10"/>
        </w:rPr>
        <w:t xml:space="preserve">About 66, 000 women and girls are violently killed every year, accounting for approximately 17 per cent of all victims of intentional homicides. While </w:t>
      </w:r>
      <w:r w:rsidRPr="0035195D">
        <w:rPr>
          <w:rStyle w:val="StyleUnderline"/>
        </w:rPr>
        <w:t xml:space="preserve">the data </w:t>
      </w:r>
      <w:r w:rsidRPr="00FD2390">
        <w:rPr>
          <w:sz w:val="10"/>
        </w:rPr>
        <w:t xml:space="preserve">on which these conservative estimates are based is incomplete, it </w:t>
      </w:r>
      <w:r w:rsidRPr="0035195D">
        <w:rPr>
          <w:rStyle w:val="StyleUnderline"/>
        </w:rPr>
        <w:t>does reveal certain patterns with respect to the male v. female victim ratio in homicides</w:t>
      </w:r>
      <w:r w:rsidRPr="00FD2390">
        <w:rPr>
          <w:sz w:val="10"/>
        </w:rPr>
        <w:t xml:space="preserve">, intimate partner violence, </w:t>
      </w:r>
      <w:r w:rsidRPr="0035195D">
        <w:rPr>
          <w:rStyle w:val="Emphasis"/>
        </w:rPr>
        <w:t>and the use of firearms in femicides</w:t>
      </w:r>
      <w:r w:rsidRPr="00FD2390">
        <w:rPr>
          <w:sz w:val="10"/>
        </w:rPr>
        <w:t>— defined here as ‘the killing of a woman’. This Research Note examines lethal forms of violence against women. 1 It relies on the disaggregated data on femicides produced for the Global Burden of Armed Violence 2011 (</w:t>
      </w:r>
      <w:proofErr w:type="spellStart"/>
      <w:r w:rsidRPr="00FD2390">
        <w:rPr>
          <w:sz w:val="10"/>
        </w:rPr>
        <w:t>Alvazzi</w:t>
      </w:r>
      <w:proofErr w:type="spellEnd"/>
      <w:r w:rsidRPr="00FD2390">
        <w:rPr>
          <w:sz w:val="10"/>
        </w:rPr>
        <w:t xml:space="preserve"> del </w:t>
      </w:r>
      <w:proofErr w:type="spellStart"/>
      <w:r w:rsidRPr="00FD2390">
        <w:rPr>
          <w:sz w:val="10"/>
        </w:rPr>
        <w:t>Frate</w:t>
      </w:r>
      <w:proofErr w:type="spellEnd"/>
      <w:r w:rsidRPr="00FD2390">
        <w:rPr>
          <w:sz w:val="10"/>
        </w:rPr>
        <w:t xml:space="preserve">, 2011, p. 113). </w:t>
      </w:r>
      <w:r w:rsidRPr="0035195D">
        <w:rPr>
          <w:rStyle w:val="Emphasis"/>
        </w:rPr>
        <w:t>The gendered dimension of homicide</w:t>
      </w:r>
      <w:r>
        <w:rPr>
          <w:rStyle w:val="Emphasis"/>
        </w:rPr>
        <w:t xml:space="preserve"> </w:t>
      </w:r>
      <w:r w:rsidRPr="00FD2390">
        <w:rPr>
          <w:sz w:val="10"/>
        </w:rPr>
        <w:t xml:space="preserve">When it was coined by the feminist movement in the 1970s, the term femicide referred </w:t>
      </w:r>
      <w:proofErr w:type="spellStart"/>
      <w:r w:rsidRPr="00FD2390">
        <w:rPr>
          <w:sz w:val="10"/>
        </w:rPr>
        <w:t>exclu</w:t>
      </w:r>
      <w:proofErr w:type="spellEnd"/>
      <w:r w:rsidRPr="00FD2390">
        <w:rPr>
          <w:sz w:val="10"/>
        </w:rPr>
        <w:t xml:space="preserve"> - </w:t>
      </w:r>
      <w:proofErr w:type="spellStart"/>
      <w:r w:rsidRPr="00FD2390">
        <w:rPr>
          <w:sz w:val="10"/>
        </w:rPr>
        <w:t>sively</w:t>
      </w:r>
      <w:proofErr w:type="spellEnd"/>
      <w:r w:rsidRPr="00FD2390">
        <w:rPr>
          <w:sz w:val="10"/>
        </w:rPr>
        <w:t xml:space="preserve"> to the gender-based killing of women by men. Since then, however, its definition has broadened to encompass any killing of a woman (see Box 1) Data collection on femicide—in its broader sense—is increasingly taking place at the national and sub-national levels. On the basis of such statistics, the Small Arms Survey </w:t>
      </w:r>
      <w:proofErr w:type="spellStart"/>
      <w:r w:rsidRPr="00FD2390">
        <w:rPr>
          <w:sz w:val="10"/>
        </w:rPr>
        <w:t>cre</w:t>
      </w:r>
      <w:proofErr w:type="spellEnd"/>
      <w:r w:rsidRPr="00FD2390">
        <w:rPr>
          <w:sz w:val="10"/>
        </w:rPr>
        <w:t xml:space="preserve"> - </w:t>
      </w:r>
      <w:proofErr w:type="spellStart"/>
      <w:r w:rsidRPr="00FD2390">
        <w:rPr>
          <w:sz w:val="10"/>
        </w:rPr>
        <w:t>ated</w:t>
      </w:r>
      <w:proofErr w:type="spellEnd"/>
      <w:r w:rsidRPr="00FD2390">
        <w:rPr>
          <w:sz w:val="10"/>
        </w:rPr>
        <w:t xml:space="preserve"> one of the most comprehensive databases on female victims of homicide to date, covering 56 per cent of the world’s female population in 111 countries and territories for the period 2004 –09 (</w:t>
      </w:r>
      <w:proofErr w:type="spellStart"/>
      <w:r w:rsidRPr="00FD2390">
        <w:rPr>
          <w:sz w:val="10"/>
        </w:rPr>
        <w:t>Alvazzi</w:t>
      </w:r>
      <w:proofErr w:type="spellEnd"/>
      <w:r w:rsidRPr="00FD2390">
        <w:rPr>
          <w:sz w:val="10"/>
        </w:rPr>
        <w:t xml:space="preserve"> del </w:t>
      </w:r>
      <w:proofErr w:type="spellStart"/>
      <w:r w:rsidRPr="00FD2390">
        <w:rPr>
          <w:sz w:val="10"/>
        </w:rPr>
        <w:t>Frate</w:t>
      </w:r>
      <w:proofErr w:type="spellEnd"/>
      <w:r w:rsidRPr="00FD2390">
        <w:rPr>
          <w:sz w:val="10"/>
        </w:rPr>
        <w:t xml:space="preserve">, 2011, p. 116). Still, information on many countries is missing and challenges to comprehensive data collection persist, including definitions discrepancies, limited capacity and resources, and a lack of detail in statistical records. </w:t>
      </w:r>
      <w:r w:rsidRPr="00DE454C">
        <w:rPr>
          <w:rStyle w:val="StyleUnderline"/>
        </w:rPr>
        <w:t>Global patterns of femicide</w:t>
      </w:r>
      <w:r>
        <w:rPr>
          <w:rStyle w:val="StyleUnderline"/>
        </w:rPr>
        <w:t xml:space="preserve"> </w:t>
      </w:r>
      <w:r w:rsidRPr="00FD2390">
        <w:rPr>
          <w:sz w:val="10"/>
        </w:rPr>
        <w:t>The global extent of femicide is estimated at approximately 66 ,000 victims per year for the period 2004 –</w:t>
      </w:r>
      <w:proofErr w:type="gramStart"/>
      <w:r w:rsidRPr="00FD2390">
        <w:rPr>
          <w:sz w:val="10"/>
        </w:rPr>
        <w:t>09 .</w:t>
      </w:r>
      <w:proofErr w:type="gramEnd"/>
      <w:r w:rsidRPr="00FD2390">
        <w:rPr>
          <w:sz w:val="10"/>
        </w:rPr>
        <w:t xml:space="preserve"> 2 This figure represents about 17 per cent or almost one-fifth of all homicide victims (396 ,000 deaths) for an average year (Geneva Declaration Secretariat, 2011, p. 7). Map 1 reveals the global distribution of </w:t>
      </w:r>
      <w:proofErr w:type="spellStart"/>
      <w:r w:rsidRPr="00FD2390">
        <w:rPr>
          <w:sz w:val="10"/>
        </w:rPr>
        <w:t>femi</w:t>
      </w:r>
      <w:proofErr w:type="spellEnd"/>
      <w:r w:rsidRPr="00FD2390">
        <w:rPr>
          <w:sz w:val="10"/>
        </w:rPr>
        <w:t xml:space="preserve"> - </w:t>
      </w:r>
      <w:proofErr w:type="spellStart"/>
      <w:r w:rsidRPr="00FD2390">
        <w:rPr>
          <w:sz w:val="10"/>
        </w:rPr>
        <w:t>cides</w:t>
      </w:r>
      <w:proofErr w:type="spellEnd"/>
      <w:r w:rsidRPr="00FD2390">
        <w:rPr>
          <w:sz w:val="10"/>
        </w:rPr>
        <w:t xml:space="preserve">, expressed as a rate per 100 ,000 female population for an average year between 2004 and </w:t>
      </w:r>
      <w:proofErr w:type="gramStart"/>
      <w:r w:rsidRPr="00FD2390">
        <w:rPr>
          <w:sz w:val="10"/>
        </w:rPr>
        <w:t>2009 .</w:t>
      </w:r>
      <w:proofErr w:type="gramEnd"/>
      <w:r w:rsidRPr="00FD2390">
        <w:rPr>
          <w:sz w:val="10"/>
        </w:rPr>
        <w:t xml:space="preserve"> 3 More than half of the 25 countries with high and very high femicide rates (at least 3 femicides per 100,000 female population) are in the Americas: 4 in the Caribbean, 4 in Central America, and 6 in South America. The regions with the highest femicide levels largely correspond to the regions with the highest overall rates of lethal violence (</w:t>
      </w:r>
      <w:proofErr w:type="spellStart"/>
      <w:r w:rsidRPr="00FD2390">
        <w:rPr>
          <w:sz w:val="10"/>
        </w:rPr>
        <w:t>Alvazzi</w:t>
      </w:r>
      <w:proofErr w:type="spellEnd"/>
      <w:r w:rsidRPr="00FD2390">
        <w:rPr>
          <w:sz w:val="10"/>
        </w:rPr>
        <w:t xml:space="preserve"> del </w:t>
      </w:r>
      <w:proofErr w:type="spellStart"/>
      <w:r w:rsidRPr="00FD2390">
        <w:rPr>
          <w:sz w:val="10"/>
        </w:rPr>
        <w:t>Frate</w:t>
      </w:r>
      <w:proofErr w:type="spellEnd"/>
      <w:r w:rsidRPr="00FD2390">
        <w:rPr>
          <w:sz w:val="10"/>
        </w:rPr>
        <w:t xml:space="preserve">, 2011, p. 119). Indeed, four out of five regions with the highest homicide rates also feature at the top of the femicide ranking, namely—in descending order—Southern Africa, South America, the Caribbean, and Central America. Meanwhile, femicide rates in Eastern Europe and the Russian Federation appear disproportionally high with respect to homicides in general. Regional and country-level femicide rates can obscure significant variations at the subnational level. In Ciudad Juarez, Mexico, for example, the 2009 femicide rate was </w:t>
      </w:r>
      <w:proofErr w:type="gramStart"/>
      <w:r w:rsidRPr="00FD2390">
        <w:rPr>
          <w:sz w:val="10"/>
        </w:rPr>
        <w:t>19 .</w:t>
      </w:r>
      <w:proofErr w:type="gramEnd"/>
      <w:r w:rsidRPr="00FD2390">
        <w:rPr>
          <w:sz w:val="10"/>
        </w:rPr>
        <w:t xml:space="preserve"> 1 per 100,000 female population, whereas the national average femicide rate was </w:t>
      </w:r>
      <w:proofErr w:type="gramStart"/>
      <w:r w:rsidRPr="00FD2390">
        <w:rPr>
          <w:sz w:val="10"/>
        </w:rPr>
        <w:t>2 .</w:t>
      </w:r>
      <w:proofErr w:type="gramEnd"/>
      <w:r w:rsidRPr="00FD2390">
        <w:rPr>
          <w:sz w:val="10"/>
        </w:rPr>
        <w:t xml:space="preserve"> 5 per 100 ,000 in 2004 –09. Similarly, Brazil records a national rate of 4 .3 femicides per 100 ,000 women, yet the state of </w:t>
      </w:r>
      <w:proofErr w:type="spellStart"/>
      <w:r w:rsidRPr="00FD2390">
        <w:rPr>
          <w:sz w:val="10"/>
        </w:rPr>
        <w:t>Espíritu</w:t>
      </w:r>
      <w:proofErr w:type="spellEnd"/>
      <w:r w:rsidRPr="00FD2390">
        <w:rPr>
          <w:sz w:val="10"/>
        </w:rPr>
        <w:t xml:space="preserve"> Santo registered </w:t>
      </w:r>
      <w:proofErr w:type="gramStart"/>
      <w:r w:rsidRPr="00FD2390">
        <w:rPr>
          <w:sz w:val="10"/>
        </w:rPr>
        <w:t>10 .</w:t>
      </w:r>
      <w:proofErr w:type="gramEnd"/>
      <w:r w:rsidRPr="00FD2390">
        <w:rPr>
          <w:sz w:val="10"/>
        </w:rPr>
        <w:t xml:space="preserve"> 9 per 100,000 in 2008. Settings with particularly high femicide rates also exhibit high levels of tolerance of violence against women; moreover, their criminal justice systems tend to be inefficient and lack the resources—or political will—needed to fully investigate and prosecute femicide cases (</w:t>
      </w:r>
      <w:proofErr w:type="spellStart"/>
      <w:r w:rsidRPr="00FD2390">
        <w:rPr>
          <w:sz w:val="10"/>
        </w:rPr>
        <w:t>Alvazzi</w:t>
      </w:r>
      <w:proofErr w:type="spellEnd"/>
      <w:r w:rsidRPr="00FD2390">
        <w:rPr>
          <w:sz w:val="10"/>
        </w:rPr>
        <w:t xml:space="preserve"> del </w:t>
      </w:r>
      <w:proofErr w:type="spellStart"/>
      <w:r w:rsidRPr="00FD2390">
        <w:rPr>
          <w:sz w:val="10"/>
        </w:rPr>
        <w:t>Frate</w:t>
      </w:r>
      <w:proofErr w:type="spellEnd"/>
      <w:r w:rsidRPr="00FD2390">
        <w:rPr>
          <w:sz w:val="10"/>
        </w:rPr>
        <w:t xml:space="preserve">, 2011, p. 122). </w:t>
      </w:r>
      <w:r w:rsidRPr="00FA7727">
        <w:rPr>
          <w:rStyle w:val="StyleUnderline"/>
        </w:rPr>
        <w:t>The following sections discuss femicide in the contexts of male v. female victim ratio in homicides; intimate partner violence (IPV); and the use of firearms in lethal violence against women.</w:t>
      </w:r>
      <w:r w:rsidRPr="00FD2390">
        <w:rPr>
          <w:sz w:val="10"/>
        </w:rPr>
        <w:t xml:space="preserve"> Homicide victims: women v. men </w:t>
      </w:r>
      <w:proofErr w:type="gramStart"/>
      <w:r w:rsidRPr="00FD2390">
        <w:rPr>
          <w:sz w:val="10"/>
        </w:rPr>
        <w:t>As</w:t>
      </w:r>
      <w:proofErr w:type="gramEnd"/>
      <w:r w:rsidRPr="00FD2390">
        <w:rPr>
          <w:sz w:val="10"/>
        </w:rPr>
        <w:t xml:space="preserve"> noted above, countries with the highest levels of homicide generally show the highest rates of lethal violence against women. However, the ratios of male to female homicide victims across countries reveal a different trend. In Figure 1, the line shows the rate of femicide per 100,000 women across five categories of overall homicide rates (from very low to very high) in 83 countries; the bars indicate the number of femicide victims for every 100 male homicide victims in the same five categories. In the 13 countries with very low overall homicide rates, about 66 women are killed for every 100 men. In contrast, in countries affected by high and very high levels of homicide, the disparity between the sexes is significantly greater at 16.3 and 12.5 women per 100 men, respectively. In other words, </w:t>
      </w:r>
      <w:r w:rsidRPr="00FA7727">
        <w:rPr>
          <w:rStyle w:val="StyleUnderline"/>
        </w:rPr>
        <w:t>as the homicide rate increases, the number of women killed in comparison to men appears to decrease. Yet whereas men are up to ten times more likely than women to become victims of a homicide in countries such as Brazil, Colombia, Puerto Rico, and Venezuela, women are by no means safer in these settings</w:t>
      </w:r>
      <w:r w:rsidRPr="00FD2390">
        <w:rPr>
          <w:sz w:val="10"/>
        </w:rPr>
        <w:t xml:space="preserve"> than elsewhere; indeed, these countries witnessed the highest femicide rates of the period under review (</w:t>
      </w:r>
      <w:proofErr w:type="spellStart"/>
      <w:r w:rsidRPr="00FD2390">
        <w:rPr>
          <w:sz w:val="10"/>
        </w:rPr>
        <w:t>Alvazzi</w:t>
      </w:r>
      <w:proofErr w:type="spellEnd"/>
      <w:r w:rsidRPr="00FD2390">
        <w:rPr>
          <w:sz w:val="10"/>
        </w:rPr>
        <w:t xml:space="preserve"> del </w:t>
      </w:r>
      <w:proofErr w:type="spellStart"/>
      <w:r w:rsidRPr="00FD2390">
        <w:rPr>
          <w:sz w:val="10"/>
        </w:rPr>
        <w:t>Frate</w:t>
      </w:r>
      <w:proofErr w:type="spellEnd"/>
      <w:r w:rsidRPr="00FD2390">
        <w:rPr>
          <w:sz w:val="10"/>
        </w:rPr>
        <w:t xml:space="preserve">, 2011, p. 123). The </w:t>
      </w:r>
      <w:r w:rsidRPr="00FA7727">
        <w:rPr>
          <w:rStyle w:val="StyleUnderline"/>
        </w:rPr>
        <w:t xml:space="preserve">highest femicide rates can be observed in countries </w:t>
      </w:r>
      <w:r w:rsidRPr="00FD2390">
        <w:rPr>
          <w:sz w:val="10"/>
        </w:rPr>
        <w:t xml:space="preserve">and territories </w:t>
      </w:r>
      <w:r w:rsidRPr="00FA7727">
        <w:rPr>
          <w:rStyle w:val="StyleUnderline"/>
        </w:rPr>
        <w:t xml:space="preserve">affected by high or very high overall homicide rates </w:t>
      </w:r>
      <w:r w:rsidRPr="00FD2390">
        <w:rPr>
          <w:sz w:val="10"/>
        </w:rPr>
        <w:t>(see Figure 2). With a rate of 12.0 per 100,000 people, El Salvador is the country with the highest femicide rate, followed by Jamaica (10.9), Guatemala (9.7), and South Africa (9.6). In countries marked by high levels of lethal violence,</w:t>
      </w:r>
      <w:r w:rsidRPr="00BE6504">
        <w:rPr>
          <w:rStyle w:val="StyleUnderline"/>
        </w:rPr>
        <w:t xml:space="preserve"> women are more frequently attacked in the public sphere, including by gangs and organized criminal groups</w:t>
      </w:r>
      <w:r w:rsidRPr="00FD2390">
        <w:rPr>
          <w:sz w:val="10"/>
        </w:rPr>
        <w:t xml:space="preserve">; in this context, femicides often take place in a general climate of indifference and impunity. Intimate partner violence </w:t>
      </w:r>
      <w:proofErr w:type="gramStart"/>
      <w:r w:rsidRPr="00BE6504">
        <w:rPr>
          <w:rStyle w:val="StyleUnderline"/>
        </w:rPr>
        <w:t>The</w:t>
      </w:r>
      <w:proofErr w:type="gramEnd"/>
      <w:r w:rsidRPr="00BE6504">
        <w:rPr>
          <w:rStyle w:val="StyleUnderline"/>
        </w:rPr>
        <w:t xml:space="preserve"> majority of perpetrators of femicides are male</w:t>
      </w:r>
      <w:r w:rsidRPr="00FD2390">
        <w:rPr>
          <w:sz w:val="10"/>
        </w:rPr>
        <w:t>, frequently family members or friends of the victim, and often a current or former intimate partner. The close relationship between perpetrators and victims can sometimes facilitate identification of the author of the crime. A sample study of 54 countries and territories providing information on relationships between perpetrators and victims of femicide reveals that the proportion of IPV-related lethal violence is rather low in countries with high femicide rates. For example, in El Salvador and Colombia, which feature among the countries with the highest femicide rates, only three per cent of all femicides are committed by a current or former intimate partner, whereas in Cyprus, France, and Portugal (all countries with low or very low femicide rates) killings of women by former and current partners account for more than 80 per cent of all cases (</w:t>
      </w:r>
      <w:proofErr w:type="spellStart"/>
      <w:r w:rsidRPr="00FD2390">
        <w:rPr>
          <w:sz w:val="10"/>
        </w:rPr>
        <w:t>Alvazzi</w:t>
      </w:r>
      <w:proofErr w:type="spellEnd"/>
      <w:r w:rsidRPr="00FD2390">
        <w:rPr>
          <w:sz w:val="10"/>
        </w:rPr>
        <w:t xml:space="preserve"> del </w:t>
      </w:r>
      <w:proofErr w:type="spellStart"/>
      <w:r w:rsidRPr="00FD2390">
        <w:rPr>
          <w:sz w:val="10"/>
        </w:rPr>
        <w:t>Frate</w:t>
      </w:r>
      <w:proofErr w:type="spellEnd"/>
      <w:r w:rsidRPr="00FD2390">
        <w:rPr>
          <w:sz w:val="10"/>
        </w:rPr>
        <w:t xml:space="preserve">, 2011, pp. 129–30). Strikingly, the majority of </w:t>
      </w:r>
      <w:proofErr w:type="spellStart"/>
      <w:r w:rsidRPr="00FD2390">
        <w:rPr>
          <w:sz w:val="10"/>
        </w:rPr>
        <w:t>IPVrelated</w:t>
      </w:r>
      <w:proofErr w:type="spellEnd"/>
      <w:r w:rsidRPr="00FD2390">
        <w:rPr>
          <w:sz w:val="10"/>
        </w:rPr>
        <w:t xml:space="preserve"> femicide victims experienced prior violence and physical abuse from the same perpetrator (Campbell et al., 2003, p. 1091). </w:t>
      </w:r>
      <w:r w:rsidRPr="00BE6504">
        <w:rPr>
          <w:rStyle w:val="StyleUnderline"/>
        </w:rPr>
        <w:t>IPV-related victimization often leads to self-directed violence.</w:t>
      </w:r>
      <w:r w:rsidRPr="00FD2390">
        <w:rPr>
          <w:sz w:val="10"/>
        </w:rPr>
        <w:t xml:space="preserve"> In the United States, for example, 35 to 40 per cent of victims who survived domestic violence attempted to commit suicide at some point during or after the termination of the abusive relationship. Research conducted in the European Union reveals that of all cases of deaths occurring in the wake of spousal violence, 42 per cent were due to suicide (</w:t>
      </w:r>
      <w:proofErr w:type="spellStart"/>
      <w:r w:rsidRPr="00FD2390">
        <w:rPr>
          <w:sz w:val="10"/>
        </w:rPr>
        <w:t>Psytel</w:t>
      </w:r>
      <w:proofErr w:type="spellEnd"/>
      <w:r w:rsidRPr="00FD2390">
        <w:rPr>
          <w:sz w:val="10"/>
        </w:rPr>
        <w:t xml:space="preserve">, 2010, pp. 9–10). </w:t>
      </w:r>
      <w:r w:rsidRPr="00BE6504">
        <w:rPr>
          <w:rStyle w:val="StyleUnderline"/>
        </w:rPr>
        <w:t>Firearms</w:t>
      </w:r>
      <w:r>
        <w:rPr>
          <w:rStyle w:val="StyleUnderline"/>
        </w:rPr>
        <w:t xml:space="preserve"> </w:t>
      </w:r>
      <w:proofErr w:type="spellStart"/>
      <w:r w:rsidRPr="00BE6504">
        <w:rPr>
          <w:rStyle w:val="StyleUnderline"/>
        </w:rPr>
        <w:t>Firearms</w:t>
      </w:r>
      <w:proofErr w:type="spellEnd"/>
      <w:r w:rsidRPr="00BE6504">
        <w:rPr>
          <w:rStyle w:val="StyleUnderline"/>
        </w:rPr>
        <w:t xml:space="preserve"> play an important role in lethal violence. The Global Burden of Armed Violence 2008 estimates that on average 60 per cent of all homicides are committed with firearms</w:t>
      </w:r>
      <w:r w:rsidRPr="00FD2390">
        <w:rPr>
          <w:sz w:val="10"/>
        </w:rPr>
        <w:t xml:space="preserve"> (Geneva Declaration Secretariat, 2008, p. 5). The display of firearms—as a means to intimidate, threaten, or coerce someone—is a predictor of their actual use. </w:t>
      </w:r>
      <w:r w:rsidRPr="00ED16C1">
        <w:rPr>
          <w:rStyle w:val="Emphasis"/>
        </w:rPr>
        <w:t>Many women report having been threatened with a firearm before they fall victim to a femicide</w:t>
      </w:r>
      <w:r w:rsidRPr="00ED16C1">
        <w:rPr>
          <w:rStyle w:val="StyleUnderline"/>
        </w:rPr>
        <w:t>. Firearms in the home similarly represent an increased risk to women as they are more likely to be used to threaten and inflict harm on family members</w:t>
      </w:r>
      <w:r w:rsidRPr="00FD2390">
        <w:rPr>
          <w:sz w:val="10"/>
        </w:rPr>
        <w:t xml:space="preserve"> than to protect the home from intruders (</w:t>
      </w:r>
      <w:proofErr w:type="spellStart"/>
      <w:r w:rsidRPr="00FD2390">
        <w:rPr>
          <w:sz w:val="10"/>
        </w:rPr>
        <w:t>Alvazzi</w:t>
      </w:r>
      <w:proofErr w:type="spellEnd"/>
      <w:r w:rsidRPr="00FD2390">
        <w:rPr>
          <w:sz w:val="10"/>
        </w:rPr>
        <w:t xml:space="preserve"> del </w:t>
      </w:r>
      <w:proofErr w:type="spellStart"/>
      <w:r w:rsidRPr="00FD2390">
        <w:rPr>
          <w:sz w:val="10"/>
        </w:rPr>
        <w:t>Frate</w:t>
      </w:r>
      <w:proofErr w:type="spellEnd"/>
      <w:r w:rsidRPr="00FD2390">
        <w:rPr>
          <w:sz w:val="10"/>
        </w:rPr>
        <w:t xml:space="preserve">, 2011, p. 131). </w:t>
      </w:r>
      <w:r w:rsidRPr="00ED16C1">
        <w:rPr>
          <w:rStyle w:val="StyleUnderline"/>
        </w:rPr>
        <w:t>Analysis</w:t>
      </w:r>
      <w:r w:rsidRPr="00FD2390">
        <w:rPr>
          <w:sz w:val="10"/>
        </w:rPr>
        <w:t xml:space="preserve"> of a sample of 24 countries with detailed data on the type of weapons used in committing femicides </w:t>
      </w:r>
      <w:r w:rsidRPr="00ED16C1">
        <w:rPr>
          <w:rStyle w:val="Emphasis"/>
        </w:rPr>
        <w:t xml:space="preserve">reveals a direct correlation between femicide rates and the use of firearms. </w:t>
      </w:r>
      <w:r w:rsidRPr="00ED16C1">
        <w:rPr>
          <w:rStyle w:val="StyleUnderline"/>
        </w:rPr>
        <w:t xml:space="preserve">Specifically, countries affected by high levels of femicide exhibit a higher proportion of femicides committed with </w:t>
      </w:r>
      <w:r w:rsidRPr="00ED16C1">
        <w:rPr>
          <w:rStyle w:val="StyleUnderline"/>
        </w:rPr>
        <w:lastRenderedPageBreak/>
        <w:t>firearms.</w:t>
      </w:r>
      <w:r w:rsidRPr="00FD2390">
        <w:rPr>
          <w:sz w:val="10"/>
        </w:rPr>
        <w:t xml:space="preserve"> On average, firearms were used in one-third of all femicides worldwide; in Brazil, Colombia, El Salvador, Guatemala, and Honduras, however, firearms were used in more than 60 per cent of femicides (</w:t>
      </w:r>
      <w:proofErr w:type="spellStart"/>
      <w:r w:rsidRPr="00FD2390">
        <w:rPr>
          <w:sz w:val="10"/>
        </w:rPr>
        <w:t>Alvazzi</w:t>
      </w:r>
      <w:proofErr w:type="spellEnd"/>
      <w:r w:rsidRPr="00FD2390">
        <w:rPr>
          <w:sz w:val="10"/>
        </w:rPr>
        <w:t xml:space="preserve"> del </w:t>
      </w:r>
      <w:proofErr w:type="spellStart"/>
      <w:r w:rsidRPr="00FD2390">
        <w:rPr>
          <w:sz w:val="10"/>
        </w:rPr>
        <w:t>Frate</w:t>
      </w:r>
      <w:proofErr w:type="spellEnd"/>
      <w:r w:rsidRPr="00FD2390">
        <w:rPr>
          <w:sz w:val="10"/>
        </w:rPr>
        <w:t>, 2011, p. 131). The highest percentage of firearm-related femicides was observed in 2009 in Ciudad Juarez, Mexico, where firearms were used in more than 80 per cent of all femicides—almost as high a percentage as for firearm homicides with male victims (p. 132).</w:t>
      </w:r>
    </w:p>
    <w:p w:rsidR="00FD2390" w:rsidRDefault="00FD2390" w:rsidP="00FD2390"/>
    <w:p w:rsidR="00FD2390" w:rsidRDefault="00FD2390" w:rsidP="00FD2390">
      <w:pPr>
        <w:pStyle w:val="Heading4"/>
      </w:pPr>
      <w:r>
        <w:t xml:space="preserve">Arms act as a conduit for societal constructions of masculinity to manifest in gender-based violence </w:t>
      </w:r>
    </w:p>
    <w:p w:rsidR="00FD2390" w:rsidRDefault="00FD2390" w:rsidP="00FD2390">
      <w:r w:rsidRPr="008A6971">
        <w:rPr>
          <w:rStyle w:val="Style13ptBold"/>
        </w:rPr>
        <w:t>GD 8</w:t>
      </w:r>
      <w:r>
        <w:t xml:space="preserve"> (Geneva Declaration, diplomatic initiative aimed at addressing the interrelations between armed violence and development. “Armed Violence Against Women,” Global Burden of Armed Violence, Geneva Declaration, 2008, </w:t>
      </w:r>
      <w:hyperlink r:id="rId23" w:history="1">
        <w:r>
          <w:rPr>
            <w:rStyle w:val="Hyperlink"/>
          </w:rPr>
          <w:t>http://www.genevadeclaration.org/fileadmin/docs/GBAV/GBAV08-CH6.pdf</w:t>
        </w:r>
      </w:hyperlink>
      <w:r>
        <w:t>)//Bennerz</w:t>
      </w:r>
    </w:p>
    <w:p w:rsidR="00FD2390" w:rsidRDefault="00FD2390" w:rsidP="00FD2390">
      <w:pPr>
        <w:rPr>
          <w:sz w:val="14"/>
        </w:rPr>
      </w:pPr>
      <w:r w:rsidRPr="00FD2390">
        <w:rPr>
          <w:sz w:val="14"/>
        </w:rPr>
        <w:t xml:space="preserve">The gender dimensions of armed violence </w:t>
      </w:r>
      <w:r w:rsidRPr="00E02239">
        <w:rPr>
          <w:rStyle w:val="StyleUnderline"/>
        </w:rPr>
        <w:t xml:space="preserve">Different experiences of armed violence are determined by gender roles. </w:t>
      </w:r>
      <w:r w:rsidRPr="00FD2390">
        <w:rPr>
          <w:sz w:val="14"/>
        </w:rPr>
        <w:t xml:space="preserve">Gender (as opposed to sex) refers to the construction of social roles that operate through various mechanisms, such as institutions or stereotypes. </w:t>
      </w:r>
      <w:r w:rsidRPr="00E02239">
        <w:rPr>
          <w:rStyle w:val="StyleUnderline"/>
        </w:rPr>
        <w:t xml:space="preserve">Gender constructions reflect deeply rooted relations of power and determine the roles, </w:t>
      </w:r>
      <w:proofErr w:type="spellStart"/>
      <w:r w:rsidRPr="00E02239">
        <w:rPr>
          <w:rStyle w:val="StyleUnderline"/>
        </w:rPr>
        <w:t>behaviour</w:t>
      </w:r>
      <w:proofErr w:type="spellEnd"/>
      <w:r w:rsidRPr="00E02239">
        <w:rPr>
          <w:rStyle w:val="StyleUnderline"/>
        </w:rPr>
        <w:t>, values, and relationships associated with masculinity and femininity</w:t>
      </w:r>
      <w:r w:rsidRPr="00485454">
        <w:rPr>
          <w:rStyle w:val="StyleUnderline"/>
        </w:rPr>
        <w:t xml:space="preserve">. These are the roles and </w:t>
      </w:r>
      <w:proofErr w:type="spellStart"/>
      <w:r w:rsidRPr="00485454">
        <w:rPr>
          <w:rStyle w:val="StyleUnderline"/>
        </w:rPr>
        <w:t>behaviour</w:t>
      </w:r>
      <w:proofErr w:type="spellEnd"/>
      <w:r w:rsidRPr="00485454">
        <w:rPr>
          <w:rStyle w:val="StyleUnderline"/>
        </w:rPr>
        <w:t xml:space="preserve"> that a man or a woman is expected to adopt in a given setting</w:t>
      </w:r>
      <w:r w:rsidRPr="00FD2390">
        <w:rPr>
          <w:sz w:val="14"/>
        </w:rPr>
        <w:t xml:space="preserve">. These roles vary between and within different cultures and are learnt </w:t>
      </w:r>
      <w:proofErr w:type="spellStart"/>
      <w:r w:rsidRPr="00FD2390">
        <w:rPr>
          <w:sz w:val="14"/>
        </w:rPr>
        <w:t>behaviour</w:t>
      </w:r>
      <w:proofErr w:type="spellEnd"/>
      <w:r w:rsidRPr="00FD2390">
        <w:rPr>
          <w:sz w:val="14"/>
        </w:rPr>
        <w:t xml:space="preserve"> acquired through socialization (Connell, 1995, p. 44). </w:t>
      </w:r>
      <w:r w:rsidRPr="00485454">
        <w:rPr>
          <w:rStyle w:val="StyleUnderline"/>
        </w:rPr>
        <w:t>A gender approach is useful to account for the different ways in which armed violence affects women and men</w:t>
      </w:r>
      <w:r w:rsidRPr="00FD2390">
        <w:rPr>
          <w:sz w:val="14"/>
        </w:rPr>
        <w:t xml:space="preserve">. </w:t>
      </w:r>
      <w:r w:rsidRPr="003E5DDE">
        <w:rPr>
          <w:rStyle w:val="StyleUnderline"/>
        </w:rPr>
        <w:t>Focusing on gender rather than women allows one to include gender-based violence against men and boys as well as gay, lesbian, transgender, and transsexual people</w:t>
      </w:r>
      <w:r w:rsidRPr="003E5DDE">
        <w:rPr>
          <w:rStyle w:val="Emphasis"/>
        </w:rPr>
        <w:t>. This is important because violence is not only used by men to claim and assert power over women</w:t>
      </w:r>
      <w:r w:rsidRPr="00FD2390">
        <w:rPr>
          <w:sz w:val="14"/>
        </w:rPr>
        <w:t xml:space="preserve">, </w:t>
      </w:r>
      <w:r w:rsidRPr="008A7238">
        <w:rPr>
          <w:rStyle w:val="Emphasis"/>
        </w:rPr>
        <w:t>but it is also instrumental in enforcing the gender hierarchy of power among men</w:t>
      </w:r>
      <w:r w:rsidRPr="00FD2390">
        <w:rPr>
          <w:sz w:val="14"/>
        </w:rPr>
        <w:t xml:space="preserve">. A gender-sensitive approach highlights the power relations inherent in much armed violence. Finally, </w:t>
      </w:r>
      <w:r w:rsidRPr="00D77ECA">
        <w:rPr>
          <w:rStyle w:val="Emphasis"/>
        </w:rPr>
        <w:t>such an approach does not limit women to the role of victims and men to the role of perpetrators</w:t>
      </w:r>
      <w:r w:rsidRPr="00FD2390">
        <w:rPr>
          <w:sz w:val="14"/>
        </w:rPr>
        <w:t xml:space="preserve">, </w:t>
      </w:r>
      <w:r w:rsidRPr="00D77ECA">
        <w:rPr>
          <w:rStyle w:val="StyleUnderline"/>
        </w:rPr>
        <w:t>since it recognizes that women can also be the perpetrators of armed violence, while men are also among the victims. Gendered power relations and forms of violent masculinities are key underlying factors shaping the dynamics of armed violence. In many societies, violence and weapons use by boys and men are socially expected or accepted</w:t>
      </w:r>
      <w:r w:rsidRPr="00FD2390">
        <w:rPr>
          <w:sz w:val="14"/>
        </w:rPr>
        <w:t xml:space="preserve"> (Widmer, Barker, and Buchanan, 2006). </w:t>
      </w:r>
      <w:r w:rsidRPr="00E27212">
        <w:rPr>
          <w:rStyle w:val="StyleUnderline"/>
        </w:rPr>
        <w:t xml:space="preserve">Boys are socialized into violent </w:t>
      </w:r>
      <w:proofErr w:type="spellStart"/>
      <w:r w:rsidRPr="00E27212">
        <w:rPr>
          <w:rStyle w:val="StyleUnderline"/>
        </w:rPr>
        <w:t>behaviour</w:t>
      </w:r>
      <w:proofErr w:type="spellEnd"/>
      <w:r w:rsidRPr="00E27212">
        <w:rPr>
          <w:rStyle w:val="StyleUnderline"/>
        </w:rPr>
        <w:t xml:space="preserve"> through weapon-related rites of passage from boyhood to manhood</w:t>
      </w:r>
      <w:r w:rsidRPr="00FD2390">
        <w:rPr>
          <w:sz w:val="14"/>
        </w:rPr>
        <w:t xml:space="preserve"> Photo </w:t>
      </w:r>
      <w:r w:rsidRPr="00FD2390">
        <w:rPr>
          <w:sz w:val="14"/>
        </w:rPr>
        <w:sym w:font="Symbol" w:char="F071"/>
      </w:r>
      <w:r w:rsidRPr="00FD2390">
        <w:rPr>
          <w:sz w:val="14"/>
        </w:rPr>
        <w:t xml:space="preserve"> This 35-year-old woman was shot in the face. The bullet entered her eye and exited behind her ear. </w:t>
      </w:r>
      <w:proofErr w:type="spellStart"/>
      <w:r w:rsidRPr="00FD2390">
        <w:rPr>
          <w:sz w:val="14"/>
        </w:rPr>
        <w:t>Abunduruk</w:t>
      </w:r>
      <w:proofErr w:type="spellEnd"/>
      <w:r w:rsidRPr="00FD2390">
        <w:rPr>
          <w:sz w:val="14"/>
        </w:rPr>
        <w:t>, Sudan, near the Chadian border. © Lynsey Addario ARMED VIOLENCE AGAINST WOMEN 1111245673 (</w:t>
      </w:r>
      <w:proofErr w:type="spellStart"/>
      <w:r w:rsidRPr="00FD2390">
        <w:rPr>
          <w:sz w:val="14"/>
        </w:rPr>
        <w:t>Myrttinen</w:t>
      </w:r>
      <w:proofErr w:type="spellEnd"/>
      <w:r w:rsidRPr="00FD2390">
        <w:rPr>
          <w:sz w:val="14"/>
        </w:rPr>
        <w:t xml:space="preserve">, 2003, p. 38). The media and popular culture often link violence, arms, and masculinity, reinforcing images of conventional gender roles. In some </w:t>
      </w:r>
      <w:proofErr w:type="gramStart"/>
      <w:r w:rsidRPr="00FD2390">
        <w:rPr>
          <w:sz w:val="14"/>
        </w:rPr>
        <w:t>cases</w:t>
      </w:r>
      <w:proofErr w:type="gramEnd"/>
      <w:r w:rsidRPr="00FD2390">
        <w:rPr>
          <w:sz w:val="14"/>
        </w:rPr>
        <w:t xml:space="preserve"> </w:t>
      </w:r>
      <w:r w:rsidRPr="00E27212">
        <w:rPr>
          <w:rStyle w:val="StyleUnderline"/>
        </w:rPr>
        <w:t>violence becomes an expression of masculinity</w:t>
      </w:r>
      <w:r w:rsidRPr="00FD2390">
        <w:rPr>
          <w:sz w:val="14"/>
        </w:rPr>
        <w:t xml:space="preserve">. There is, however, not just one form of masculinity and femininity in any given society: different types of masculinities exist and are interlinked by relationships of power, hierarchy, and exclusion. </w:t>
      </w:r>
      <w:r w:rsidRPr="00E27212">
        <w:rPr>
          <w:rStyle w:val="StyleUnderline"/>
        </w:rPr>
        <w:t>The hierarchy of different forms of masculinity is an important source of conflict and violence among men, as challenges to one’s masculinity are common sources of disputes and injuries or even murder</w:t>
      </w:r>
      <w:r w:rsidRPr="00FD2390">
        <w:rPr>
          <w:sz w:val="14"/>
        </w:rPr>
        <w:t xml:space="preserve"> (Connell, 2003, pp. 1–2). </w:t>
      </w:r>
      <w:r w:rsidRPr="00690417">
        <w:rPr>
          <w:rStyle w:val="StyleUnderline"/>
        </w:rPr>
        <w:t xml:space="preserve">Gang turf wars, for example, are often linked to </w:t>
      </w:r>
      <w:proofErr w:type="spellStart"/>
      <w:r w:rsidRPr="00690417">
        <w:rPr>
          <w:rStyle w:val="StyleUnderline"/>
        </w:rPr>
        <w:t>honour</w:t>
      </w:r>
      <w:proofErr w:type="spellEnd"/>
      <w:r w:rsidRPr="00690417">
        <w:rPr>
          <w:rStyle w:val="StyleUnderline"/>
        </w:rPr>
        <w:t>-related issues and challenges to ‘status’, ‘toughness’, and ‘manhood’</w:t>
      </w:r>
      <w:r w:rsidRPr="00FD2390">
        <w:rPr>
          <w:sz w:val="14"/>
        </w:rPr>
        <w:t xml:space="preserve">. Perceived threats to one’s masculinity can also arise from economic dislocation, unemployment, or social transformations. In societies where the male gender role is intricately tied to </w:t>
      </w:r>
      <w:proofErr w:type="gramStart"/>
      <w:r w:rsidRPr="00FD2390">
        <w:rPr>
          <w:sz w:val="14"/>
        </w:rPr>
        <w:t>being</w:t>
      </w:r>
      <w:proofErr w:type="gramEnd"/>
      <w:r w:rsidRPr="00FD2390">
        <w:rPr>
          <w:sz w:val="14"/>
        </w:rPr>
        <w:t xml:space="preserve"> the main ‘breadwinner’, unemployment can leave men feeling ‘emasculated’ and powerless, and wanting to demonstrate that they are ‘real men’ (Widmer, Barker, and Buchanan, 2006, p. 3). </w:t>
      </w:r>
      <w:r w:rsidRPr="00690417">
        <w:rPr>
          <w:rStyle w:val="StyleUnderline"/>
        </w:rPr>
        <w:t>The resort to armed violence is often linked to a crisis of masculinity and a ‘fear of loss of power and privilege’</w:t>
      </w:r>
      <w:r w:rsidRPr="00FD2390">
        <w:rPr>
          <w:sz w:val="14"/>
        </w:rPr>
        <w:t xml:space="preserve"> (Messner, 1990) through social transformations. </w:t>
      </w:r>
      <w:r w:rsidRPr="008C0617">
        <w:rPr>
          <w:rStyle w:val="StyleUnderline"/>
        </w:rPr>
        <w:t>Weapons can also be used as status symbols, as tools to achieve economic and social gain, or to acquire power over unarmed persons in order to reassert one’s masculinity</w:t>
      </w:r>
      <w:r w:rsidRPr="00FD2390">
        <w:rPr>
          <w:sz w:val="14"/>
        </w:rPr>
        <w:t xml:space="preserve"> (</w:t>
      </w:r>
      <w:proofErr w:type="spellStart"/>
      <w:r w:rsidRPr="00FD2390">
        <w:rPr>
          <w:sz w:val="14"/>
        </w:rPr>
        <w:t>Myrttinen</w:t>
      </w:r>
      <w:proofErr w:type="spellEnd"/>
      <w:r w:rsidRPr="00FD2390">
        <w:rPr>
          <w:sz w:val="14"/>
        </w:rPr>
        <w:t xml:space="preserve">, 2003, p. 37). </w:t>
      </w:r>
      <w:r w:rsidRPr="008C0617">
        <w:rPr>
          <w:rStyle w:val="StyleUnderline"/>
        </w:rPr>
        <w:t>Although men are the main perpetrators of acts of armed violence, women and children also use armed violence</w:t>
      </w:r>
      <w:r w:rsidRPr="00FD2390">
        <w:rPr>
          <w:sz w:val="14"/>
        </w:rPr>
        <w:t xml:space="preserve"> (Bennett, </w:t>
      </w:r>
      <w:proofErr w:type="spellStart"/>
      <w:r w:rsidRPr="00FD2390">
        <w:rPr>
          <w:sz w:val="14"/>
        </w:rPr>
        <w:t>Bexley</w:t>
      </w:r>
      <w:proofErr w:type="spellEnd"/>
      <w:r w:rsidRPr="00FD2390">
        <w:rPr>
          <w:sz w:val="14"/>
        </w:rPr>
        <w:t xml:space="preserve">, and Warnock, 1995). During the armed conflict in El Salvador, for example, women held 40 per cent of leadership and 30 per cent of combatant roles (Schroeder, 2005, p. 1), and women and girls are involved in gangs in Haiti (OTHER FORMS OF ARMED VIOLENCE). In the armed conflict in Liberia, child soldiers as young as nine years old reportedly committed killings and atrocities often under the influence of drugs and alcohol used to induce </w:t>
      </w:r>
      <w:r w:rsidRPr="00FD2390">
        <w:rPr>
          <w:sz w:val="14"/>
        </w:rPr>
        <w:lastRenderedPageBreak/>
        <w:t xml:space="preserve">aggression and suppress fear (HRW, 2004, pp. 2–3). </w:t>
      </w:r>
      <w:r w:rsidRPr="000375F8">
        <w:rPr>
          <w:rStyle w:val="StyleUnderline"/>
        </w:rPr>
        <w:t>Gender roles influence not only who perpetrates armed violence but also who becomes the victim.</w:t>
      </w:r>
      <w:r w:rsidRPr="00FD2390">
        <w:rPr>
          <w:sz w:val="14"/>
        </w:rPr>
        <w:t xml:space="preserve"> This is especially so with gender-based violence, ‘an umbrella term for any harm that is perpetrated against a person’s will, and that results from power inequities that are based on gender roles’ (RHRC, 2003, p. 9). </w:t>
      </w:r>
      <w:r w:rsidRPr="000375F8">
        <w:rPr>
          <w:rStyle w:val="StyleUnderline"/>
        </w:rPr>
        <w:t xml:space="preserve">Gender-based violence may be physical, sexual, psychological, economic, or sociocultural, such as intimate partner violence, sexual assault, </w:t>
      </w:r>
      <w:proofErr w:type="spellStart"/>
      <w:r w:rsidRPr="000375F8">
        <w:rPr>
          <w:rStyle w:val="StyleUnderline"/>
        </w:rPr>
        <w:t>honour</w:t>
      </w:r>
      <w:proofErr w:type="spellEnd"/>
      <w:r w:rsidRPr="000375F8">
        <w:rPr>
          <w:rStyle w:val="StyleUnderline"/>
        </w:rPr>
        <w:t xml:space="preserve"> killings, dowry-related violence, or trafficking</w:t>
      </w:r>
      <w:r w:rsidRPr="00FD2390">
        <w:rPr>
          <w:sz w:val="14"/>
        </w:rPr>
        <w:t xml:space="preserve">. Categories of perpetrators include intimate partners, family members, community members, and those acting on behalf of cultural, religious, or state actors. The distinction between victim and perpetrator of gender-based violence does not necessarily follow gender fault lines: while men are the main perpetrators, women also commit acts of </w:t>
      </w:r>
      <w:proofErr w:type="spellStart"/>
      <w:r w:rsidRPr="00FD2390">
        <w:rPr>
          <w:sz w:val="14"/>
        </w:rPr>
        <w:t>genderbased</w:t>
      </w:r>
      <w:proofErr w:type="spellEnd"/>
      <w:r w:rsidRPr="00FD2390">
        <w:rPr>
          <w:sz w:val="14"/>
        </w:rPr>
        <w:t xml:space="preserve"> violence, and even though women are the main victims, men, boys, and transgender/transsexual people are also among the victims. Forms of gender-based violence specifically directed against men include sex-selective killings, forced conscription, and sexual violence (Carpenter, 2006). For example, in the armed conflicts of the Central African Republic and the Democratic Republic of the Congo (DRC), numerous cases of sexual violence against men and boys were reported (INDIRECT CONFLICT DEATHS). Among non-combatants in the former Yugoslavia, adult civilian men were the most likely to be massacred by enemy forces (Carpenter, 2003). Such sex-selective killings of GLOBAL BURDEN of ARMED VIOLENCE 112 men are rooted in the assumptions of male wartime roles, reproducing gendered hierarchies (Carpenter, 2006, pp. 88–89). The experience of armed violence is influenced not only by gender but also by other factors, such as age, race, ethnicity, class, or religion. During the civil war in Guatemala, for example, women and children of ethnic Mayan origin were specifically targeted (Commission for Historical Clarification, 1999, §85–88, §91). In the Rwandan genocide, sex-selective killings targeted specifically Tutsi men, whereas Tutsi women frequently became the victims of sexual violence (Carpenter, 2006, p. 89; Ward, 2002; HRW, 1996). </w:t>
      </w:r>
      <w:r w:rsidRPr="009B2345">
        <w:rPr>
          <w:rStyle w:val="StyleUnderline"/>
        </w:rPr>
        <w:t>Acts of gender-based violence do not necessarily involve the use of weapons</w:t>
      </w:r>
      <w:r w:rsidRPr="00FD2390">
        <w:rPr>
          <w:sz w:val="14"/>
        </w:rPr>
        <w:t xml:space="preserve">. </w:t>
      </w:r>
      <w:r w:rsidRPr="009B2345">
        <w:rPr>
          <w:rStyle w:val="Emphasis"/>
        </w:rPr>
        <w:t>However, arms are often directly or indirectly linked to violence, either through their presence or as the indirect consequences of armed violence</w:t>
      </w:r>
      <w:r w:rsidRPr="00FD2390">
        <w:rPr>
          <w:sz w:val="14"/>
        </w:rPr>
        <w:t xml:space="preserve">. </w:t>
      </w:r>
      <w:r w:rsidRPr="009B2345">
        <w:rPr>
          <w:rStyle w:val="Emphasis"/>
        </w:rPr>
        <w:t xml:space="preserve">Surveys have shown, for example, that the presence of a gun in the household generally increases threefold the risk of becoming a homicide victim </w:t>
      </w:r>
      <w:r w:rsidRPr="00FD2390">
        <w:rPr>
          <w:sz w:val="14"/>
        </w:rPr>
        <w:t>(</w:t>
      </w:r>
      <w:proofErr w:type="spellStart"/>
      <w:r w:rsidRPr="00FD2390">
        <w:rPr>
          <w:sz w:val="14"/>
        </w:rPr>
        <w:t>Kellermann</w:t>
      </w:r>
      <w:proofErr w:type="spellEnd"/>
      <w:r w:rsidRPr="00FD2390">
        <w:rPr>
          <w:sz w:val="14"/>
        </w:rPr>
        <w:t xml:space="preserve"> et al., 1993). </w:t>
      </w:r>
      <w:r w:rsidRPr="00665FC6">
        <w:rPr>
          <w:rStyle w:val="StyleUnderline"/>
        </w:rPr>
        <w:t xml:space="preserve">Attitudes and roles shaped by armed violence, for example through army training or the experiences of war, also contribute to gender-based violence. </w:t>
      </w:r>
      <w:r w:rsidRPr="00FD2390">
        <w:rPr>
          <w:sz w:val="14"/>
        </w:rPr>
        <w:t>A study on domestic violence in Bosnia and Herzegovina shows that men returning from war face a ‘masculinity crisis’, which increases the likelihood of male violence and the abuse of women (CARE and ICRW, 2007, p. 8).</w:t>
      </w:r>
    </w:p>
    <w:p w:rsidR="00FD2390" w:rsidRDefault="00FD2390" w:rsidP="00FD2390">
      <w:pPr>
        <w:pStyle w:val="Heading3"/>
      </w:pPr>
      <w:r>
        <w:lastRenderedPageBreak/>
        <w:t>Unpaid Labor</w:t>
      </w:r>
    </w:p>
    <w:p w:rsidR="00FD2390" w:rsidRPr="00676953" w:rsidRDefault="00FD2390" w:rsidP="00FD2390">
      <w:pPr>
        <w:pStyle w:val="Heading4"/>
        <w:rPr>
          <w:rFonts w:asciiTheme="majorHAnsi" w:hAnsiTheme="majorHAnsi" w:cstheme="majorHAnsi"/>
        </w:rPr>
      </w:pPr>
      <w:r>
        <w:rPr>
          <w:rFonts w:asciiTheme="majorHAnsi" w:hAnsiTheme="majorHAnsi" w:cstheme="majorHAnsi"/>
        </w:rPr>
        <w:t>Violence via small arms magnifies the unpaid labor placed onto women in post-conflict settings</w:t>
      </w:r>
    </w:p>
    <w:p w:rsidR="00FD2390" w:rsidRPr="00676953" w:rsidRDefault="00FD2390" w:rsidP="00FD2390">
      <w:pPr>
        <w:rPr>
          <w:rStyle w:val="Style13ptBold"/>
          <w:rFonts w:asciiTheme="majorHAnsi" w:hAnsiTheme="majorHAnsi" w:cstheme="majorHAnsi"/>
        </w:rPr>
      </w:pPr>
      <w:r w:rsidRPr="00676953">
        <w:rPr>
          <w:rStyle w:val="Style13ptBold"/>
          <w:rFonts w:asciiTheme="majorHAnsi" w:hAnsiTheme="majorHAnsi" w:cstheme="majorHAnsi"/>
        </w:rPr>
        <w:t>Farr 02</w:t>
      </w:r>
    </w:p>
    <w:p w:rsidR="00FD2390" w:rsidRPr="00676953" w:rsidRDefault="00FD2390" w:rsidP="00FD2390">
      <w:pPr>
        <w:rPr>
          <w:rStyle w:val="Style13ptBold"/>
          <w:rFonts w:asciiTheme="majorHAnsi" w:hAnsiTheme="majorHAnsi" w:cstheme="majorHAnsi"/>
          <w:sz w:val="20"/>
          <w:szCs w:val="20"/>
        </w:rPr>
      </w:pPr>
      <w:r w:rsidRPr="00676953">
        <w:rPr>
          <w:rStyle w:val="Style13ptBold"/>
          <w:rFonts w:asciiTheme="majorHAnsi" w:hAnsiTheme="majorHAnsi" w:cstheme="majorHAnsi"/>
          <w:sz w:val="20"/>
          <w:szCs w:val="20"/>
        </w:rPr>
        <w:t>(Vanessa A. Farr, African Women’s Anti-War Coalition, A Gendered Analysis of International Agreements on Small Arms and Light Weapons, in Brief 24: Gender Perspectives on Small Arms and Light Weapons, Bonn International Center for Conversion, July 2002, http://www.seesac.org/f/tmp/files/failovi/210.pdf#page=25, JKS)</w:t>
      </w:r>
    </w:p>
    <w:p w:rsidR="00FD2390" w:rsidRPr="0002683A" w:rsidRDefault="00FD2390" w:rsidP="00FD2390">
      <w:pPr>
        <w:rPr>
          <w:rStyle w:val="Emphasis"/>
        </w:rPr>
      </w:pPr>
      <w:r w:rsidRPr="0002683A">
        <w:rPr>
          <w:rStyle w:val="Emphasis"/>
        </w:rPr>
        <w:t>Women’s unpaid labor and firearm-related violence</w:t>
      </w:r>
    </w:p>
    <w:p w:rsidR="00FD2390" w:rsidRPr="008E6188" w:rsidRDefault="00FD2390" w:rsidP="00FD2390">
      <w:pPr>
        <w:rPr>
          <w:rFonts w:asciiTheme="majorHAnsi" w:hAnsiTheme="majorHAnsi" w:cstheme="majorHAnsi"/>
          <w:sz w:val="14"/>
        </w:rPr>
      </w:pPr>
      <w:r w:rsidRPr="008E6188">
        <w:rPr>
          <w:rStyle w:val="StyleUnderline"/>
        </w:rPr>
        <w:t>A final blow to women’s sharing in peaceful development after war arises from the proliferation and abuse of small arms and light weapons in the post-conflict era.</w:t>
      </w:r>
      <w:r w:rsidRPr="008E6188">
        <w:rPr>
          <w:rFonts w:asciiTheme="majorHAnsi" w:hAnsiTheme="majorHAnsi" w:cstheme="majorHAnsi"/>
          <w:sz w:val="14"/>
        </w:rPr>
        <w:t xml:space="preserve"> Again, </w:t>
      </w:r>
      <w:r w:rsidRPr="008E6188">
        <w:rPr>
          <w:rStyle w:val="StyleUnderline"/>
        </w:rPr>
        <w:t>women are affected in two ways: firstly, by a rise in levels of domestic violence involving small arms, which comes about because the vast majority of gun owners are men and much of the violence that is encouraged in times of war is transferred to the domestic sphere when conflicts formally end</w:t>
      </w:r>
      <w:r w:rsidRPr="008E6188">
        <w:rPr>
          <w:rFonts w:asciiTheme="majorHAnsi" w:hAnsiTheme="majorHAnsi" w:cstheme="majorHAnsi"/>
          <w:sz w:val="14"/>
        </w:rPr>
        <w:t xml:space="preserve"> (</w:t>
      </w:r>
      <w:proofErr w:type="spellStart"/>
      <w:r w:rsidRPr="008E6188">
        <w:rPr>
          <w:rFonts w:asciiTheme="majorHAnsi" w:hAnsiTheme="majorHAnsi" w:cstheme="majorHAnsi"/>
          <w:sz w:val="14"/>
        </w:rPr>
        <w:t>Cukier</w:t>
      </w:r>
      <w:proofErr w:type="spellEnd"/>
      <w:r w:rsidRPr="008E6188">
        <w:rPr>
          <w:rFonts w:asciiTheme="majorHAnsi" w:hAnsiTheme="majorHAnsi" w:cstheme="majorHAnsi"/>
          <w:sz w:val="14"/>
        </w:rPr>
        <w:t xml:space="preserve"> 2000; De Abreu, 1998). Secondly, </w:t>
      </w:r>
      <w:r w:rsidRPr="008E6188">
        <w:rPr>
          <w:rStyle w:val="StyleUnderline"/>
        </w:rPr>
        <w:t>when small arms and light weapons continue to circulate freely, causing on-going casualties, it falls to women not only to care for the injured but also to protect the vulnerable</w:t>
      </w:r>
      <w:r w:rsidRPr="008E6188">
        <w:rPr>
          <w:rFonts w:asciiTheme="majorHAnsi" w:hAnsiTheme="majorHAnsi" w:cstheme="majorHAnsi"/>
          <w:sz w:val="14"/>
        </w:rPr>
        <w:t xml:space="preserve">. </w:t>
      </w:r>
      <w:r w:rsidRPr="008E6188">
        <w:rPr>
          <w:rStyle w:val="StyleUnderline"/>
        </w:rPr>
        <w:t xml:space="preserve">Women bear the heaviest burden of nursing the casualties of gun-related violence back to health or taking care of those who have become permanently disabled. </w:t>
      </w:r>
      <w:r w:rsidRPr="008E6188">
        <w:rPr>
          <w:rFonts w:asciiTheme="majorHAnsi" w:hAnsiTheme="majorHAnsi" w:cstheme="majorHAnsi"/>
          <w:sz w:val="14"/>
        </w:rPr>
        <w:t xml:space="preserve">Whether at home or as volunteers or underpaid supporters in civil society structures that focus on the rehabilitation of victims, </w:t>
      </w:r>
      <w:r w:rsidRPr="008E6188">
        <w:rPr>
          <w:rStyle w:val="StyleUnderline"/>
        </w:rPr>
        <w:t>their labor subsidizes over-stretched or non-existent governmental healthcare and legal systems.</w:t>
      </w:r>
      <w:r w:rsidRPr="008E6188">
        <w:rPr>
          <w:rFonts w:asciiTheme="majorHAnsi" w:hAnsiTheme="majorHAnsi" w:cstheme="majorHAnsi"/>
          <w:sz w:val="14"/>
        </w:rPr>
        <w:t xml:space="preserve"> Their work is often dangerous if it takes them into courtrooms to give testimony, and in the absence of witness protection programs or an efficient judicial system, </w:t>
      </w:r>
      <w:r w:rsidRPr="008E6188">
        <w:rPr>
          <w:rStyle w:val="StyleUnderline"/>
        </w:rPr>
        <w:t>women may also have to shield survivors from their attempted killers</w:t>
      </w:r>
      <w:r w:rsidRPr="008E6188">
        <w:rPr>
          <w:rFonts w:asciiTheme="majorHAnsi" w:hAnsiTheme="majorHAnsi" w:cstheme="majorHAnsi"/>
          <w:sz w:val="14"/>
        </w:rPr>
        <w:t xml:space="preserve">. Often, </w:t>
      </w:r>
      <w:r w:rsidRPr="008E6188">
        <w:rPr>
          <w:rStyle w:val="StyleUnderline"/>
        </w:rPr>
        <w:t>women affected by ongoing gun violence take on the responsibility to organize opposition rallies, marches, petitions and other such forms of public protest against the proliferation of SALW</w:t>
      </w:r>
      <w:r w:rsidRPr="008E6188">
        <w:rPr>
          <w:rFonts w:asciiTheme="majorHAnsi" w:hAnsiTheme="majorHAnsi" w:cstheme="majorHAnsi"/>
          <w:sz w:val="14"/>
        </w:rPr>
        <w:t xml:space="preserve">.6 In South Africa, for example, where more than thirty five people a day die from gunshot wounds, Gun Free South Africa organized a huge rally on Women’s Day, 8 March 2000, to say “Women Say No to Gun Violence.” They were urging the government to put into practice a new Firearms Control Act, which was passed in October 2000 but is still in the process of implementation. </w:t>
      </w:r>
      <w:r w:rsidRPr="008E6188">
        <w:rPr>
          <w:rStyle w:val="StyleUnderline"/>
        </w:rPr>
        <w:t>All of this work is highly stressful, takes time from other productive labor, and yet, like much of women’s work, goes unrecognized and unrewarded</w:t>
      </w:r>
      <w:r w:rsidRPr="008E6188">
        <w:rPr>
          <w:rFonts w:asciiTheme="majorHAnsi" w:hAnsiTheme="majorHAnsi" w:cstheme="majorHAnsi"/>
          <w:sz w:val="14"/>
        </w:rPr>
        <w:t>. It can also make women feel even more vulnerable, since those who work in organizations that oppose gun proliferation and misuse often become the specific targets of anger from men who support gun ownership.</w:t>
      </w:r>
    </w:p>
    <w:p w:rsidR="00FD2390" w:rsidRPr="00FD2390" w:rsidRDefault="00FD2390" w:rsidP="00FD2390"/>
    <w:p w:rsidR="00FD2390" w:rsidRPr="00676953" w:rsidRDefault="00FD2390" w:rsidP="00FD2390">
      <w:pPr>
        <w:pStyle w:val="Heading3"/>
        <w:rPr>
          <w:rFonts w:asciiTheme="majorHAnsi" w:hAnsiTheme="majorHAnsi" w:cstheme="majorHAnsi"/>
        </w:rPr>
      </w:pPr>
      <w:r w:rsidRPr="00676953">
        <w:rPr>
          <w:rFonts w:asciiTheme="majorHAnsi" w:hAnsiTheme="majorHAnsi" w:cstheme="majorHAnsi"/>
        </w:rPr>
        <w:lastRenderedPageBreak/>
        <w:t>Death Toll</w:t>
      </w:r>
    </w:p>
    <w:p w:rsidR="00FD2390" w:rsidRPr="00C44C35" w:rsidRDefault="00FD2390" w:rsidP="00FD2390">
      <w:pPr>
        <w:pStyle w:val="Heading4"/>
      </w:pPr>
      <w:r>
        <w:t xml:space="preserve">Small arms have the highest death toll of </w:t>
      </w:r>
      <w:r>
        <w:rPr>
          <w:i/>
          <w:u w:val="single"/>
        </w:rPr>
        <w:t>any weapon system</w:t>
      </w:r>
    </w:p>
    <w:p w:rsidR="00FD2390" w:rsidRPr="001D33D8" w:rsidRDefault="00FD2390" w:rsidP="00FD2390">
      <w:pPr>
        <w:rPr>
          <w:rFonts w:asciiTheme="majorHAnsi" w:hAnsiTheme="majorHAnsi" w:cstheme="majorHAnsi"/>
          <w:b/>
          <w:bCs/>
        </w:rPr>
      </w:pPr>
      <w:proofErr w:type="spellStart"/>
      <w:r w:rsidRPr="001D33D8">
        <w:rPr>
          <w:rStyle w:val="Style13ptBold"/>
        </w:rPr>
        <w:t>Mogire</w:t>
      </w:r>
      <w:proofErr w:type="spellEnd"/>
      <w:r w:rsidRPr="001D33D8">
        <w:rPr>
          <w:rStyle w:val="Style13ptBold"/>
        </w:rPr>
        <w:t xml:space="preserve"> 04</w:t>
      </w:r>
      <w:r>
        <w:rPr>
          <w:rStyle w:val="Style13ptBold"/>
          <w:rFonts w:asciiTheme="majorHAnsi" w:hAnsiTheme="majorHAnsi" w:cstheme="majorHAnsi"/>
        </w:rPr>
        <w:t xml:space="preserve"> </w:t>
      </w:r>
      <w:r w:rsidRPr="005824F2">
        <w:t xml:space="preserve">(Edward </w:t>
      </w:r>
      <w:proofErr w:type="spellStart"/>
      <w:r w:rsidRPr="005824F2">
        <w:t>Mogire</w:t>
      </w:r>
      <w:proofErr w:type="spellEnd"/>
      <w:r>
        <w:t>,</w:t>
      </w:r>
      <w:r w:rsidRPr="005824F2">
        <w:t xml:space="preserve"> Professor at Kingston University</w:t>
      </w:r>
      <w:r>
        <w:t>.</w:t>
      </w:r>
      <w:r w:rsidRPr="005824F2">
        <w:t xml:space="preserve"> </w:t>
      </w:r>
      <w:r>
        <w:t>“</w:t>
      </w:r>
      <w:r w:rsidRPr="005824F2">
        <w:t>The humanitarian impact of small arms and light weapons and threat to security.</w:t>
      </w:r>
      <w:r>
        <w:t>”</w:t>
      </w:r>
      <w:r w:rsidRPr="005824F2">
        <w:t xml:space="preserve"> 15th International </w:t>
      </w:r>
      <w:proofErr w:type="spellStart"/>
      <w:r w:rsidRPr="005824F2">
        <w:t>Amaldi</w:t>
      </w:r>
      <w:proofErr w:type="spellEnd"/>
      <w:r w:rsidRPr="005824F2">
        <w:t xml:space="preserve"> Conference</w:t>
      </w:r>
      <w:r>
        <w:t>,</w:t>
      </w:r>
      <w:r w:rsidRPr="005824F2">
        <w:t xml:space="preserve"> Changing Threats to Global Security: Peace or Turmoi</w:t>
      </w:r>
      <w:r>
        <w:t>l, ISBN 9517691610</w:t>
      </w:r>
      <w:r w:rsidRPr="005824F2">
        <w:t xml:space="preserve">, </w:t>
      </w:r>
      <w:r>
        <w:t xml:space="preserve">2004, </w:t>
      </w:r>
      <w:r w:rsidRPr="005824F2">
        <w:t>JKS</w:t>
      </w:r>
      <w:r>
        <w:t xml:space="preserve"> + //</w:t>
      </w:r>
      <w:proofErr w:type="spellStart"/>
      <w:r>
        <w:t>Bennerz</w:t>
      </w:r>
      <w:proofErr w:type="spellEnd"/>
      <w:r w:rsidRPr="005824F2">
        <w:t>)</w:t>
      </w:r>
    </w:p>
    <w:p w:rsidR="00FD2390" w:rsidRPr="00FD2390" w:rsidRDefault="00FD2390" w:rsidP="00FD2390">
      <w:pPr>
        <w:rPr>
          <w:rFonts w:asciiTheme="majorHAnsi" w:hAnsiTheme="majorHAnsi" w:cstheme="majorHAnsi"/>
          <w:sz w:val="14"/>
        </w:rPr>
      </w:pPr>
      <w:r w:rsidRPr="00FD2390">
        <w:rPr>
          <w:rFonts w:asciiTheme="majorHAnsi" w:hAnsiTheme="majorHAnsi" w:cstheme="majorHAnsi"/>
          <w:sz w:val="14"/>
        </w:rPr>
        <w:t xml:space="preserve">The focus on national military means as the basis of security gave rise to arms races that had the potential of causing more insecurity. </w:t>
      </w:r>
      <w:r w:rsidRPr="00F6193B">
        <w:rPr>
          <w:rStyle w:val="StyleUnderline"/>
        </w:rPr>
        <w:t>Arms races are action-reaction phenomena whereby countries locked in political conflict steadily augment their military capabilities in response to a perceived growth in each other’s military preparations.</w:t>
      </w:r>
      <w:r w:rsidRPr="00FD2390">
        <w:rPr>
          <w:rFonts w:asciiTheme="majorHAnsi" w:hAnsiTheme="majorHAnsi" w:cstheme="majorHAnsi"/>
          <w:sz w:val="14"/>
        </w:rPr>
        <w:t xml:space="preserve"> </w:t>
      </w:r>
      <w:r w:rsidRPr="00F6193B">
        <w:rPr>
          <w:rStyle w:val="StyleUnderline"/>
        </w:rPr>
        <w:t>Thus arms races paradoxically leads to more insecurity</w:t>
      </w:r>
      <w:r w:rsidRPr="00FD2390">
        <w:rPr>
          <w:rFonts w:asciiTheme="majorHAnsi" w:hAnsiTheme="majorHAnsi" w:cstheme="majorHAnsi"/>
          <w:sz w:val="14"/>
        </w:rPr>
        <w:t xml:space="preserve">, what Jervis (1978) and Posen (1993) refer to as </w:t>
      </w:r>
      <w:r w:rsidRPr="001D33D8">
        <w:rPr>
          <w:rStyle w:val="StyleUnderline"/>
        </w:rPr>
        <w:t>the “security dilemma.”</w:t>
      </w:r>
      <w:r w:rsidRPr="00FD2390">
        <w:rPr>
          <w:rFonts w:asciiTheme="majorHAnsi" w:hAnsiTheme="majorHAnsi" w:cstheme="majorHAnsi"/>
          <w:sz w:val="14"/>
        </w:rPr>
        <w:t xml:space="preserve">20 Simply put, a security dilemma exists </w:t>
      </w:r>
      <w:r w:rsidRPr="00F6193B">
        <w:rPr>
          <w:rStyle w:val="StyleUnderline"/>
        </w:rPr>
        <w:t>when the actions of one state, in trying to increase its own security causes a reaction in a second state, which, in the end, decreases its</w:t>
      </w:r>
      <w:r w:rsidRPr="00FD2390">
        <w:rPr>
          <w:rFonts w:asciiTheme="majorHAnsi" w:hAnsiTheme="majorHAnsi" w:cstheme="majorHAnsi"/>
          <w:sz w:val="14"/>
        </w:rPr>
        <w:t xml:space="preserve"> (the first state's) </w:t>
      </w:r>
      <w:r w:rsidRPr="00F6193B">
        <w:rPr>
          <w:rStyle w:val="StyleUnderline"/>
        </w:rPr>
        <w:t>own security.</w:t>
      </w:r>
      <w:r w:rsidRPr="00FD2390">
        <w:rPr>
          <w:rFonts w:asciiTheme="majorHAnsi" w:hAnsiTheme="majorHAnsi" w:cstheme="majorHAnsi"/>
          <w:sz w:val="14"/>
        </w:rPr>
        <w:t xml:space="preserve"> It is against this background that arms control and disarmament were pursued. A </w:t>
      </w:r>
      <w:r w:rsidRPr="00F6193B">
        <w:rPr>
          <w:rStyle w:val="StyleUnderline"/>
        </w:rPr>
        <w:t>number of arms regulation treaties aimed at cementing the relaxation of international tensions</w:t>
      </w:r>
      <w:r w:rsidRPr="00FD2390">
        <w:rPr>
          <w:rFonts w:asciiTheme="majorHAnsi" w:hAnsiTheme="majorHAnsi" w:cstheme="majorHAnsi"/>
          <w:sz w:val="14"/>
        </w:rPr>
        <w:t xml:space="preserve"> such as the Comprehensive Nuclear Test Ban Treaty (CTBT) and the Chemical Weapons Convention (CWC) which bans the development, possession and use of chemical weapons has eliminated an entire class of weapons were concluded. Since the end of the Cold War, </w:t>
      </w:r>
      <w:r w:rsidRPr="00F6193B">
        <w:rPr>
          <w:rStyle w:val="StyleUnderline"/>
        </w:rPr>
        <w:t>the diminishing possibility of a nuclear war has increasing shifted international attention to problems arising from the worldwide proliferation of small arms and light weapons.</w:t>
      </w:r>
      <w:r w:rsidRPr="00FD2390">
        <w:rPr>
          <w:rFonts w:asciiTheme="majorHAnsi" w:hAnsiTheme="majorHAnsi" w:cstheme="majorHAnsi"/>
          <w:sz w:val="14"/>
        </w:rPr>
        <w:t xml:space="preserve"> This is partly because </w:t>
      </w:r>
      <w:r w:rsidRPr="00F6193B">
        <w:rPr>
          <w:rStyle w:val="Emphasis"/>
        </w:rPr>
        <w:t>these weapons have been the primary tools of violence in the many ethnic and internal conflicts that have erupted in recent years and the re-</w:t>
      </w:r>
      <w:proofErr w:type="spellStart"/>
      <w:r w:rsidRPr="00F6193B">
        <w:rPr>
          <w:rStyle w:val="Emphasis"/>
        </w:rPr>
        <w:t>conceptualisation</w:t>
      </w:r>
      <w:proofErr w:type="spellEnd"/>
      <w:r w:rsidRPr="00F6193B">
        <w:rPr>
          <w:rStyle w:val="Emphasis"/>
        </w:rPr>
        <w:t xml:space="preserve"> of security that has taken place</w:t>
      </w:r>
      <w:r w:rsidRPr="00FD2390">
        <w:rPr>
          <w:rFonts w:asciiTheme="majorHAnsi" w:hAnsiTheme="majorHAnsi" w:cstheme="majorHAnsi"/>
          <w:sz w:val="14"/>
        </w:rPr>
        <w:t xml:space="preserve">. This importance was underlined by the UN secretary-general’s October 2000 ‘We the People’ millennium speech to the General Assembly in which he states, </w:t>
      </w:r>
      <w:r w:rsidRPr="005824F2">
        <w:rPr>
          <w:rStyle w:val="Emphasis"/>
        </w:rPr>
        <w:t>The death toll from small arms dwarfs that of all other weapons systems</w:t>
      </w:r>
      <w:r w:rsidRPr="00FD2390">
        <w:rPr>
          <w:rFonts w:asciiTheme="majorHAnsi" w:hAnsiTheme="majorHAnsi" w:cstheme="majorHAnsi"/>
          <w:sz w:val="14"/>
        </w:rPr>
        <w:t xml:space="preserve"> - and in most years greatly exceeds the toll of the atomic bombs that devastated Hiroshima and Nagasaki. In terms of the carnage they cause, </w:t>
      </w:r>
      <w:r w:rsidRPr="005824F2">
        <w:rPr>
          <w:rStyle w:val="StyleUnderline"/>
        </w:rPr>
        <w:t>small arms, indeed, could well be described as ‘</w:t>
      </w:r>
      <w:r w:rsidRPr="005824F2">
        <w:rPr>
          <w:rStyle w:val="Emphasis"/>
        </w:rPr>
        <w:t>weapons of mass destruction</w:t>
      </w:r>
      <w:r w:rsidRPr="005824F2">
        <w:rPr>
          <w:rStyle w:val="StyleUnderline"/>
        </w:rPr>
        <w:t>.</w:t>
      </w:r>
      <w:r w:rsidRPr="00FD2390">
        <w:rPr>
          <w:rFonts w:asciiTheme="majorHAnsi" w:hAnsiTheme="majorHAnsi" w:cstheme="majorHAnsi"/>
          <w:sz w:val="14"/>
        </w:rPr>
        <w:t xml:space="preserve">’ </w:t>
      </w:r>
      <w:r w:rsidRPr="005824F2">
        <w:rPr>
          <w:rStyle w:val="StyleUnderline"/>
        </w:rPr>
        <w:t>Small arms proliferation</w:t>
      </w:r>
      <w:r w:rsidRPr="00FD2390">
        <w:rPr>
          <w:rFonts w:asciiTheme="majorHAnsi" w:hAnsiTheme="majorHAnsi" w:cstheme="majorHAnsi"/>
          <w:sz w:val="14"/>
        </w:rPr>
        <w:t xml:space="preserve"> is not merely a security issue; it </w:t>
      </w:r>
      <w:r w:rsidRPr="005824F2">
        <w:rPr>
          <w:rStyle w:val="StyleUnderline"/>
        </w:rPr>
        <w:t>is also an issue of human rights and of development</w:t>
      </w:r>
      <w:r w:rsidRPr="00FD2390">
        <w:rPr>
          <w:rFonts w:asciiTheme="majorHAnsi" w:hAnsiTheme="majorHAnsi" w:cstheme="majorHAnsi"/>
          <w:sz w:val="14"/>
        </w:rPr>
        <w:t xml:space="preserve">. The proliferation of </w:t>
      </w:r>
      <w:r w:rsidRPr="005824F2">
        <w:rPr>
          <w:rStyle w:val="StyleUnderline"/>
        </w:rPr>
        <w:t xml:space="preserve">small arms sustains and exacerbates armed conflicts. It endangers peacekeepers and humanitarian workers. It undermines respect for international humanitarian law. It threatens legitimate but weak governments and </w:t>
      </w:r>
      <w:proofErr w:type="gramStart"/>
      <w:r w:rsidRPr="005824F2">
        <w:rPr>
          <w:rStyle w:val="StyleUnderline"/>
        </w:rPr>
        <w:t>it</w:t>
      </w:r>
      <w:proofErr w:type="gramEnd"/>
      <w:r w:rsidRPr="005824F2">
        <w:rPr>
          <w:rStyle w:val="StyleUnderline"/>
        </w:rPr>
        <w:t xml:space="preserve"> benefits terrorists as well as the perpetrators of </w:t>
      </w:r>
      <w:proofErr w:type="spellStart"/>
      <w:r w:rsidRPr="005824F2">
        <w:rPr>
          <w:rStyle w:val="StyleUnderline"/>
        </w:rPr>
        <w:t>organised</w:t>
      </w:r>
      <w:proofErr w:type="spellEnd"/>
      <w:r w:rsidRPr="005824F2">
        <w:rPr>
          <w:rStyle w:val="StyleUnderline"/>
        </w:rPr>
        <w:t xml:space="preserve"> crime</w:t>
      </w:r>
      <w:r w:rsidRPr="00FD2390">
        <w:rPr>
          <w:rFonts w:asciiTheme="majorHAnsi" w:hAnsiTheme="majorHAnsi" w:cstheme="majorHAnsi"/>
          <w:sz w:val="14"/>
        </w:rPr>
        <w:t>.21</w:t>
      </w:r>
    </w:p>
    <w:p w:rsidR="00FD2390" w:rsidRPr="00676953" w:rsidRDefault="00FD2390" w:rsidP="00FD2390">
      <w:pPr>
        <w:pStyle w:val="Heading3"/>
        <w:rPr>
          <w:rFonts w:asciiTheme="majorHAnsi" w:hAnsiTheme="majorHAnsi" w:cstheme="majorHAnsi"/>
        </w:rPr>
      </w:pPr>
      <w:r w:rsidRPr="00676953">
        <w:rPr>
          <w:rFonts w:asciiTheme="majorHAnsi" w:hAnsiTheme="majorHAnsi" w:cstheme="majorHAnsi"/>
        </w:rPr>
        <w:lastRenderedPageBreak/>
        <w:t>Conflict- Generic</w:t>
      </w:r>
    </w:p>
    <w:p w:rsidR="00FD2390" w:rsidRPr="00A850F1" w:rsidRDefault="00FD2390" w:rsidP="00FD2390">
      <w:pPr>
        <w:pStyle w:val="Heading4"/>
        <w:rPr>
          <w:rFonts w:asciiTheme="majorHAnsi" w:hAnsiTheme="majorHAnsi" w:cstheme="majorHAnsi"/>
        </w:rPr>
      </w:pPr>
      <w:r>
        <w:rPr>
          <w:rFonts w:asciiTheme="majorHAnsi" w:hAnsiTheme="majorHAnsi" w:cstheme="majorHAnsi"/>
        </w:rPr>
        <w:t xml:space="preserve">Small arms are </w:t>
      </w:r>
      <w:r>
        <w:rPr>
          <w:rFonts w:asciiTheme="majorHAnsi" w:hAnsiTheme="majorHAnsi" w:cstheme="majorHAnsi"/>
          <w:i/>
          <w:u w:val="single"/>
        </w:rPr>
        <w:t>uniquely likely</w:t>
      </w:r>
      <w:r>
        <w:rPr>
          <w:rFonts w:asciiTheme="majorHAnsi" w:hAnsiTheme="majorHAnsi" w:cstheme="majorHAnsi"/>
        </w:rPr>
        <w:t xml:space="preserve"> to contribute to and create conflicts</w:t>
      </w:r>
    </w:p>
    <w:p w:rsidR="00FD2390" w:rsidRPr="001D33D8" w:rsidRDefault="00FD2390" w:rsidP="00FD2390">
      <w:pPr>
        <w:rPr>
          <w:rFonts w:asciiTheme="majorHAnsi" w:hAnsiTheme="majorHAnsi" w:cstheme="majorHAnsi"/>
          <w:b/>
          <w:bCs/>
        </w:rPr>
      </w:pPr>
      <w:proofErr w:type="spellStart"/>
      <w:r w:rsidRPr="001D33D8">
        <w:rPr>
          <w:rStyle w:val="Style13ptBold"/>
        </w:rPr>
        <w:t>Mogire</w:t>
      </w:r>
      <w:proofErr w:type="spellEnd"/>
      <w:r w:rsidRPr="001D33D8">
        <w:rPr>
          <w:rStyle w:val="Style13ptBold"/>
        </w:rPr>
        <w:t xml:space="preserve"> 04</w:t>
      </w:r>
      <w:r>
        <w:rPr>
          <w:rStyle w:val="Style13ptBold"/>
          <w:rFonts w:asciiTheme="majorHAnsi" w:hAnsiTheme="majorHAnsi" w:cstheme="majorHAnsi"/>
        </w:rPr>
        <w:t xml:space="preserve"> </w:t>
      </w:r>
      <w:r w:rsidRPr="005824F2">
        <w:t xml:space="preserve">(Edward </w:t>
      </w:r>
      <w:proofErr w:type="spellStart"/>
      <w:r w:rsidRPr="005824F2">
        <w:t>Mogire</w:t>
      </w:r>
      <w:proofErr w:type="spellEnd"/>
      <w:r>
        <w:t>,</w:t>
      </w:r>
      <w:r w:rsidRPr="005824F2">
        <w:t xml:space="preserve"> Professor at Kingston University</w:t>
      </w:r>
      <w:r>
        <w:t>.</w:t>
      </w:r>
      <w:r w:rsidRPr="005824F2">
        <w:t xml:space="preserve"> </w:t>
      </w:r>
      <w:r>
        <w:t>“</w:t>
      </w:r>
      <w:r w:rsidRPr="005824F2">
        <w:t>The humanitarian impact of small arms and light weapons and threat to security.</w:t>
      </w:r>
      <w:r>
        <w:t>”</w:t>
      </w:r>
      <w:r w:rsidRPr="005824F2">
        <w:t xml:space="preserve"> 15th International </w:t>
      </w:r>
      <w:proofErr w:type="spellStart"/>
      <w:r w:rsidRPr="005824F2">
        <w:t>Amaldi</w:t>
      </w:r>
      <w:proofErr w:type="spellEnd"/>
      <w:r w:rsidRPr="005824F2">
        <w:t xml:space="preserve"> Conference</w:t>
      </w:r>
      <w:r>
        <w:t>,</w:t>
      </w:r>
      <w:r w:rsidRPr="005824F2">
        <w:t xml:space="preserve"> Changing Threats to Global Security: Peace or Turmoi</w:t>
      </w:r>
      <w:r>
        <w:t>l</w:t>
      </w:r>
      <w:r w:rsidRPr="005824F2">
        <w:t xml:space="preserve">, </w:t>
      </w:r>
      <w:r>
        <w:t xml:space="preserve">ISBN 9517691610, 2004, </w:t>
      </w:r>
      <w:r w:rsidRPr="005824F2">
        <w:t>JKS</w:t>
      </w:r>
      <w:r>
        <w:t xml:space="preserve"> + //</w:t>
      </w:r>
      <w:proofErr w:type="spellStart"/>
      <w:r>
        <w:t>Bennerz</w:t>
      </w:r>
      <w:proofErr w:type="spellEnd"/>
      <w:r w:rsidRPr="005824F2">
        <w:t>)</w:t>
      </w:r>
    </w:p>
    <w:p w:rsidR="00FD2390" w:rsidRPr="00FD2390" w:rsidRDefault="00FD2390" w:rsidP="00FD2390">
      <w:pPr>
        <w:rPr>
          <w:rFonts w:asciiTheme="majorHAnsi" w:hAnsiTheme="majorHAnsi" w:cstheme="majorHAnsi"/>
          <w:sz w:val="14"/>
        </w:rPr>
      </w:pPr>
      <w:r w:rsidRPr="00FD2390">
        <w:rPr>
          <w:rFonts w:asciiTheme="majorHAnsi" w:hAnsiTheme="majorHAnsi" w:cstheme="majorHAnsi"/>
          <w:sz w:val="14"/>
        </w:rPr>
        <w:t>Small arms and conflict It has been argued that “</w:t>
      </w:r>
      <w:r w:rsidRPr="002E4C91">
        <w:rPr>
          <w:rStyle w:val="StyleUnderline"/>
        </w:rPr>
        <w:t>the massive quantities of small arms in circulation have been primary contributors to a world-wide epidemic of ethnic, sectarian, and criminal violence</w:t>
      </w:r>
      <w:r w:rsidRPr="00FD2390">
        <w:rPr>
          <w:sz w:val="14"/>
        </w:rPr>
        <w:t>.”</w:t>
      </w:r>
      <w:r w:rsidRPr="00FD2390">
        <w:rPr>
          <w:rFonts w:asciiTheme="majorHAnsi" w:hAnsiTheme="majorHAnsi" w:cstheme="majorHAnsi"/>
          <w:sz w:val="14"/>
        </w:rPr>
        <w:t xml:space="preserve">31 Although weapons themselves do not cause conflicts, </w:t>
      </w:r>
      <w:r w:rsidRPr="002E4C91">
        <w:rPr>
          <w:rStyle w:val="StyleUnderline"/>
        </w:rPr>
        <w:t>their proliferation and easy availability exacerbate the degree of violence by increasing the lethality and duration of hostilities, and encouraging violent rather than peaceful resolutions of differences.</w:t>
      </w:r>
      <w:r w:rsidRPr="00FD2390">
        <w:rPr>
          <w:rFonts w:asciiTheme="majorHAnsi" w:hAnsiTheme="majorHAnsi" w:cstheme="majorHAnsi"/>
          <w:sz w:val="14"/>
        </w:rPr>
        <w:t xml:space="preserve">32 As </w:t>
      </w:r>
      <w:proofErr w:type="spellStart"/>
      <w:r w:rsidRPr="00FD2390">
        <w:rPr>
          <w:rFonts w:asciiTheme="majorHAnsi" w:hAnsiTheme="majorHAnsi" w:cstheme="majorHAnsi"/>
          <w:sz w:val="14"/>
        </w:rPr>
        <w:t>Harting</w:t>
      </w:r>
      <w:proofErr w:type="spellEnd"/>
      <w:r w:rsidRPr="00FD2390">
        <w:rPr>
          <w:rFonts w:asciiTheme="majorHAnsi" w:hAnsiTheme="majorHAnsi" w:cstheme="majorHAnsi"/>
          <w:sz w:val="14"/>
        </w:rPr>
        <w:t xml:space="preserve"> observes, Guns don’t kill people, but societies awash in guns are far more likely to resolve their differences violently, in ways that can quickly spiral out of control. Once this happens, the international community can neither stop the killing nor heal societal wounds inflicted by militias, warlords, criminal gangs or repressive governments.33 </w:t>
      </w:r>
      <w:r w:rsidRPr="002E4C91">
        <w:rPr>
          <w:rStyle w:val="StyleUnderline"/>
        </w:rPr>
        <w:t>Small arms and light weapons have certain characteristics that make them the most widely used weapons by countries and groups involved in armed conflict: They are cheap, wide availability, highly lethal, simple to use, durable, portable and can be easily concealed</w:t>
      </w:r>
      <w:r w:rsidRPr="00FD2390">
        <w:rPr>
          <w:rFonts w:asciiTheme="majorHAnsi" w:hAnsiTheme="majorHAnsi" w:cstheme="majorHAnsi"/>
          <w:sz w:val="14"/>
        </w:rPr>
        <w:t xml:space="preserve">. </w:t>
      </w:r>
      <w:r w:rsidRPr="002E4C91">
        <w:rPr>
          <w:rStyle w:val="StyleUnderline"/>
        </w:rPr>
        <w:t>They are also germane to military, police, and civilian use</w:t>
      </w:r>
      <w:r w:rsidRPr="00FD2390">
        <w:rPr>
          <w:rFonts w:asciiTheme="majorHAnsi" w:hAnsiTheme="majorHAnsi" w:cstheme="majorHAnsi"/>
          <w:sz w:val="14"/>
        </w:rPr>
        <w:t xml:space="preserve">.34 Available data indicate that </w:t>
      </w:r>
      <w:r w:rsidRPr="002E4C91">
        <w:rPr>
          <w:rStyle w:val="StyleUnderline"/>
        </w:rPr>
        <w:t>SALW are the major weapons used in today’s conflicts</w:t>
      </w:r>
      <w:r w:rsidRPr="00FD2390">
        <w:rPr>
          <w:rFonts w:asciiTheme="majorHAnsi" w:hAnsiTheme="majorHAnsi" w:cstheme="majorHAnsi"/>
          <w:sz w:val="14"/>
        </w:rPr>
        <w:t xml:space="preserve">. Out </w:t>
      </w:r>
      <w:r w:rsidRPr="00324C9D">
        <w:rPr>
          <w:rStyle w:val="StyleUnderline"/>
        </w:rPr>
        <w:t>of the forty-nine major conflicts</w:t>
      </w:r>
      <w:r w:rsidRPr="00FD2390">
        <w:rPr>
          <w:rFonts w:asciiTheme="majorHAnsi" w:hAnsiTheme="majorHAnsi" w:cstheme="majorHAnsi"/>
          <w:sz w:val="14"/>
        </w:rPr>
        <w:t xml:space="preserve"> fought in the 1990s, </w:t>
      </w:r>
      <w:r w:rsidRPr="00324C9D">
        <w:rPr>
          <w:rStyle w:val="StyleUnderline"/>
        </w:rPr>
        <w:t>small arms were the only armaments used in forty-six conflicts.</w:t>
      </w:r>
      <w:r w:rsidRPr="00FD2390">
        <w:rPr>
          <w:rFonts w:asciiTheme="majorHAnsi" w:hAnsiTheme="majorHAnsi" w:cstheme="majorHAnsi"/>
          <w:sz w:val="14"/>
        </w:rPr>
        <w:t xml:space="preserve">35 Furthermore, </w:t>
      </w:r>
      <w:r w:rsidRPr="00324C9D">
        <w:rPr>
          <w:rStyle w:val="StyleUnderline"/>
        </w:rPr>
        <w:t>SALW were the dominant weapons used in the 95 internal conflicts</w:t>
      </w:r>
      <w:r w:rsidRPr="00FD2390">
        <w:rPr>
          <w:rFonts w:asciiTheme="majorHAnsi" w:hAnsiTheme="majorHAnsi" w:cstheme="majorHAnsi"/>
          <w:sz w:val="14"/>
        </w:rPr>
        <w:t xml:space="preserve"> that were fought around the world between 1989-1996.36 </w:t>
      </w:r>
      <w:r w:rsidRPr="002E4C91">
        <w:rPr>
          <w:rStyle w:val="StyleUnderline"/>
        </w:rPr>
        <w:t>The availability of light weapons has also transformed the very nature of conflict from traditional combat between nation-states to intra-state conflict involving a wide variety of actors, including governments, rebel movements, militias, ethnic and religious groups, tribes and clans, refugees, criminal gangs and mercenaries</w:t>
      </w:r>
      <w:r w:rsidRPr="00FD2390">
        <w:rPr>
          <w:rFonts w:asciiTheme="majorHAnsi" w:hAnsiTheme="majorHAnsi" w:cstheme="majorHAnsi"/>
          <w:sz w:val="14"/>
        </w:rPr>
        <w:t xml:space="preserve">.37 Further still </w:t>
      </w:r>
      <w:r w:rsidRPr="0085666D">
        <w:rPr>
          <w:rStyle w:val="StyleUnderline"/>
        </w:rPr>
        <w:t xml:space="preserve">the consequences of violence perpetrated with small arms extend </w:t>
      </w:r>
      <w:r w:rsidRPr="0085666D">
        <w:rPr>
          <w:rStyle w:val="Emphasis"/>
        </w:rPr>
        <w:t>well beyond the direct effects of a single bullet</w:t>
      </w:r>
      <w:r w:rsidRPr="00FD2390">
        <w:rPr>
          <w:rFonts w:asciiTheme="majorHAnsi" w:hAnsiTheme="majorHAnsi" w:cstheme="majorHAnsi"/>
          <w:sz w:val="14"/>
        </w:rPr>
        <w:t xml:space="preserve">. </w:t>
      </w:r>
      <w:r w:rsidRPr="0085666D">
        <w:rPr>
          <w:rStyle w:val="Emphasis"/>
        </w:rPr>
        <w:t xml:space="preserve">The mere threat of armed attack compels civilians to alter their behavior in an attempt to </w:t>
      </w:r>
      <w:proofErr w:type="spellStart"/>
      <w:r w:rsidRPr="0085666D">
        <w:rPr>
          <w:rStyle w:val="Emphasis"/>
        </w:rPr>
        <w:t>minimise</w:t>
      </w:r>
      <w:proofErr w:type="spellEnd"/>
      <w:r w:rsidRPr="0085666D">
        <w:rPr>
          <w:rStyle w:val="Emphasis"/>
        </w:rPr>
        <w:t xml:space="preserve"> the associated risks to both themselves and their families</w:t>
      </w:r>
      <w:r w:rsidRPr="00FD2390">
        <w:rPr>
          <w:rFonts w:asciiTheme="majorHAnsi" w:hAnsiTheme="majorHAnsi" w:cstheme="majorHAnsi"/>
          <w:sz w:val="14"/>
        </w:rPr>
        <w:t xml:space="preserve">.38 </w:t>
      </w:r>
      <w:r w:rsidRPr="0085666D">
        <w:rPr>
          <w:rStyle w:val="StyleUnderline"/>
        </w:rPr>
        <w:t xml:space="preserve">The presence of SALW acts as a </w:t>
      </w:r>
      <w:r w:rsidRPr="0085666D">
        <w:rPr>
          <w:rStyle w:val="Emphasis"/>
        </w:rPr>
        <w:t>magnifier of violence</w:t>
      </w:r>
      <w:r w:rsidRPr="00FD2390">
        <w:rPr>
          <w:rFonts w:asciiTheme="majorHAnsi" w:hAnsiTheme="majorHAnsi" w:cstheme="majorHAnsi"/>
          <w:sz w:val="14"/>
        </w:rPr>
        <w:t xml:space="preserve">, both in conflict and non-conflict situations. Social groups, including </w:t>
      </w:r>
      <w:r w:rsidRPr="0085666D">
        <w:rPr>
          <w:rStyle w:val="StyleUnderline"/>
        </w:rPr>
        <w:t>children and women who have usually been outside the traditional patterns of conflict, find themselves caught up in a new, more threatening environment</w:t>
      </w:r>
      <w:r w:rsidRPr="00FD2390">
        <w:rPr>
          <w:rFonts w:asciiTheme="majorHAnsi" w:hAnsiTheme="majorHAnsi" w:cstheme="majorHAnsi"/>
          <w:sz w:val="14"/>
        </w:rPr>
        <w:t xml:space="preserve">. In addition, </w:t>
      </w:r>
      <w:r w:rsidRPr="0085666D">
        <w:rPr>
          <w:rStyle w:val="StyleUnderline"/>
        </w:rPr>
        <w:t>small arms have contributed to a “</w:t>
      </w:r>
      <w:r w:rsidRPr="0085666D">
        <w:rPr>
          <w:rStyle w:val="Emphasis"/>
        </w:rPr>
        <w:t>culture of violence</w:t>
      </w:r>
      <w:r w:rsidRPr="0085666D">
        <w:rPr>
          <w:rStyle w:val="StyleUnderline"/>
        </w:rPr>
        <w:t xml:space="preserve">” </w:t>
      </w:r>
      <w:r w:rsidRPr="00FD2390">
        <w:rPr>
          <w:rFonts w:asciiTheme="majorHAnsi" w:hAnsiTheme="majorHAnsi" w:cstheme="majorHAnsi"/>
          <w:sz w:val="14"/>
        </w:rPr>
        <w:t>characterized by gun dependency and their glorification.</w:t>
      </w:r>
    </w:p>
    <w:p w:rsidR="00FD2390" w:rsidRPr="00676953" w:rsidRDefault="00FD2390" w:rsidP="00FD2390">
      <w:pPr>
        <w:pStyle w:val="Heading3"/>
        <w:rPr>
          <w:rFonts w:asciiTheme="majorHAnsi" w:hAnsiTheme="majorHAnsi" w:cstheme="majorHAnsi"/>
        </w:rPr>
      </w:pPr>
      <w:r w:rsidRPr="00676953">
        <w:rPr>
          <w:rFonts w:asciiTheme="majorHAnsi" w:hAnsiTheme="majorHAnsi" w:cstheme="majorHAnsi"/>
        </w:rPr>
        <w:lastRenderedPageBreak/>
        <w:t>HR Violations</w:t>
      </w:r>
    </w:p>
    <w:p w:rsidR="00FD2390" w:rsidRPr="00676953" w:rsidRDefault="00FD2390" w:rsidP="00FD2390">
      <w:pPr>
        <w:pStyle w:val="Heading4"/>
        <w:rPr>
          <w:rFonts w:asciiTheme="majorHAnsi" w:hAnsiTheme="majorHAnsi" w:cstheme="majorHAnsi"/>
        </w:rPr>
      </w:pPr>
      <w:r>
        <w:rPr>
          <w:rFonts w:asciiTheme="majorHAnsi" w:hAnsiTheme="majorHAnsi" w:cstheme="majorHAnsi"/>
        </w:rPr>
        <w:t>SALW facilitate heinous human rights violations</w:t>
      </w:r>
    </w:p>
    <w:p w:rsidR="00FD2390" w:rsidRPr="001D33D8" w:rsidRDefault="00FD2390" w:rsidP="00FD2390">
      <w:pPr>
        <w:rPr>
          <w:rFonts w:asciiTheme="majorHAnsi" w:hAnsiTheme="majorHAnsi" w:cstheme="majorHAnsi"/>
          <w:b/>
          <w:bCs/>
        </w:rPr>
      </w:pPr>
      <w:proofErr w:type="spellStart"/>
      <w:r w:rsidRPr="001D33D8">
        <w:rPr>
          <w:rStyle w:val="Style13ptBold"/>
        </w:rPr>
        <w:t>Mogire</w:t>
      </w:r>
      <w:proofErr w:type="spellEnd"/>
      <w:r w:rsidRPr="001D33D8">
        <w:rPr>
          <w:rStyle w:val="Style13ptBold"/>
        </w:rPr>
        <w:t xml:space="preserve"> 04</w:t>
      </w:r>
      <w:r>
        <w:rPr>
          <w:rStyle w:val="Style13ptBold"/>
          <w:rFonts w:asciiTheme="majorHAnsi" w:hAnsiTheme="majorHAnsi" w:cstheme="majorHAnsi"/>
        </w:rPr>
        <w:t xml:space="preserve"> </w:t>
      </w:r>
      <w:r w:rsidRPr="005824F2">
        <w:t xml:space="preserve">(Edward </w:t>
      </w:r>
      <w:proofErr w:type="spellStart"/>
      <w:r w:rsidRPr="005824F2">
        <w:t>Mogire</w:t>
      </w:r>
      <w:proofErr w:type="spellEnd"/>
      <w:r>
        <w:t>,</w:t>
      </w:r>
      <w:r w:rsidRPr="005824F2">
        <w:t xml:space="preserve"> Professor at Kingston University</w:t>
      </w:r>
      <w:r>
        <w:t>.</w:t>
      </w:r>
      <w:r w:rsidRPr="005824F2">
        <w:t xml:space="preserve"> </w:t>
      </w:r>
      <w:r>
        <w:t>“</w:t>
      </w:r>
      <w:r w:rsidRPr="005824F2">
        <w:t>The humanitarian impact of small arms and light weapons and threat to security.</w:t>
      </w:r>
      <w:r>
        <w:t>”</w:t>
      </w:r>
      <w:r w:rsidRPr="005824F2">
        <w:t xml:space="preserve"> 15th International </w:t>
      </w:r>
      <w:proofErr w:type="spellStart"/>
      <w:r w:rsidRPr="005824F2">
        <w:t>Amaldi</w:t>
      </w:r>
      <w:proofErr w:type="spellEnd"/>
      <w:r w:rsidRPr="005824F2">
        <w:t xml:space="preserve"> Conference</w:t>
      </w:r>
      <w:r>
        <w:t>,</w:t>
      </w:r>
      <w:r w:rsidRPr="005824F2">
        <w:t xml:space="preserve"> Changing Threats to Global Security: Peace or Turmoi</w:t>
      </w:r>
      <w:r>
        <w:t>l</w:t>
      </w:r>
      <w:r w:rsidRPr="005824F2">
        <w:t>,</w:t>
      </w:r>
      <w:r>
        <w:t xml:space="preserve"> ISBN 9517691610,</w:t>
      </w:r>
      <w:r w:rsidRPr="005824F2">
        <w:t xml:space="preserve"> </w:t>
      </w:r>
      <w:r>
        <w:t xml:space="preserve">2004, </w:t>
      </w:r>
      <w:r w:rsidRPr="005824F2">
        <w:t>JKS</w:t>
      </w:r>
      <w:r>
        <w:t xml:space="preserve"> + //</w:t>
      </w:r>
      <w:proofErr w:type="spellStart"/>
      <w:r>
        <w:t>Bennerz</w:t>
      </w:r>
      <w:proofErr w:type="spellEnd"/>
      <w:r w:rsidRPr="005824F2">
        <w:t>)</w:t>
      </w:r>
    </w:p>
    <w:p w:rsidR="00FD2390" w:rsidRPr="00A4294D" w:rsidRDefault="00FD2390" w:rsidP="00FD2390">
      <w:pPr>
        <w:rPr>
          <w:rStyle w:val="Emphasis"/>
        </w:rPr>
      </w:pPr>
      <w:r w:rsidRPr="00FD2390">
        <w:rPr>
          <w:sz w:val="14"/>
        </w:rPr>
        <w:t xml:space="preserve">Small arms and human rights abuse </w:t>
      </w:r>
      <w:proofErr w:type="gramStart"/>
      <w:r w:rsidRPr="00B64EC6">
        <w:rPr>
          <w:rStyle w:val="Emphasis"/>
        </w:rPr>
        <w:t>The</w:t>
      </w:r>
      <w:proofErr w:type="gramEnd"/>
      <w:r w:rsidRPr="00B64EC6">
        <w:rPr>
          <w:rStyle w:val="Emphasis"/>
        </w:rPr>
        <w:t xml:space="preserve"> proliferation of SALW is largely responsible for the violation of humanitarian laws</w:t>
      </w:r>
      <w:r w:rsidRPr="00FD2390">
        <w:rPr>
          <w:sz w:val="14"/>
        </w:rPr>
        <w:t>. According to the International Committee of the Red Cross, “</w:t>
      </w:r>
      <w:r w:rsidRPr="00B64EC6">
        <w:rPr>
          <w:rStyle w:val="StyleUnderline"/>
        </w:rPr>
        <w:t>the proliferation of weapons in the hands of new and often undisciplined actors has outpaced efforts to ensure compliance with the basic rules of warfare</w:t>
      </w:r>
      <w:r w:rsidRPr="00FD2390">
        <w:rPr>
          <w:sz w:val="14"/>
        </w:rPr>
        <w:t xml:space="preserve">” </w:t>
      </w:r>
      <w:r w:rsidRPr="00B64EC6">
        <w:rPr>
          <w:rStyle w:val="StyleUnderline"/>
        </w:rPr>
        <w:t>resulting in</w:t>
      </w:r>
      <w:r w:rsidRPr="00FD2390">
        <w:rPr>
          <w:sz w:val="14"/>
        </w:rPr>
        <w:t xml:space="preserve"> “</w:t>
      </w:r>
      <w:r w:rsidRPr="00DE1D3C">
        <w:rPr>
          <w:rStyle w:val="StyleUnderline"/>
        </w:rPr>
        <w:t xml:space="preserve">appalling levels of wanton violence and a stream of horrific images </w:t>
      </w:r>
      <w:r w:rsidRPr="00DE1D3C">
        <w:rPr>
          <w:rStyle w:val="Emphasis"/>
        </w:rPr>
        <w:t xml:space="preserve">which threaten to </w:t>
      </w:r>
      <w:proofErr w:type="spellStart"/>
      <w:r w:rsidRPr="00DE1D3C">
        <w:rPr>
          <w:rStyle w:val="Emphasis"/>
        </w:rPr>
        <w:t>immunise</w:t>
      </w:r>
      <w:proofErr w:type="spellEnd"/>
      <w:r w:rsidRPr="00DE1D3C">
        <w:rPr>
          <w:rStyle w:val="Emphasis"/>
        </w:rPr>
        <w:t xml:space="preserve"> the public and decision makers to ongoing violations</w:t>
      </w:r>
      <w:r w:rsidRPr="00DE1D3C">
        <w:rPr>
          <w:rStyle w:val="StyleUnderline"/>
        </w:rPr>
        <w:t xml:space="preserve"> of international humanitarian law</w:t>
      </w:r>
      <w:r w:rsidRPr="00FD2390">
        <w:rPr>
          <w:sz w:val="14"/>
        </w:rPr>
        <w:t xml:space="preserve">”.39 Although a study by the International Committee of the Red Cross (ICRC) shows that weapons availability posed a grave threat to the security of civilians, and indeed the entire humanitarian enterprise, it however, </w:t>
      </w:r>
      <w:proofErr w:type="spellStart"/>
      <w:r w:rsidRPr="00FD2390">
        <w:rPr>
          <w:sz w:val="14"/>
        </w:rPr>
        <w:t>emphasised</w:t>
      </w:r>
      <w:proofErr w:type="spellEnd"/>
      <w:r w:rsidRPr="00FD2390">
        <w:rPr>
          <w:sz w:val="14"/>
        </w:rPr>
        <w:t xml:space="preserve"> that a causal relationship between the availability of small arms and human rights violations or the use of violence against the civil population, is not proven. 40 The Human rights Watch thinks otherwise. In a briefing Paper for the UN Biennial Meeting entitled Small Arms Small Arms and Human Rights: The Need for Global Action Human Rights Watch argues that the </w:t>
      </w:r>
      <w:r w:rsidRPr="00DE1D3C">
        <w:rPr>
          <w:rStyle w:val="StyleUnderline"/>
        </w:rPr>
        <w:t xml:space="preserve">uncontrolled proliferation and widespread misuse of small arms represents </w:t>
      </w:r>
      <w:r w:rsidRPr="00DE1D3C">
        <w:rPr>
          <w:rStyle w:val="Emphasis"/>
        </w:rPr>
        <w:t>a global human rights crisis by facilitating countless human rights abuses</w:t>
      </w:r>
      <w:r w:rsidRPr="00DE1D3C">
        <w:rPr>
          <w:rStyle w:val="StyleUnderline"/>
        </w:rPr>
        <w:t xml:space="preserve"> and violations of international humanitarian law</w:t>
      </w:r>
      <w:r w:rsidRPr="00FD2390">
        <w:rPr>
          <w:sz w:val="14"/>
        </w:rPr>
        <w:t xml:space="preserve">. </w:t>
      </w:r>
      <w:r w:rsidRPr="00DE1D3C">
        <w:rPr>
          <w:rStyle w:val="StyleUnderline"/>
        </w:rPr>
        <w:t>Small arms-aided abuses by either governments or private actors occur in wartime, post-conflict settings, and in countries not at war</w:t>
      </w:r>
      <w:r w:rsidRPr="00FD2390">
        <w:rPr>
          <w:sz w:val="14"/>
        </w:rPr>
        <w:t xml:space="preserve">. </w:t>
      </w:r>
      <w:r w:rsidRPr="00A4294D">
        <w:rPr>
          <w:rStyle w:val="StyleUnderline"/>
        </w:rPr>
        <w:t>These violations include the deliberate targeting of civilians or other non-combatants, and indiscriminate attacks likely to disproportionately harm civilians and torture</w:t>
      </w:r>
      <w:r w:rsidRPr="00FD2390">
        <w:rPr>
          <w:sz w:val="14"/>
        </w:rPr>
        <w:t xml:space="preserve">. </w:t>
      </w:r>
      <w:r w:rsidRPr="00A4294D">
        <w:rPr>
          <w:rStyle w:val="StyleUnderline"/>
        </w:rPr>
        <w:t xml:space="preserve">In post conflict situations the widespread availability of small arms has </w:t>
      </w:r>
      <w:r w:rsidRPr="00A4294D">
        <w:rPr>
          <w:rStyle w:val="Emphasis"/>
        </w:rPr>
        <w:t>greatly added to the death toll</w:t>
      </w:r>
      <w:r w:rsidRPr="00FD2390">
        <w:rPr>
          <w:sz w:val="14"/>
        </w:rPr>
        <w:t xml:space="preserve">. Particularly where security is weak, </w:t>
      </w:r>
      <w:r w:rsidRPr="00A4294D">
        <w:rPr>
          <w:rStyle w:val="StyleUnderline"/>
        </w:rPr>
        <w:t xml:space="preserve">former combatants have not been disarmed, and abusive actors have not been held accountable for past </w:t>
      </w:r>
      <w:proofErr w:type="spellStart"/>
      <w:r w:rsidRPr="00A4294D">
        <w:rPr>
          <w:rStyle w:val="StyleUnderline"/>
        </w:rPr>
        <w:t>behaviour</w:t>
      </w:r>
      <w:proofErr w:type="spellEnd"/>
      <w:r w:rsidRPr="00A4294D">
        <w:rPr>
          <w:rStyle w:val="StyleUnderline"/>
        </w:rPr>
        <w:t>, a situation of lawlessness can emerge where civilians are at grave risk.</w:t>
      </w:r>
      <w:r w:rsidRPr="00FD2390">
        <w:rPr>
          <w:sz w:val="14"/>
        </w:rPr>
        <w:t xml:space="preserve"> Even in countries nominally at peace, the misuse of small arms accounts for many serious human rights abuses. </w:t>
      </w:r>
      <w:r w:rsidRPr="00A4294D">
        <w:rPr>
          <w:rStyle w:val="Emphasis"/>
        </w:rPr>
        <w:t>Small arms confer power, even without being fired</w:t>
      </w:r>
      <w:r w:rsidRPr="00FD2390">
        <w:rPr>
          <w:sz w:val="14"/>
        </w:rPr>
        <w:t xml:space="preserve">. </w:t>
      </w:r>
      <w:r w:rsidRPr="00A4294D">
        <w:rPr>
          <w:rStyle w:val="Emphasis"/>
        </w:rPr>
        <w:t>The coercive potential of these weapons</w:t>
      </w:r>
      <w:r w:rsidRPr="00A4294D">
        <w:rPr>
          <w:rStyle w:val="StyleUnderline"/>
        </w:rPr>
        <w:t xml:space="preserve">, when exploited by abusive government agents, </w:t>
      </w:r>
      <w:r w:rsidRPr="00A4294D">
        <w:rPr>
          <w:rStyle w:val="Emphasis"/>
        </w:rPr>
        <w:t>can enable human rights abuses such as torture, rape, intimidation, and looting.</w:t>
      </w:r>
      <w:r w:rsidRPr="00FD2390">
        <w:rPr>
          <w:sz w:val="14"/>
        </w:rPr>
        <w:t>41</w:t>
      </w:r>
    </w:p>
    <w:p w:rsidR="00FD2390" w:rsidRPr="00676953" w:rsidRDefault="00FD2390" w:rsidP="00FD2390">
      <w:pPr>
        <w:pStyle w:val="Heading3"/>
        <w:rPr>
          <w:rFonts w:asciiTheme="majorHAnsi" w:hAnsiTheme="majorHAnsi" w:cstheme="majorHAnsi"/>
        </w:rPr>
      </w:pPr>
      <w:r w:rsidRPr="00676953">
        <w:rPr>
          <w:rFonts w:asciiTheme="majorHAnsi" w:hAnsiTheme="majorHAnsi" w:cstheme="majorHAnsi"/>
        </w:rPr>
        <w:lastRenderedPageBreak/>
        <w:t>Crime</w:t>
      </w:r>
    </w:p>
    <w:p w:rsidR="00FD2390" w:rsidRPr="00676953" w:rsidRDefault="00FD2390" w:rsidP="00FD2390">
      <w:pPr>
        <w:pStyle w:val="Heading4"/>
        <w:rPr>
          <w:rFonts w:asciiTheme="majorHAnsi" w:hAnsiTheme="majorHAnsi" w:cstheme="majorHAnsi"/>
        </w:rPr>
      </w:pPr>
      <w:r>
        <w:rPr>
          <w:rFonts w:asciiTheme="majorHAnsi" w:hAnsiTheme="majorHAnsi" w:cstheme="majorHAnsi"/>
        </w:rPr>
        <w:t>SALW are used for crime</w:t>
      </w:r>
    </w:p>
    <w:p w:rsidR="00FD2390" w:rsidRPr="001D33D8" w:rsidRDefault="00FD2390" w:rsidP="00FD2390">
      <w:pPr>
        <w:rPr>
          <w:rFonts w:asciiTheme="majorHAnsi" w:hAnsiTheme="majorHAnsi" w:cstheme="majorHAnsi"/>
          <w:b/>
          <w:bCs/>
        </w:rPr>
      </w:pPr>
      <w:proofErr w:type="spellStart"/>
      <w:r w:rsidRPr="001D33D8">
        <w:rPr>
          <w:rStyle w:val="Style13ptBold"/>
        </w:rPr>
        <w:t>Mogire</w:t>
      </w:r>
      <w:proofErr w:type="spellEnd"/>
      <w:r w:rsidRPr="001D33D8">
        <w:rPr>
          <w:rStyle w:val="Style13ptBold"/>
        </w:rPr>
        <w:t xml:space="preserve"> 04</w:t>
      </w:r>
      <w:r>
        <w:rPr>
          <w:rStyle w:val="Style13ptBold"/>
          <w:rFonts w:asciiTheme="majorHAnsi" w:hAnsiTheme="majorHAnsi" w:cstheme="majorHAnsi"/>
        </w:rPr>
        <w:t xml:space="preserve"> </w:t>
      </w:r>
      <w:r w:rsidRPr="005824F2">
        <w:t xml:space="preserve">(Edward </w:t>
      </w:r>
      <w:proofErr w:type="spellStart"/>
      <w:r w:rsidRPr="005824F2">
        <w:t>Mogire</w:t>
      </w:r>
      <w:proofErr w:type="spellEnd"/>
      <w:r>
        <w:t>,</w:t>
      </w:r>
      <w:r w:rsidRPr="005824F2">
        <w:t xml:space="preserve"> Professor at Kingston University</w:t>
      </w:r>
      <w:r>
        <w:t>.</w:t>
      </w:r>
      <w:r w:rsidRPr="005824F2">
        <w:t xml:space="preserve"> </w:t>
      </w:r>
      <w:r>
        <w:t>“</w:t>
      </w:r>
      <w:r w:rsidRPr="005824F2">
        <w:t>The humanitarian impact of small arms and light weapons and threat to security.</w:t>
      </w:r>
      <w:r>
        <w:t>”</w:t>
      </w:r>
      <w:r w:rsidRPr="005824F2">
        <w:t xml:space="preserve"> 15th International </w:t>
      </w:r>
      <w:proofErr w:type="spellStart"/>
      <w:r w:rsidRPr="005824F2">
        <w:t>Amaldi</w:t>
      </w:r>
      <w:proofErr w:type="spellEnd"/>
      <w:r w:rsidRPr="005824F2">
        <w:t xml:space="preserve"> Conference</w:t>
      </w:r>
      <w:r>
        <w:t>,</w:t>
      </w:r>
      <w:r w:rsidRPr="005824F2">
        <w:t xml:space="preserve"> Changing Threats to Global Security: Peace or Turmoi</w:t>
      </w:r>
      <w:r>
        <w:t>l</w:t>
      </w:r>
      <w:r w:rsidRPr="005824F2">
        <w:t xml:space="preserve">, </w:t>
      </w:r>
      <w:r>
        <w:t xml:space="preserve">ISBN 9517691610, 2004, </w:t>
      </w:r>
      <w:r w:rsidRPr="005824F2">
        <w:t>JKS</w:t>
      </w:r>
      <w:r>
        <w:t xml:space="preserve"> + //</w:t>
      </w:r>
      <w:proofErr w:type="spellStart"/>
      <w:r>
        <w:t>Bennerz</w:t>
      </w:r>
      <w:proofErr w:type="spellEnd"/>
      <w:r w:rsidRPr="005824F2">
        <w:t>)</w:t>
      </w:r>
    </w:p>
    <w:p w:rsidR="00FD2390" w:rsidRPr="00D66B62" w:rsidRDefault="00FD2390" w:rsidP="00FD2390">
      <w:pPr>
        <w:rPr>
          <w:rStyle w:val="Emphasis"/>
        </w:rPr>
      </w:pPr>
      <w:r w:rsidRPr="00FD2390">
        <w:rPr>
          <w:rFonts w:asciiTheme="majorHAnsi" w:hAnsiTheme="majorHAnsi" w:cstheme="majorHAnsi"/>
          <w:sz w:val="14"/>
        </w:rPr>
        <w:t xml:space="preserve">SALW and crime It is often assumed that </w:t>
      </w:r>
      <w:r w:rsidRPr="00380B63">
        <w:rPr>
          <w:rStyle w:val="StyleUnderline"/>
        </w:rPr>
        <w:t>there is a relationship between small arms, their misuse, and levels of armed criminality</w:t>
      </w:r>
      <w:r w:rsidRPr="00FD2390">
        <w:rPr>
          <w:rFonts w:asciiTheme="majorHAnsi" w:hAnsiTheme="majorHAnsi" w:cstheme="majorHAnsi"/>
          <w:sz w:val="14"/>
        </w:rPr>
        <w:t xml:space="preserve">. However, perspectives differ on whether easy access to weapons increases or decreases crime. One view is that small arms possession serves as a deterrent leading to improved personal security and a reduction in interpersonal crime. Proponents of this view assume that small arms possession in controlled circumstances serves as a micro-deterrent to would-be criminals. Another view is that </w:t>
      </w:r>
      <w:r w:rsidRPr="00380B63">
        <w:rPr>
          <w:rStyle w:val="StyleUnderline"/>
        </w:rPr>
        <w:t xml:space="preserve">small arms availability, ownership, and portability are linked to a </w:t>
      </w:r>
      <w:r w:rsidRPr="00380B63">
        <w:rPr>
          <w:rStyle w:val="Emphasis"/>
        </w:rPr>
        <w:t>greater incidence of violent death</w:t>
      </w:r>
      <w:r w:rsidRPr="00FD2390">
        <w:rPr>
          <w:rFonts w:asciiTheme="majorHAnsi" w:hAnsiTheme="majorHAnsi" w:cstheme="majorHAnsi"/>
          <w:sz w:val="14"/>
        </w:rPr>
        <w:t xml:space="preserve"> (</w:t>
      </w:r>
      <w:r w:rsidRPr="00380B63">
        <w:rPr>
          <w:rStyle w:val="StyleUnderline"/>
        </w:rPr>
        <w:t>e.g. homicide, suicide, and unintentional death</w:t>
      </w:r>
      <w:r w:rsidRPr="00FD2390">
        <w:rPr>
          <w:rFonts w:asciiTheme="majorHAnsi" w:hAnsiTheme="majorHAnsi" w:cstheme="majorHAnsi"/>
          <w:sz w:val="14"/>
        </w:rPr>
        <w:t xml:space="preserve">), </w:t>
      </w:r>
      <w:r w:rsidRPr="00380B63">
        <w:rPr>
          <w:rStyle w:val="StyleUnderline"/>
        </w:rPr>
        <w:t>interpersonal violence, intimidation, and criminality.</w:t>
      </w:r>
      <w:r w:rsidRPr="00FD2390">
        <w:rPr>
          <w:rFonts w:asciiTheme="majorHAnsi" w:hAnsiTheme="majorHAnsi" w:cstheme="majorHAnsi"/>
          <w:sz w:val="14"/>
        </w:rPr>
        <w:t xml:space="preserve"> Accordingly, </w:t>
      </w:r>
      <w:r w:rsidRPr="00380B63">
        <w:rPr>
          <w:rStyle w:val="StyleUnderline"/>
        </w:rPr>
        <w:t>more firearms equal more violent crime.</w:t>
      </w:r>
      <w:r w:rsidRPr="00FD2390">
        <w:rPr>
          <w:rFonts w:asciiTheme="majorHAnsi" w:hAnsiTheme="majorHAnsi" w:cstheme="majorHAnsi"/>
          <w:sz w:val="14"/>
        </w:rPr>
        <w:t xml:space="preserve">59 Nevertheless, the </w:t>
      </w:r>
      <w:r w:rsidRPr="00380B63">
        <w:rPr>
          <w:rStyle w:val="StyleUnderline"/>
        </w:rPr>
        <w:t>proliferation SALW is said to be</w:t>
      </w:r>
      <w:r w:rsidRPr="00FD2390">
        <w:rPr>
          <w:rFonts w:asciiTheme="majorHAnsi" w:hAnsiTheme="majorHAnsi" w:cstheme="majorHAnsi"/>
          <w:sz w:val="14"/>
        </w:rPr>
        <w:t xml:space="preserve"> partly </w:t>
      </w:r>
      <w:r w:rsidRPr="00380B63">
        <w:rPr>
          <w:rStyle w:val="StyleUnderline"/>
        </w:rPr>
        <w:t>responsible for the rise in criminal acts such as armed robberies, hijacking, terrorism, stealing of livestock, drug trafficking, and smuggling.</w:t>
      </w:r>
      <w:r w:rsidRPr="00FD2390">
        <w:rPr>
          <w:rFonts w:asciiTheme="majorHAnsi" w:hAnsiTheme="majorHAnsi" w:cstheme="majorHAnsi"/>
          <w:sz w:val="14"/>
        </w:rPr>
        <w:t xml:space="preserve"> Armed robbery and other indices of crime in developed countries are estimated to have increased dramatically since the late 1960s. The rate of intentional homicide increased by 50 per cent between 1980 and 1990 in Latin America and Africa, and more than 100 per cent in eastern Europe and central Asia.60 In East Africa, the International Police (Interpol) sub-regional bureau in Nairobi reports that small arms are the common denominator in the commission of the five major crimes in the region: terrorism, cattle rustling, firearms trafficking, drug trafficking and motor vehicle theft.61 In Kenya, gun-related incidents in the country rose by 200% in 1995 (most recent available figures) over the previous year.”62 According to police reports, “the proliferation of illegal weapons is probably the most significant contributing factor to crime in the country… </w:t>
      </w:r>
      <w:r w:rsidRPr="00D66B62">
        <w:rPr>
          <w:rStyle w:val="StyleUnderline"/>
        </w:rPr>
        <w:t>Unlike in the past, there is use of guns in almost every robbery today</w:t>
      </w:r>
      <w:r w:rsidRPr="00FD2390">
        <w:rPr>
          <w:rFonts w:asciiTheme="majorHAnsi" w:hAnsiTheme="majorHAnsi" w:cstheme="majorHAnsi"/>
          <w:sz w:val="14"/>
        </w:rPr>
        <w:t xml:space="preserve">.63 </w:t>
      </w:r>
      <w:r w:rsidRPr="00D66B62">
        <w:rPr>
          <w:rStyle w:val="Emphasis"/>
        </w:rPr>
        <w:t>There is thus a relationship between SALW proliferation and rise in criminality.</w:t>
      </w:r>
    </w:p>
    <w:p w:rsidR="00FD2390" w:rsidRPr="00676953" w:rsidRDefault="00FD2390" w:rsidP="00FD2390">
      <w:pPr>
        <w:pStyle w:val="Heading3"/>
        <w:rPr>
          <w:rFonts w:asciiTheme="majorHAnsi" w:hAnsiTheme="majorHAnsi" w:cstheme="majorHAnsi"/>
        </w:rPr>
      </w:pPr>
      <w:r w:rsidRPr="00676953">
        <w:rPr>
          <w:rFonts w:asciiTheme="majorHAnsi" w:hAnsiTheme="majorHAnsi" w:cstheme="majorHAnsi"/>
        </w:rPr>
        <w:lastRenderedPageBreak/>
        <w:t>Forced Displacement</w:t>
      </w:r>
    </w:p>
    <w:p w:rsidR="00FD2390" w:rsidRPr="00676953" w:rsidRDefault="00FD2390" w:rsidP="00FD2390">
      <w:pPr>
        <w:pStyle w:val="Heading4"/>
        <w:rPr>
          <w:rFonts w:asciiTheme="majorHAnsi" w:hAnsiTheme="majorHAnsi" w:cstheme="majorHAnsi"/>
        </w:rPr>
      </w:pPr>
      <w:r>
        <w:rPr>
          <w:rFonts w:asciiTheme="majorHAnsi" w:hAnsiTheme="majorHAnsi" w:cstheme="majorHAnsi"/>
        </w:rPr>
        <w:t>Small arms facilitate forced displacement</w:t>
      </w:r>
    </w:p>
    <w:p w:rsidR="00FD2390" w:rsidRPr="001D33D8" w:rsidRDefault="00FD2390" w:rsidP="00FD2390">
      <w:pPr>
        <w:rPr>
          <w:rFonts w:asciiTheme="majorHAnsi" w:hAnsiTheme="majorHAnsi" w:cstheme="majorHAnsi"/>
          <w:b/>
          <w:bCs/>
        </w:rPr>
      </w:pPr>
      <w:proofErr w:type="spellStart"/>
      <w:r w:rsidRPr="001D33D8">
        <w:rPr>
          <w:rStyle w:val="Style13ptBold"/>
        </w:rPr>
        <w:t>Mogire</w:t>
      </w:r>
      <w:proofErr w:type="spellEnd"/>
      <w:r w:rsidRPr="001D33D8">
        <w:rPr>
          <w:rStyle w:val="Style13ptBold"/>
        </w:rPr>
        <w:t xml:space="preserve"> 04</w:t>
      </w:r>
      <w:r>
        <w:rPr>
          <w:rStyle w:val="Style13ptBold"/>
          <w:rFonts w:asciiTheme="majorHAnsi" w:hAnsiTheme="majorHAnsi" w:cstheme="majorHAnsi"/>
        </w:rPr>
        <w:t xml:space="preserve"> </w:t>
      </w:r>
      <w:r w:rsidRPr="005824F2">
        <w:t xml:space="preserve">(Edward </w:t>
      </w:r>
      <w:proofErr w:type="spellStart"/>
      <w:r w:rsidRPr="005824F2">
        <w:t>Mogire</w:t>
      </w:r>
      <w:proofErr w:type="spellEnd"/>
      <w:r>
        <w:t>,</w:t>
      </w:r>
      <w:r w:rsidRPr="005824F2">
        <w:t xml:space="preserve"> Professor at Kingston University</w:t>
      </w:r>
      <w:r>
        <w:t>.</w:t>
      </w:r>
      <w:r w:rsidRPr="005824F2">
        <w:t xml:space="preserve"> </w:t>
      </w:r>
      <w:r>
        <w:t>“</w:t>
      </w:r>
      <w:r w:rsidRPr="005824F2">
        <w:t>The humanitarian impact of small arms and light weapons and threat to security.</w:t>
      </w:r>
      <w:r>
        <w:t>”</w:t>
      </w:r>
      <w:r w:rsidRPr="005824F2">
        <w:t xml:space="preserve"> 15th International </w:t>
      </w:r>
      <w:proofErr w:type="spellStart"/>
      <w:r w:rsidRPr="005824F2">
        <w:t>Amaldi</w:t>
      </w:r>
      <w:proofErr w:type="spellEnd"/>
      <w:r w:rsidRPr="005824F2">
        <w:t xml:space="preserve"> Conference</w:t>
      </w:r>
      <w:r>
        <w:t>,</w:t>
      </w:r>
      <w:r w:rsidRPr="005824F2">
        <w:t xml:space="preserve"> Changing Threats to Global Security: Peace or Turmoi</w:t>
      </w:r>
      <w:r>
        <w:t>l</w:t>
      </w:r>
      <w:r w:rsidRPr="005824F2">
        <w:t xml:space="preserve">, </w:t>
      </w:r>
      <w:r>
        <w:t xml:space="preserve">ISBN 9517691610, 2004, </w:t>
      </w:r>
      <w:r w:rsidRPr="005824F2">
        <w:t>JKS</w:t>
      </w:r>
      <w:r>
        <w:t xml:space="preserve"> + //</w:t>
      </w:r>
      <w:proofErr w:type="spellStart"/>
      <w:r>
        <w:t>Bennerz</w:t>
      </w:r>
      <w:proofErr w:type="spellEnd"/>
      <w:r w:rsidRPr="005824F2">
        <w:t>)</w:t>
      </w:r>
    </w:p>
    <w:p w:rsidR="00FD2390" w:rsidRPr="00FD2390" w:rsidRDefault="00FD2390" w:rsidP="00FD2390">
      <w:pPr>
        <w:rPr>
          <w:sz w:val="14"/>
        </w:rPr>
      </w:pPr>
      <w:r w:rsidRPr="00FD2390">
        <w:rPr>
          <w:sz w:val="14"/>
        </w:rPr>
        <w:t xml:space="preserve">SALW and forced displacement </w:t>
      </w:r>
      <w:r w:rsidRPr="000F1E71">
        <w:rPr>
          <w:rStyle w:val="StyleUnderline"/>
        </w:rPr>
        <w:t>One particularly disturbing example of the</w:t>
      </w:r>
      <w:r w:rsidRPr="00FD2390">
        <w:rPr>
          <w:sz w:val="14"/>
        </w:rPr>
        <w:t xml:space="preserve"> indirect </w:t>
      </w:r>
      <w:r w:rsidRPr="000F1E71">
        <w:rPr>
          <w:rStyle w:val="StyleUnderline"/>
        </w:rPr>
        <w:t>impacts of small arms is the forced displacement of populations, both internally as internally displaced people</w:t>
      </w:r>
      <w:r w:rsidRPr="00FD2390">
        <w:rPr>
          <w:sz w:val="14"/>
        </w:rPr>
        <w:t xml:space="preserve"> (IDPs) </w:t>
      </w:r>
      <w:r w:rsidRPr="000F1E71">
        <w:rPr>
          <w:rStyle w:val="StyleUnderline"/>
        </w:rPr>
        <w:t>and externally as refugees</w:t>
      </w:r>
      <w:r w:rsidRPr="00FD2390">
        <w:rPr>
          <w:sz w:val="14"/>
        </w:rPr>
        <w:t xml:space="preserve">. At the beginning of 2003, almost 35 million people - 13 million refugees and 22 million internally displaced persons - remained uprooted by war and persecution world-wide.64 </w:t>
      </w:r>
      <w:r w:rsidRPr="00C35C00">
        <w:rPr>
          <w:rStyle w:val="Emphasis"/>
        </w:rPr>
        <w:t>Small arms-related intimidation and insecurity are a key factor inhibiting sustainable repatriation or resettlement</w:t>
      </w:r>
      <w:r w:rsidRPr="00FD2390">
        <w:rPr>
          <w:sz w:val="14"/>
        </w:rPr>
        <w:t>. The UNHCR has acknowledged that ‘</w:t>
      </w:r>
      <w:r w:rsidRPr="00C35C00">
        <w:rPr>
          <w:rStyle w:val="StyleUnderline"/>
        </w:rPr>
        <w:t>armed conflict is now the driving force behind most refugee flows</w:t>
      </w:r>
      <w:r w:rsidRPr="00FD2390">
        <w:rPr>
          <w:sz w:val="14"/>
        </w:rPr>
        <w:t xml:space="preserve">’.65 The UN has repeatedly observed that ‘in many recent and current internal armed conflicts, </w:t>
      </w:r>
      <w:r w:rsidRPr="00C35C00">
        <w:rPr>
          <w:rStyle w:val="StyleUnderline"/>
        </w:rPr>
        <w:t>combatants deliberately intimidate, attack and displace local populations to further their pursuit of economic control over natural resources</w:t>
      </w:r>
      <w:r w:rsidRPr="00FD2390">
        <w:rPr>
          <w:sz w:val="14"/>
        </w:rPr>
        <w:t xml:space="preserve">’. In such cases, </w:t>
      </w:r>
      <w:r w:rsidRPr="00C35C00">
        <w:rPr>
          <w:rStyle w:val="StyleUnderline"/>
        </w:rPr>
        <w:t>combatants rely on, even profit from, civilian displacement</w:t>
      </w:r>
      <w:r w:rsidRPr="00FD2390">
        <w:rPr>
          <w:sz w:val="14"/>
        </w:rPr>
        <w:t xml:space="preserve">.66 The widespread use of mines, for example, renders vast areas of territory uninhabitable. Mines are targeted at civilian populations. Not only do they force people to flee their homelands, but they also prevent them from return. </w:t>
      </w:r>
      <w:r w:rsidRPr="00C35C00">
        <w:rPr>
          <w:rStyle w:val="StyleUnderline"/>
        </w:rPr>
        <w:t>Arming of militias and local factions has intensified conflict leading to forced displacement</w:t>
      </w:r>
      <w:r w:rsidRPr="00FD2390">
        <w:rPr>
          <w:sz w:val="14"/>
        </w:rPr>
        <w:t xml:space="preserve">. In the Sudan, for example, since the early 1990s the government increasingly relied on armed militias, especially Arab militias, to fight the Sudan </w:t>
      </w:r>
      <w:proofErr w:type="spellStart"/>
      <w:r w:rsidRPr="00FD2390">
        <w:rPr>
          <w:sz w:val="14"/>
        </w:rPr>
        <w:t>Peoples</w:t>
      </w:r>
      <w:proofErr w:type="spellEnd"/>
      <w:r w:rsidRPr="00FD2390">
        <w:rPr>
          <w:sz w:val="14"/>
        </w:rPr>
        <w:t xml:space="preserve"> Liberation Army (SPLA) rebels and its rural support on the ground thus massively widening the scope of the war.67 The Arab militias concentrate exclusively on civilian targets looting cattle, women and children. For example, Arab militias were responsible for planning the massacre of 1,000 civilians on 27- 8 March 1987.68 The SPLA has responded to the militia attacks by meeting violence with violence and in some has also targeted civilians in retaliatory attacks.69 </w:t>
      </w:r>
      <w:r w:rsidRPr="00C35C00">
        <w:rPr>
          <w:rStyle w:val="StyleUnderline"/>
        </w:rPr>
        <w:t>Arming militias has led to the proliferation of cheap weapons and the development of a ‘</w:t>
      </w:r>
      <w:proofErr w:type="spellStart"/>
      <w:r w:rsidRPr="00C35C00">
        <w:rPr>
          <w:rStyle w:val="StyleUnderline"/>
        </w:rPr>
        <w:t>kalashnikov</w:t>
      </w:r>
      <w:proofErr w:type="spellEnd"/>
      <w:r w:rsidRPr="00C35C00">
        <w:rPr>
          <w:rStyle w:val="StyleUnderline"/>
        </w:rPr>
        <w:t xml:space="preserve"> culture’, which has increased violence and led to further flight of civilians</w:t>
      </w:r>
      <w:r w:rsidRPr="00FD2390">
        <w:rPr>
          <w:sz w:val="14"/>
        </w:rPr>
        <w:t xml:space="preserve">. In Somalia, following the collapse of the state, the proliferation of </w:t>
      </w:r>
      <w:r w:rsidRPr="00C35C00">
        <w:rPr>
          <w:rStyle w:val="StyleUnderline"/>
        </w:rPr>
        <w:t>small arms resulted in the rise of militias and armed gangs</w:t>
      </w:r>
      <w:r w:rsidRPr="00FD2390">
        <w:rPr>
          <w:sz w:val="14"/>
        </w:rPr>
        <w:t xml:space="preserve">. Civilians became the main targets of warlords that further led to forced population displacement. Further, small arms have been used to violate civilians during flight, or while in camps. The </w:t>
      </w:r>
      <w:proofErr w:type="spellStart"/>
      <w:r w:rsidRPr="00FD2390">
        <w:rPr>
          <w:sz w:val="14"/>
        </w:rPr>
        <w:t>militarisation</w:t>
      </w:r>
      <w:proofErr w:type="spellEnd"/>
      <w:r w:rsidRPr="00FD2390">
        <w:rPr>
          <w:sz w:val="14"/>
        </w:rPr>
        <w:t xml:space="preserve"> of refugee camps and populated areas and IDP camps has resulted in insecurity not only to civilians but also to states concerned. UNHCR </w:t>
      </w:r>
      <w:proofErr w:type="spellStart"/>
      <w:r w:rsidRPr="00FD2390">
        <w:rPr>
          <w:sz w:val="14"/>
        </w:rPr>
        <w:t>recognises</w:t>
      </w:r>
      <w:proofErr w:type="spellEnd"/>
      <w:r w:rsidRPr="00FD2390">
        <w:rPr>
          <w:sz w:val="14"/>
        </w:rPr>
        <w:t xml:space="preserve"> that curt</w:t>
      </w:r>
      <w:r w:rsidRPr="00D008FF">
        <w:rPr>
          <w:rStyle w:val="Emphasis"/>
        </w:rPr>
        <w:t xml:space="preserve">ailing the sale or transfer of small arms would contribute to greater stability and </w:t>
      </w:r>
      <w:proofErr w:type="gramStart"/>
      <w:r w:rsidRPr="00D008FF">
        <w:rPr>
          <w:rStyle w:val="Emphasis"/>
        </w:rPr>
        <w:t>security, and</w:t>
      </w:r>
      <w:proofErr w:type="gramEnd"/>
      <w:r w:rsidRPr="00D008FF">
        <w:rPr>
          <w:rStyle w:val="Emphasis"/>
        </w:rPr>
        <w:t xml:space="preserve"> would reduce people’s incentive to flee in the first place</w:t>
      </w:r>
      <w:r w:rsidRPr="00FD2390">
        <w:rPr>
          <w:sz w:val="14"/>
        </w:rPr>
        <w:t xml:space="preserve">. Predictably, </w:t>
      </w:r>
      <w:r w:rsidRPr="00D008FF">
        <w:rPr>
          <w:rStyle w:val="StyleUnderline"/>
        </w:rPr>
        <w:t>household entitlements and the access of individuals to basic needs collapse when people are forced to flee. Food security is also undermined by the activities of armed groups.</w:t>
      </w:r>
      <w:r w:rsidRPr="00FD2390">
        <w:rPr>
          <w:sz w:val="14"/>
        </w:rPr>
        <w:t xml:space="preserve"> For example, the threat and harassment of civilians by armed groups constrains mobility (e.g. of farmers to their fields or traders to markets) and trade.70</w:t>
      </w:r>
    </w:p>
    <w:p w:rsidR="00FD2390" w:rsidRPr="00676953" w:rsidRDefault="00FD2390" w:rsidP="00FD2390">
      <w:pPr>
        <w:pStyle w:val="Heading3"/>
        <w:rPr>
          <w:rFonts w:asciiTheme="majorHAnsi" w:hAnsiTheme="majorHAnsi" w:cstheme="majorHAnsi"/>
        </w:rPr>
      </w:pPr>
      <w:r w:rsidRPr="00676953">
        <w:rPr>
          <w:rFonts w:asciiTheme="majorHAnsi" w:hAnsiTheme="majorHAnsi" w:cstheme="majorHAnsi"/>
        </w:rPr>
        <w:lastRenderedPageBreak/>
        <w:t>Development</w:t>
      </w:r>
    </w:p>
    <w:p w:rsidR="00FD2390" w:rsidRPr="00676953" w:rsidRDefault="00FD2390" w:rsidP="00FD2390">
      <w:pPr>
        <w:pStyle w:val="Heading4"/>
        <w:rPr>
          <w:rFonts w:asciiTheme="majorHAnsi" w:hAnsiTheme="majorHAnsi" w:cstheme="majorHAnsi"/>
        </w:rPr>
      </w:pPr>
      <w:r>
        <w:rPr>
          <w:rFonts w:asciiTheme="majorHAnsi" w:hAnsiTheme="majorHAnsi" w:cstheme="majorHAnsi"/>
        </w:rPr>
        <w:t>SALW hinder development</w:t>
      </w:r>
    </w:p>
    <w:p w:rsidR="00FD2390" w:rsidRPr="001D33D8" w:rsidRDefault="00FD2390" w:rsidP="00FD2390">
      <w:pPr>
        <w:rPr>
          <w:rFonts w:asciiTheme="majorHAnsi" w:hAnsiTheme="majorHAnsi" w:cstheme="majorHAnsi"/>
          <w:b/>
          <w:bCs/>
        </w:rPr>
      </w:pPr>
      <w:proofErr w:type="spellStart"/>
      <w:r w:rsidRPr="001D33D8">
        <w:rPr>
          <w:rStyle w:val="Style13ptBold"/>
        </w:rPr>
        <w:t>Mogire</w:t>
      </w:r>
      <w:proofErr w:type="spellEnd"/>
      <w:r w:rsidRPr="001D33D8">
        <w:rPr>
          <w:rStyle w:val="Style13ptBold"/>
        </w:rPr>
        <w:t xml:space="preserve"> 04</w:t>
      </w:r>
      <w:r>
        <w:rPr>
          <w:rStyle w:val="Style13ptBold"/>
          <w:rFonts w:asciiTheme="majorHAnsi" w:hAnsiTheme="majorHAnsi" w:cstheme="majorHAnsi"/>
        </w:rPr>
        <w:t xml:space="preserve"> </w:t>
      </w:r>
      <w:r w:rsidRPr="005824F2">
        <w:t xml:space="preserve">(Edward </w:t>
      </w:r>
      <w:proofErr w:type="spellStart"/>
      <w:r w:rsidRPr="005824F2">
        <w:t>Mogire</w:t>
      </w:r>
      <w:proofErr w:type="spellEnd"/>
      <w:r>
        <w:t>,</w:t>
      </w:r>
      <w:r w:rsidRPr="005824F2">
        <w:t xml:space="preserve"> Professor at Kingston University</w:t>
      </w:r>
      <w:r>
        <w:t>.</w:t>
      </w:r>
      <w:r w:rsidRPr="005824F2">
        <w:t xml:space="preserve"> </w:t>
      </w:r>
      <w:r>
        <w:t>“</w:t>
      </w:r>
      <w:r w:rsidRPr="005824F2">
        <w:t>The humanitarian impact of small arms and light weapons and threat to security.</w:t>
      </w:r>
      <w:r>
        <w:t>”</w:t>
      </w:r>
      <w:r w:rsidRPr="005824F2">
        <w:t xml:space="preserve"> 15th International </w:t>
      </w:r>
      <w:proofErr w:type="spellStart"/>
      <w:r w:rsidRPr="005824F2">
        <w:t>Amaldi</w:t>
      </w:r>
      <w:proofErr w:type="spellEnd"/>
      <w:r w:rsidRPr="005824F2">
        <w:t xml:space="preserve"> Conference</w:t>
      </w:r>
      <w:r>
        <w:t>,</w:t>
      </w:r>
      <w:r w:rsidRPr="005824F2">
        <w:t xml:space="preserve"> Changing Threats to Global Security: Peace or Turmoi</w:t>
      </w:r>
      <w:r>
        <w:t>l</w:t>
      </w:r>
      <w:r w:rsidRPr="005824F2">
        <w:t xml:space="preserve">, </w:t>
      </w:r>
      <w:r>
        <w:t xml:space="preserve">ISBN 9517691610, 2004, </w:t>
      </w:r>
      <w:r w:rsidRPr="005824F2">
        <w:t>JKS</w:t>
      </w:r>
      <w:r>
        <w:t xml:space="preserve"> + //</w:t>
      </w:r>
      <w:proofErr w:type="spellStart"/>
      <w:r>
        <w:t>Bennerz</w:t>
      </w:r>
      <w:proofErr w:type="spellEnd"/>
      <w:r w:rsidRPr="005824F2">
        <w:t>)</w:t>
      </w:r>
    </w:p>
    <w:p w:rsidR="00FD2390" w:rsidRPr="00FD2390" w:rsidRDefault="00FD2390" w:rsidP="00FD2390">
      <w:pPr>
        <w:rPr>
          <w:rFonts w:asciiTheme="majorHAnsi" w:hAnsiTheme="majorHAnsi" w:cstheme="majorHAnsi"/>
          <w:sz w:val="14"/>
        </w:rPr>
      </w:pPr>
      <w:r w:rsidRPr="00FD2390">
        <w:rPr>
          <w:rFonts w:asciiTheme="majorHAnsi" w:hAnsiTheme="majorHAnsi" w:cstheme="majorHAnsi"/>
          <w:sz w:val="14"/>
        </w:rPr>
        <w:t xml:space="preserve">Small arms and development </w:t>
      </w:r>
      <w:proofErr w:type="gramStart"/>
      <w:r w:rsidRPr="003506C5">
        <w:rPr>
          <w:rStyle w:val="StyleUnderline"/>
        </w:rPr>
        <w:t>The</w:t>
      </w:r>
      <w:proofErr w:type="gramEnd"/>
      <w:r w:rsidRPr="003506C5">
        <w:rPr>
          <w:rStyle w:val="StyleUnderline"/>
        </w:rPr>
        <w:t xml:space="preserve"> spread of SALW adversely affects economic development by discouraging investment, divestment, misallocation of resources to security instead of development, and affects the implementation or initiation of development projects</w:t>
      </w:r>
      <w:r w:rsidRPr="00FD2390">
        <w:rPr>
          <w:rFonts w:asciiTheme="majorHAnsi" w:hAnsiTheme="majorHAnsi" w:cstheme="majorHAnsi"/>
          <w:sz w:val="14"/>
        </w:rPr>
        <w:t xml:space="preserve">. </w:t>
      </w:r>
      <w:r w:rsidRPr="003506C5">
        <w:rPr>
          <w:rStyle w:val="StyleUnderline"/>
        </w:rPr>
        <w:t xml:space="preserve">Health and education provision </w:t>
      </w:r>
      <w:proofErr w:type="gramStart"/>
      <w:r w:rsidRPr="003506C5">
        <w:rPr>
          <w:rStyle w:val="StyleUnderline"/>
        </w:rPr>
        <w:t>is</w:t>
      </w:r>
      <w:proofErr w:type="gramEnd"/>
      <w:r w:rsidRPr="003506C5">
        <w:rPr>
          <w:rStyle w:val="StyleUnderline"/>
        </w:rPr>
        <w:t xml:space="preserve"> adversely affected when providers work in a dangerous environment</w:t>
      </w:r>
      <w:r w:rsidRPr="00FD2390">
        <w:rPr>
          <w:rFonts w:asciiTheme="majorHAnsi" w:hAnsiTheme="majorHAnsi" w:cstheme="majorHAnsi"/>
          <w:sz w:val="14"/>
        </w:rPr>
        <w:t xml:space="preserve">. </w:t>
      </w:r>
      <w:r w:rsidRPr="003506C5">
        <w:rPr>
          <w:rStyle w:val="StyleUnderline"/>
        </w:rPr>
        <w:t>Doctors and teachers are difficult to attract to work in areas where they are at greater risk of being attacked.</w:t>
      </w:r>
      <w:r w:rsidRPr="00FD2390">
        <w:rPr>
          <w:rFonts w:asciiTheme="majorHAnsi" w:hAnsiTheme="majorHAnsi" w:cstheme="majorHAnsi"/>
          <w:sz w:val="14"/>
        </w:rPr>
        <w:t xml:space="preserve"> The proliferation of arms will prevent development objectives from being reached.71 It is in recognition of this that the UNDP has established a special organization under the Bureau for Crisis Prevention and Recovery (CPR) to deal with the SALW problem. According to the UNDP, </w:t>
      </w:r>
      <w:proofErr w:type="gramStart"/>
      <w:r w:rsidRPr="00446477">
        <w:rPr>
          <w:rStyle w:val="StyleUnderline"/>
        </w:rPr>
        <w:t>Where</w:t>
      </w:r>
      <w:proofErr w:type="gramEnd"/>
      <w:r w:rsidRPr="00446477">
        <w:rPr>
          <w:rStyle w:val="StyleUnderline"/>
        </w:rPr>
        <w:t xml:space="preserve"> guns dominate, development suffers, schools close, shops close, commerce stops, and the local economy grinds to a halt. Buildings are destroyed, bridges are blown up, and whatever development there has been, is gone. Private investment dried up and development organizations can’t operate.</w:t>
      </w:r>
      <w:r w:rsidRPr="00FD2390">
        <w:rPr>
          <w:rFonts w:asciiTheme="majorHAnsi" w:hAnsiTheme="majorHAnsi" w:cstheme="majorHAnsi"/>
          <w:sz w:val="14"/>
        </w:rPr>
        <w:t xml:space="preserve"> Even after the shootings stops, there is no security. People can’t return to their homes or a normal life…72 </w:t>
      </w:r>
      <w:r w:rsidRPr="00446477">
        <w:rPr>
          <w:rStyle w:val="StyleUnderline"/>
        </w:rPr>
        <w:t xml:space="preserve">Humanitarian workers have noted persistent food insecurity among households in arms-saturated areas – even where those locations are ‘benefiting’ from substantial agricultural and food aid – </w:t>
      </w:r>
      <w:r w:rsidRPr="00446477">
        <w:rPr>
          <w:rStyle w:val="Emphasis"/>
        </w:rPr>
        <w:t>indicating a relationship between armed violence and access to basic entitlements</w:t>
      </w:r>
      <w:r w:rsidRPr="00FD2390">
        <w:rPr>
          <w:rFonts w:asciiTheme="majorHAnsi" w:hAnsiTheme="majorHAnsi" w:cstheme="majorHAnsi"/>
          <w:sz w:val="14"/>
        </w:rPr>
        <w:t xml:space="preserve">. In Kenya, for example, services like schooling and healthcare have deteriorated or collapsed in areas where small arms availability and use are high. </w:t>
      </w:r>
      <w:r w:rsidRPr="00446477">
        <w:rPr>
          <w:rStyle w:val="StyleUnderline"/>
        </w:rPr>
        <w:t>Literacy and school enrolment rates in arms-affected regions are well below the national average</w:t>
      </w:r>
      <w:r w:rsidRPr="00FD2390">
        <w:rPr>
          <w:rFonts w:asciiTheme="majorHAnsi" w:hAnsiTheme="majorHAnsi" w:cstheme="majorHAnsi"/>
          <w:sz w:val="14"/>
        </w:rPr>
        <w:t xml:space="preserve">.73 </w:t>
      </w:r>
      <w:r w:rsidRPr="00446477">
        <w:rPr>
          <w:rStyle w:val="Emphasis"/>
        </w:rPr>
        <w:t>Besides arms hinder development by diverting limited national resources to weapons purchases, especially in developing countries.</w:t>
      </w:r>
      <w:r w:rsidRPr="00FD2390">
        <w:rPr>
          <w:rFonts w:asciiTheme="majorHAnsi" w:hAnsiTheme="majorHAnsi" w:cstheme="majorHAnsi"/>
          <w:sz w:val="14"/>
        </w:rPr>
        <w:t xml:space="preserve"> In the past decade, military spending (partly for small arms) by the poorest countries rose by 20 per cent while dropping for the richest. Developing countries spent $172 billion on armed forces—almost five times the official </w:t>
      </w:r>
      <w:proofErr w:type="spellStart"/>
      <w:r w:rsidRPr="00FD2390">
        <w:rPr>
          <w:rFonts w:asciiTheme="majorHAnsi" w:hAnsiTheme="majorHAnsi" w:cstheme="majorHAnsi"/>
          <w:sz w:val="14"/>
        </w:rPr>
        <w:t>aid</w:t>
      </w:r>
      <w:proofErr w:type="spellEnd"/>
      <w:r w:rsidRPr="00FD2390">
        <w:rPr>
          <w:rFonts w:asciiTheme="majorHAnsi" w:hAnsiTheme="majorHAnsi" w:cstheme="majorHAnsi"/>
          <w:sz w:val="14"/>
        </w:rPr>
        <w:t xml:space="preserve"> they received, and 44 per cent of their expenditures on education and health combined (compared to about 20 per cent for </w:t>
      </w:r>
      <w:proofErr w:type="spellStart"/>
      <w:r w:rsidRPr="00FD2390">
        <w:rPr>
          <w:rFonts w:asciiTheme="majorHAnsi" w:hAnsiTheme="majorHAnsi" w:cstheme="majorHAnsi"/>
          <w:sz w:val="14"/>
        </w:rPr>
        <w:t>industrialised</w:t>
      </w:r>
      <w:proofErr w:type="spellEnd"/>
      <w:r w:rsidRPr="00FD2390">
        <w:rPr>
          <w:rFonts w:asciiTheme="majorHAnsi" w:hAnsiTheme="majorHAnsi" w:cstheme="majorHAnsi"/>
          <w:sz w:val="14"/>
        </w:rPr>
        <w:t xml:space="preserve"> countries.74</w:t>
      </w:r>
    </w:p>
    <w:p w:rsidR="00FD2390" w:rsidRPr="00676953" w:rsidRDefault="00FD2390" w:rsidP="00FD2390">
      <w:pPr>
        <w:pStyle w:val="Heading3"/>
        <w:rPr>
          <w:rFonts w:asciiTheme="majorHAnsi" w:hAnsiTheme="majorHAnsi" w:cstheme="majorHAnsi"/>
        </w:rPr>
      </w:pPr>
      <w:r w:rsidRPr="00676953">
        <w:rPr>
          <w:rFonts w:asciiTheme="majorHAnsi" w:hAnsiTheme="majorHAnsi" w:cstheme="majorHAnsi"/>
        </w:rPr>
        <w:lastRenderedPageBreak/>
        <w:t>Child Soldiers</w:t>
      </w:r>
    </w:p>
    <w:p w:rsidR="00FD2390" w:rsidRPr="00676953" w:rsidRDefault="00FD2390" w:rsidP="00FD2390">
      <w:pPr>
        <w:pStyle w:val="Heading4"/>
        <w:rPr>
          <w:rFonts w:asciiTheme="majorHAnsi" w:hAnsiTheme="majorHAnsi" w:cstheme="majorHAnsi"/>
        </w:rPr>
      </w:pPr>
      <w:r>
        <w:rPr>
          <w:rFonts w:asciiTheme="majorHAnsi" w:hAnsiTheme="majorHAnsi" w:cstheme="majorHAnsi"/>
        </w:rPr>
        <w:t xml:space="preserve">Small arms kill thousands of children annually </w:t>
      </w:r>
    </w:p>
    <w:p w:rsidR="00FD2390" w:rsidRPr="001D33D8" w:rsidRDefault="00FD2390" w:rsidP="00FD2390">
      <w:pPr>
        <w:rPr>
          <w:rFonts w:asciiTheme="majorHAnsi" w:hAnsiTheme="majorHAnsi" w:cstheme="majorHAnsi"/>
          <w:b/>
          <w:bCs/>
        </w:rPr>
      </w:pPr>
      <w:proofErr w:type="spellStart"/>
      <w:r w:rsidRPr="001D33D8">
        <w:rPr>
          <w:rStyle w:val="Style13ptBold"/>
        </w:rPr>
        <w:t>Mogire</w:t>
      </w:r>
      <w:proofErr w:type="spellEnd"/>
      <w:r w:rsidRPr="001D33D8">
        <w:rPr>
          <w:rStyle w:val="Style13ptBold"/>
        </w:rPr>
        <w:t xml:space="preserve"> 04</w:t>
      </w:r>
      <w:r>
        <w:rPr>
          <w:rStyle w:val="Style13ptBold"/>
          <w:rFonts w:asciiTheme="majorHAnsi" w:hAnsiTheme="majorHAnsi" w:cstheme="majorHAnsi"/>
        </w:rPr>
        <w:t xml:space="preserve"> </w:t>
      </w:r>
      <w:r w:rsidRPr="005824F2">
        <w:t xml:space="preserve">(Edward </w:t>
      </w:r>
      <w:proofErr w:type="spellStart"/>
      <w:r w:rsidRPr="005824F2">
        <w:t>Mogire</w:t>
      </w:r>
      <w:proofErr w:type="spellEnd"/>
      <w:r>
        <w:t>,</w:t>
      </w:r>
      <w:r w:rsidRPr="005824F2">
        <w:t xml:space="preserve"> Professor at Kingston University</w:t>
      </w:r>
      <w:r>
        <w:t>.</w:t>
      </w:r>
      <w:r w:rsidRPr="005824F2">
        <w:t xml:space="preserve"> </w:t>
      </w:r>
      <w:r>
        <w:t>“</w:t>
      </w:r>
      <w:r w:rsidRPr="005824F2">
        <w:t>The humanitarian impact of small arms and light weapons and threat to security.</w:t>
      </w:r>
      <w:r>
        <w:t>”</w:t>
      </w:r>
      <w:r w:rsidRPr="005824F2">
        <w:t xml:space="preserve"> 15th International </w:t>
      </w:r>
      <w:proofErr w:type="spellStart"/>
      <w:r w:rsidRPr="005824F2">
        <w:t>Amaldi</w:t>
      </w:r>
      <w:proofErr w:type="spellEnd"/>
      <w:r w:rsidRPr="005824F2">
        <w:t xml:space="preserve"> Conference</w:t>
      </w:r>
      <w:r>
        <w:t>,</w:t>
      </w:r>
      <w:r w:rsidRPr="005824F2">
        <w:t xml:space="preserve"> Changing Threats to Global Security: Peace or Turmoi</w:t>
      </w:r>
      <w:r>
        <w:t>l</w:t>
      </w:r>
      <w:r w:rsidRPr="005824F2">
        <w:t xml:space="preserve">, </w:t>
      </w:r>
      <w:r>
        <w:t xml:space="preserve">ISBN 9517691610, 2004, </w:t>
      </w:r>
      <w:r w:rsidRPr="005824F2">
        <w:t>JKS</w:t>
      </w:r>
      <w:r>
        <w:t xml:space="preserve"> + //</w:t>
      </w:r>
      <w:proofErr w:type="spellStart"/>
      <w:r>
        <w:t>Bennerz</w:t>
      </w:r>
      <w:proofErr w:type="spellEnd"/>
      <w:r w:rsidRPr="005824F2">
        <w:t>)</w:t>
      </w:r>
    </w:p>
    <w:p w:rsidR="00FD2390" w:rsidRPr="00FD2390" w:rsidRDefault="00FD2390" w:rsidP="00FD2390">
      <w:pPr>
        <w:rPr>
          <w:rFonts w:asciiTheme="majorHAnsi" w:hAnsiTheme="majorHAnsi" w:cstheme="majorHAnsi"/>
          <w:sz w:val="16"/>
        </w:rPr>
      </w:pPr>
      <w:r w:rsidRPr="00FD2390">
        <w:rPr>
          <w:rFonts w:asciiTheme="majorHAnsi" w:hAnsiTheme="majorHAnsi" w:cstheme="majorHAnsi"/>
          <w:sz w:val="16"/>
        </w:rPr>
        <w:t xml:space="preserve">SALW and the problem of child soldiers A number of factors are believed to have encouraged the use of children as soldiers. Among them technological developments and the </w:t>
      </w:r>
      <w:r w:rsidRPr="00154710">
        <w:rPr>
          <w:rStyle w:val="Emphasis"/>
        </w:rPr>
        <w:t>proliferation of</w:t>
      </w:r>
      <w:r w:rsidRPr="00FD2390">
        <w:rPr>
          <w:rFonts w:asciiTheme="majorHAnsi" w:hAnsiTheme="majorHAnsi" w:cstheme="majorHAnsi"/>
          <w:sz w:val="16"/>
        </w:rPr>
        <w:t xml:space="preserve"> weapons, especially </w:t>
      </w:r>
      <w:r w:rsidRPr="00154710">
        <w:rPr>
          <w:rStyle w:val="Emphasis"/>
        </w:rPr>
        <w:t>small arms, have made semi-automatic rifles light enough and simple enough to be stripped, reassembled and used by a child</w:t>
      </w:r>
      <w:r w:rsidRPr="00FD2390">
        <w:rPr>
          <w:rFonts w:asciiTheme="majorHAnsi" w:hAnsiTheme="majorHAnsi" w:cstheme="majorHAnsi"/>
          <w:sz w:val="16"/>
        </w:rPr>
        <w:t xml:space="preserve"> of 10.75 Although the recruitment and use of children for combat is outlawed,76 </w:t>
      </w:r>
      <w:r w:rsidRPr="00154710">
        <w:rPr>
          <w:rStyle w:val="StyleUnderline"/>
        </w:rPr>
        <w:t>more than 500,000 children under-18 have been recruited into state and non-state armed groups in over 85 countries</w:t>
      </w:r>
      <w:r w:rsidRPr="00FD2390">
        <w:rPr>
          <w:rFonts w:asciiTheme="majorHAnsi" w:hAnsiTheme="majorHAnsi" w:cstheme="majorHAnsi"/>
          <w:sz w:val="16"/>
        </w:rPr>
        <w:t xml:space="preserve">. At any one time, more than 300,000 of these children are actively fighting as soldiers with government armed forces or armed opposition groups. </w:t>
      </w:r>
      <w:r w:rsidRPr="00154710">
        <w:rPr>
          <w:rStyle w:val="StyleUnderline"/>
        </w:rPr>
        <w:t>Child soldiers under 15 years of age are believed to be part of non-state armed forces</w:t>
      </w:r>
      <w:r w:rsidRPr="00FD2390">
        <w:rPr>
          <w:rFonts w:asciiTheme="majorHAnsi" w:hAnsiTheme="majorHAnsi" w:cstheme="majorHAnsi"/>
          <w:sz w:val="16"/>
        </w:rPr>
        <w:t xml:space="preserve">. </w:t>
      </w:r>
      <w:r w:rsidRPr="00154710">
        <w:rPr>
          <w:rStyle w:val="StyleUnderline"/>
        </w:rPr>
        <w:t>Those children, who are not fighters, are typically used as runners or scouts, porters, sex slaves, cooks or spies</w:t>
      </w:r>
      <w:r w:rsidRPr="00FD2390">
        <w:rPr>
          <w:rFonts w:asciiTheme="majorHAnsi" w:hAnsiTheme="majorHAnsi" w:cstheme="majorHAnsi"/>
          <w:sz w:val="16"/>
        </w:rPr>
        <w:t xml:space="preserve">. More than half of all armed groups in Sierra Leone’s so-called children’s war were under 18. In northern Uganda, the Lord's Resistance Army has abducted at least 12,000 children since 1985 that are then forced to become fighters or sex slaves. In Colombia, guerrillas, paramilitary groups and security forces routinely recruit children for combat. </w:t>
      </w:r>
      <w:r w:rsidRPr="00154710">
        <w:rPr>
          <w:rStyle w:val="StyleUnderline"/>
        </w:rPr>
        <w:t>Up to 30 per cent of some guerrilla units are made up of children. Many children are abducted, others join voluntarily in order to survive or to avenge atrocities committed against their family or community</w:t>
      </w:r>
      <w:r w:rsidRPr="00FD2390">
        <w:rPr>
          <w:rFonts w:asciiTheme="majorHAnsi" w:hAnsiTheme="majorHAnsi" w:cstheme="majorHAnsi"/>
          <w:sz w:val="16"/>
        </w:rPr>
        <w:t xml:space="preserve">.77 In addition </w:t>
      </w:r>
      <w:r w:rsidRPr="00154710">
        <w:rPr>
          <w:rStyle w:val="Emphasis"/>
        </w:rPr>
        <w:t>small arms and light weapons kill thousands of children each year and millions more die from the indirect consequences of armed conflict</w:t>
      </w:r>
      <w:r w:rsidRPr="00FD2390">
        <w:rPr>
          <w:rFonts w:asciiTheme="majorHAnsi" w:hAnsiTheme="majorHAnsi" w:cstheme="majorHAnsi"/>
          <w:sz w:val="16"/>
        </w:rPr>
        <w:t>. The United Nations Children’s Fund (UNICEF) estimates that during the 1990s, more than 2 million children died as a result of armed conflict, and more than three times as many were permanently disabled or seriously injured. Many children experience emotional trauma, suffer from malnutrition and are denied access to education.78</w:t>
      </w:r>
    </w:p>
    <w:p w:rsidR="00FD2390" w:rsidRPr="00FD2390" w:rsidRDefault="00FD2390" w:rsidP="00FD2390">
      <w:pPr>
        <w:rPr>
          <w:sz w:val="14"/>
        </w:rPr>
      </w:pPr>
    </w:p>
    <w:p w:rsidR="00FD2390" w:rsidRPr="00FD2390" w:rsidRDefault="00FD2390" w:rsidP="00FD2390">
      <w:pPr>
        <w:pStyle w:val="Heading2"/>
      </w:pPr>
      <w:r>
        <w:lastRenderedPageBreak/>
        <w:t>**Case**</w:t>
      </w:r>
    </w:p>
    <w:p w:rsidR="0077372C" w:rsidRPr="00222B4D" w:rsidRDefault="00FD2390" w:rsidP="00FD2390">
      <w:pPr>
        <w:pStyle w:val="Heading3"/>
      </w:pPr>
      <w:r>
        <w:lastRenderedPageBreak/>
        <w:t>AT: Alt Causes</w:t>
      </w:r>
    </w:p>
    <w:p w:rsidR="0077372C" w:rsidRPr="00222B4D" w:rsidRDefault="0077372C" w:rsidP="0077372C">
      <w:pPr>
        <w:pStyle w:val="Heading4"/>
      </w:pPr>
      <w:r w:rsidRPr="00222B4D">
        <w:t xml:space="preserve">Most weapons from US arms sales to Mexico funnel into the </w:t>
      </w:r>
      <w:r w:rsidR="00FD2390">
        <w:t>illicit</w:t>
      </w:r>
      <w:r w:rsidRPr="00222B4D">
        <w:t xml:space="preserve"> market – exacerbated by lack of end-use verification </w:t>
      </w:r>
    </w:p>
    <w:p w:rsidR="0077372C" w:rsidRPr="005A0822" w:rsidRDefault="0077372C" w:rsidP="0077372C">
      <w:pPr>
        <w:rPr>
          <w:rStyle w:val="Style13ptBold"/>
        </w:rPr>
      </w:pPr>
      <w:proofErr w:type="spellStart"/>
      <w:r>
        <w:rPr>
          <w:rStyle w:val="Style13ptBold"/>
        </w:rPr>
        <w:t>Lumpe</w:t>
      </w:r>
      <w:proofErr w:type="spellEnd"/>
      <w:r>
        <w:rPr>
          <w:rStyle w:val="Style13ptBold"/>
        </w:rPr>
        <w:t xml:space="preserve">, 1999 </w:t>
      </w:r>
      <w:r w:rsidRPr="00136FBF">
        <w:rPr>
          <w:rStyle w:val="Style13ptBold"/>
          <w:b w:val="0"/>
          <w:bCs/>
          <w:sz w:val="16"/>
          <w:szCs w:val="16"/>
        </w:rPr>
        <w:t>[Lora- senior researcher at the Peace Research Institute in Oslo, co-author of The Arms Trade Revealed, a guide to researching U.S. arms exports and military aid, pub-</w:t>
      </w:r>
      <w:proofErr w:type="spellStart"/>
      <w:r w:rsidRPr="00136FBF">
        <w:rPr>
          <w:rStyle w:val="Style13ptBold"/>
          <w:b w:val="0"/>
          <w:bCs/>
          <w:sz w:val="16"/>
          <w:szCs w:val="16"/>
        </w:rPr>
        <w:t>lished</w:t>
      </w:r>
      <w:proofErr w:type="spellEnd"/>
      <w:r w:rsidRPr="00136FBF">
        <w:rPr>
          <w:rStyle w:val="Style13ptBold"/>
          <w:b w:val="0"/>
          <w:bCs/>
          <w:sz w:val="16"/>
          <w:szCs w:val="16"/>
        </w:rPr>
        <w:t xml:space="preserve"> in 1998 by the Federation of American Scientists, “The Leader of the Pack”, Bulletin of the Atomic Scientists, Vol. 55, No. 1, pp. 27-33]</w:t>
      </w:r>
    </w:p>
    <w:p w:rsidR="0077372C" w:rsidRDefault="0077372C" w:rsidP="0077372C">
      <w:pPr>
        <w:rPr>
          <w:u w:val="single"/>
        </w:rPr>
      </w:pPr>
      <w:r w:rsidRPr="0016707E">
        <w:rPr>
          <w:u w:val="single"/>
        </w:rPr>
        <w:t>A state's record of physical control over previously supplied small arms should</w:t>
      </w:r>
      <w:r w:rsidRPr="0016707E">
        <w:rPr>
          <w:sz w:val="16"/>
        </w:rPr>
        <w:t xml:space="preserve"> also </w:t>
      </w:r>
      <w:r w:rsidRPr="0016707E">
        <w:rPr>
          <w:u w:val="single"/>
        </w:rPr>
        <w:t>be considered when deciding whether to approve export licenses or to make arms grants</w:t>
      </w:r>
      <w:r w:rsidRPr="0016707E">
        <w:rPr>
          <w:sz w:val="16"/>
        </w:rPr>
        <w:t xml:space="preserve">. </w:t>
      </w:r>
      <w:r w:rsidRPr="0016707E">
        <w:rPr>
          <w:u w:val="single"/>
        </w:rPr>
        <w:t>Many U.S.-origin small arms enter into illegal circulation</w:t>
      </w:r>
      <w:r w:rsidRPr="0016707E">
        <w:rPr>
          <w:sz w:val="16"/>
        </w:rPr>
        <w:t xml:space="preserve">. </w:t>
      </w:r>
      <w:r w:rsidRPr="0016707E">
        <w:rPr>
          <w:u w:val="single"/>
        </w:rPr>
        <w:t>In 1994, foreign governments reported 6,238 unlawfully acquired U.S.-origin firearms to the Bureau of Alcohol</w:t>
      </w:r>
      <w:r w:rsidRPr="0016707E">
        <w:rPr>
          <w:sz w:val="16"/>
        </w:rPr>
        <w:t>, To-</w:t>
      </w:r>
      <w:proofErr w:type="spellStart"/>
      <w:r w:rsidRPr="0016707E">
        <w:rPr>
          <w:sz w:val="16"/>
        </w:rPr>
        <w:t>bacco</w:t>
      </w:r>
      <w:proofErr w:type="spellEnd"/>
      <w:r w:rsidRPr="0016707E">
        <w:rPr>
          <w:sz w:val="16"/>
        </w:rPr>
        <w:t xml:space="preserve"> and Firearms (BATF). </w:t>
      </w:r>
      <w:r w:rsidRPr="0016707E">
        <w:rPr>
          <w:u w:val="single"/>
        </w:rPr>
        <w:t>More than half-3,376—were found in Mexico</w:t>
      </w:r>
      <w:r w:rsidRPr="0016707E">
        <w:rPr>
          <w:sz w:val="16"/>
        </w:rPr>
        <w:t>. According to President Clinton's state-</w:t>
      </w:r>
      <w:proofErr w:type="spellStart"/>
      <w:r w:rsidRPr="0016707E">
        <w:rPr>
          <w:sz w:val="16"/>
        </w:rPr>
        <w:t>ment</w:t>
      </w:r>
      <w:proofErr w:type="spellEnd"/>
      <w:r w:rsidRPr="0016707E">
        <w:rPr>
          <w:sz w:val="16"/>
        </w:rPr>
        <w:t xml:space="preserve"> at the signing of an Organization of American States treaty in </w:t>
      </w:r>
      <w:proofErr w:type="spellStart"/>
      <w:r w:rsidRPr="0016707E">
        <w:rPr>
          <w:sz w:val="16"/>
        </w:rPr>
        <w:t>Novem-ber</w:t>
      </w:r>
      <w:proofErr w:type="spellEnd"/>
      <w:r w:rsidRPr="0016707E">
        <w:rPr>
          <w:sz w:val="16"/>
        </w:rPr>
        <w:t xml:space="preserve"> 1997, in 1996 alone the BATF re-</w:t>
      </w:r>
      <w:proofErr w:type="spellStart"/>
      <w:r w:rsidRPr="0016707E">
        <w:rPr>
          <w:sz w:val="16"/>
        </w:rPr>
        <w:t>ceived</w:t>
      </w:r>
      <w:proofErr w:type="spellEnd"/>
      <w:r w:rsidRPr="0016707E">
        <w:rPr>
          <w:sz w:val="16"/>
        </w:rPr>
        <w:t xml:space="preserve"> approximately 30,000 requests to trace weapons used in crimes. </w:t>
      </w:r>
      <w:r w:rsidRPr="0016707E">
        <w:rPr>
          <w:u w:val="single"/>
        </w:rPr>
        <w:t>These weapons were almost certainly sold legally in the first place, either do-</w:t>
      </w:r>
      <w:proofErr w:type="spellStart"/>
      <w:r w:rsidRPr="0016707E">
        <w:rPr>
          <w:u w:val="single"/>
        </w:rPr>
        <w:t>mestically</w:t>
      </w:r>
      <w:proofErr w:type="spellEnd"/>
      <w:r w:rsidRPr="0016707E">
        <w:rPr>
          <w:u w:val="single"/>
        </w:rPr>
        <w:t xml:space="preserve"> or abroad, and were later transferred to a third party in contra-</w:t>
      </w:r>
      <w:proofErr w:type="spellStart"/>
      <w:r w:rsidRPr="0016707E">
        <w:rPr>
          <w:u w:val="single"/>
        </w:rPr>
        <w:t>vention</w:t>
      </w:r>
      <w:proofErr w:type="spellEnd"/>
      <w:r w:rsidRPr="0016707E">
        <w:rPr>
          <w:u w:val="single"/>
        </w:rPr>
        <w:t xml:space="preserve"> of U.S. law</w:t>
      </w:r>
      <w:r w:rsidRPr="0016707E">
        <w:rPr>
          <w:sz w:val="16"/>
        </w:rPr>
        <w:t xml:space="preserve">. </w:t>
      </w:r>
      <w:r w:rsidRPr="0016707E">
        <w:rPr>
          <w:u w:val="single"/>
        </w:rPr>
        <w:t>The U.S. government rarely con-ducts end-use checks on weapons it has exported, relying instead principal-</w:t>
      </w:r>
      <w:proofErr w:type="spellStart"/>
      <w:r w:rsidRPr="0016707E">
        <w:rPr>
          <w:u w:val="single"/>
        </w:rPr>
        <w:t>ly</w:t>
      </w:r>
      <w:proofErr w:type="spellEnd"/>
      <w:r w:rsidRPr="0016707E">
        <w:rPr>
          <w:u w:val="single"/>
        </w:rPr>
        <w:t xml:space="preserve"> on good faith</w:t>
      </w:r>
      <w:r w:rsidRPr="0016707E">
        <w:rPr>
          <w:sz w:val="16"/>
        </w:rPr>
        <w:t>. According to an Au-gust 1997 White House report on end-use monitoring of FMS shipments, "Whether a minor item, which is read-</w:t>
      </w:r>
      <w:proofErr w:type="spellStart"/>
      <w:r w:rsidRPr="0016707E">
        <w:rPr>
          <w:sz w:val="16"/>
        </w:rPr>
        <w:t>ily</w:t>
      </w:r>
      <w:proofErr w:type="spellEnd"/>
      <w:r w:rsidRPr="0016707E">
        <w:rPr>
          <w:sz w:val="16"/>
        </w:rPr>
        <w:t xml:space="preserve"> available commercially [small arms, for example] or a high technology </w:t>
      </w:r>
      <w:proofErr w:type="spellStart"/>
      <w:r w:rsidRPr="0016707E">
        <w:rPr>
          <w:sz w:val="16"/>
        </w:rPr>
        <w:t>weap</w:t>
      </w:r>
      <w:proofErr w:type="spellEnd"/>
      <w:r w:rsidRPr="0016707E">
        <w:rPr>
          <w:sz w:val="16"/>
        </w:rPr>
        <w:t>-on system, each defense item transfer must be preceded by formal agree-</w:t>
      </w:r>
      <w:proofErr w:type="spellStart"/>
      <w:r w:rsidRPr="0016707E">
        <w:rPr>
          <w:sz w:val="16"/>
        </w:rPr>
        <w:t>ment</w:t>
      </w:r>
      <w:proofErr w:type="spellEnd"/>
      <w:r w:rsidRPr="0016707E">
        <w:rPr>
          <w:sz w:val="16"/>
        </w:rPr>
        <w:t xml:space="preserve"> with appropriate end-use and re-transfer restrictions." "Security Assistance Offices," </w:t>
      </w:r>
      <w:proofErr w:type="spellStart"/>
      <w:r w:rsidRPr="0016707E">
        <w:rPr>
          <w:sz w:val="16"/>
        </w:rPr>
        <w:t>locat</w:t>
      </w:r>
      <w:proofErr w:type="spellEnd"/>
      <w:r w:rsidRPr="0016707E">
        <w:rPr>
          <w:sz w:val="16"/>
        </w:rPr>
        <w:t>-ed in U.S. embassies around the world, are charged with in-country manage-</w:t>
      </w:r>
      <w:proofErr w:type="spellStart"/>
      <w:r w:rsidRPr="0016707E">
        <w:rPr>
          <w:sz w:val="16"/>
        </w:rPr>
        <w:t>ment</w:t>
      </w:r>
      <w:proofErr w:type="spellEnd"/>
      <w:r w:rsidRPr="0016707E">
        <w:rPr>
          <w:sz w:val="16"/>
        </w:rPr>
        <w:t xml:space="preserve"> of weapons sales programs, in-</w:t>
      </w:r>
      <w:proofErr w:type="spellStart"/>
      <w:r w:rsidRPr="0016707E">
        <w:rPr>
          <w:sz w:val="16"/>
        </w:rPr>
        <w:t>cluding</w:t>
      </w:r>
      <w:proofErr w:type="spellEnd"/>
      <w:r w:rsidRPr="0016707E">
        <w:rPr>
          <w:sz w:val="16"/>
        </w:rPr>
        <w:t xml:space="preserve"> oversight of end use. </w:t>
      </w:r>
      <w:r w:rsidRPr="0016707E">
        <w:rPr>
          <w:u w:val="single"/>
        </w:rPr>
        <w:t>However, there is no indication that any routine or surprise end-use inspections are un-</w:t>
      </w:r>
      <w:proofErr w:type="spellStart"/>
      <w:r w:rsidRPr="0016707E">
        <w:rPr>
          <w:u w:val="single"/>
        </w:rPr>
        <w:t>dertaken</w:t>
      </w:r>
      <w:proofErr w:type="spellEnd"/>
      <w:r w:rsidRPr="0016707E">
        <w:rPr>
          <w:u w:val="single"/>
        </w:rPr>
        <w:t xml:space="preserve"> to assure physical control and non-transfer</w:t>
      </w:r>
      <w:r w:rsidRPr="0016707E">
        <w:rPr>
          <w:sz w:val="16"/>
        </w:rPr>
        <w:t xml:space="preserve">. A rare congressional over-sight hearing, held in 1994, revealed that from 1989 to 1993 </w:t>
      </w:r>
      <w:r w:rsidRPr="0016707E">
        <w:rPr>
          <w:u w:val="single"/>
        </w:rPr>
        <w:t>the State De-</w:t>
      </w:r>
      <w:proofErr w:type="spellStart"/>
      <w:r w:rsidRPr="0016707E">
        <w:rPr>
          <w:u w:val="single"/>
        </w:rPr>
        <w:t>partment</w:t>
      </w:r>
      <w:proofErr w:type="spellEnd"/>
      <w:r w:rsidRPr="0016707E">
        <w:rPr>
          <w:u w:val="single"/>
        </w:rPr>
        <w:t xml:space="preserve"> approved 108 licenses for the export of more than $34 million worth of small arms to Mexico, but per-formed only three follow-up </w:t>
      </w:r>
      <w:proofErr w:type="spellStart"/>
      <w:r w:rsidRPr="0016707E">
        <w:rPr>
          <w:u w:val="single"/>
        </w:rPr>
        <w:t>inspec-tions</w:t>
      </w:r>
      <w:proofErr w:type="spellEnd"/>
      <w:r w:rsidRPr="0016707E">
        <w:rPr>
          <w:u w:val="single"/>
        </w:rPr>
        <w:t xml:space="preserve"> to ensure that the weapons were in the intended hands.</w:t>
      </w:r>
    </w:p>
    <w:p w:rsidR="000E17A2" w:rsidRPr="00676953" w:rsidRDefault="000E17A2" w:rsidP="000E17A2">
      <w:pPr>
        <w:pStyle w:val="Heading4"/>
        <w:rPr>
          <w:rFonts w:asciiTheme="majorHAnsi" w:hAnsiTheme="majorHAnsi" w:cstheme="majorHAnsi"/>
        </w:rPr>
      </w:pPr>
      <w:r>
        <w:rPr>
          <w:rFonts w:asciiTheme="majorHAnsi" w:hAnsiTheme="majorHAnsi" w:cstheme="majorHAnsi"/>
        </w:rPr>
        <w:t>Legal arms sales massively outweigh low-levels of smuggling</w:t>
      </w:r>
    </w:p>
    <w:p w:rsidR="000E17A2" w:rsidRPr="00676953" w:rsidRDefault="000E17A2" w:rsidP="000E17A2">
      <w:pPr>
        <w:rPr>
          <w:rStyle w:val="Style13ptBold"/>
          <w:rFonts w:asciiTheme="majorHAnsi" w:hAnsiTheme="majorHAnsi" w:cstheme="majorHAnsi"/>
        </w:rPr>
      </w:pPr>
      <w:proofErr w:type="spellStart"/>
      <w:r w:rsidRPr="00676953">
        <w:rPr>
          <w:rStyle w:val="Style13ptBold"/>
          <w:rFonts w:asciiTheme="majorHAnsi" w:hAnsiTheme="majorHAnsi" w:cstheme="majorHAnsi"/>
        </w:rPr>
        <w:t>Blanchfield</w:t>
      </w:r>
      <w:proofErr w:type="spellEnd"/>
      <w:r w:rsidRPr="00676953">
        <w:rPr>
          <w:rStyle w:val="Style13ptBold"/>
          <w:rFonts w:asciiTheme="majorHAnsi" w:hAnsiTheme="majorHAnsi" w:cstheme="majorHAnsi"/>
        </w:rPr>
        <w:t xml:space="preserve"> 16</w:t>
      </w:r>
    </w:p>
    <w:p w:rsidR="000E17A2" w:rsidRPr="00676953" w:rsidRDefault="000E17A2" w:rsidP="000E17A2">
      <w:pPr>
        <w:rPr>
          <w:rFonts w:asciiTheme="majorHAnsi" w:hAnsiTheme="majorHAnsi" w:cstheme="majorHAnsi"/>
          <w:b/>
          <w:sz w:val="20"/>
          <w:szCs w:val="20"/>
        </w:rPr>
      </w:pPr>
      <w:r w:rsidRPr="00676953">
        <w:rPr>
          <w:rStyle w:val="Style13ptBold"/>
          <w:rFonts w:asciiTheme="majorHAnsi" w:hAnsiTheme="majorHAnsi" w:cstheme="majorHAnsi"/>
          <w:sz w:val="20"/>
          <w:szCs w:val="20"/>
        </w:rPr>
        <w:t xml:space="preserve">(Patrick </w:t>
      </w:r>
      <w:proofErr w:type="spellStart"/>
      <w:r w:rsidRPr="00676953">
        <w:rPr>
          <w:rStyle w:val="Style13ptBold"/>
          <w:rFonts w:asciiTheme="majorHAnsi" w:hAnsiTheme="majorHAnsi" w:cstheme="majorHAnsi"/>
          <w:sz w:val="20"/>
          <w:szCs w:val="20"/>
        </w:rPr>
        <w:t>Blanchfield</w:t>
      </w:r>
      <w:proofErr w:type="spellEnd"/>
      <w:r w:rsidRPr="00676953">
        <w:rPr>
          <w:rStyle w:val="Style13ptBold"/>
          <w:rFonts w:asciiTheme="majorHAnsi" w:hAnsiTheme="majorHAnsi" w:cstheme="majorHAnsi"/>
          <w:sz w:val="20"/>
          <w:szCs w:val="20"/>
        </w:rPr>
        <w:t xml:space="preserve"> is a freelance journalist and academic. He writes about guns, violence, and American politics and culture. Associate Faculty at the Brooklyn Institute, and author of several books. 7-11-16, Recoil Operation, The New Inquiry, </w:t>
      </w:r>
      <w:hyperlink r:id="rId24" w:history="1">
        <w:r w:rsidRPr="00676953">
          <w:rPr>
            <w:rStyle w:val="Style13ptBold"/>
            <w:rFonts w:asciiTheme="majorHAnsi" w:hAnsiTheme="majorHAnsi" w:cstheme="majorHAnsi"/>
            <w:sz w:val="20"/>
            <w:szCs w:val="20"/>
          </w:rPr>
          <w:t>https://thenewinquiry.com/recoil-operation/</w:t>
        </w:r>
      </w:hyperlink>
      <w:r w:rsidRPr="00676953">
        <w:rPr>
          <w:rStyle w:val="Style13ptBold"/>
          <w:rFonts w:asciiTheme="majorHAnsi" w:hAnsiTheme="majorHAnsi" w:cstheme="majorHAnsi"/>
          <w:sz w:val="20"/>
          <w:szCs w:val="20"/>
        </w:rPr>
        <w:t>, JKS)</w:t>
      </w:r>
    </w:p>
    <w:p w:rsidR="000E17A2" w:rsidRPr="004C1212" w:rsidRDefault="000E17A2" w:rsidP="000E17A2">
      <w:pPr>
        <w:rPr>
          <w:rFonts w:asciiTheme="majorHAnsi" w:hAnsiTheme="majorHAnsi" w:cstheme="majorHAnsi"/>
          <w:sz w:val="14"/>
        </w:rPr>
      </w:pPr>
      <w:r w:rsidRPr="004C1212">
        <w:rPr>
          <w:rFonts w:asciiTheme="majorHAnsi" w:hAnsiTheme="majorHAnsi" w:cstheme="majorHAnsi"/>
          <w:sz w:val="14"/>
        </w:rPr>
        <w:t xml:space="preserve">Stories like these soak up a lot of press. Who could resist the story of the bungled ATF “Fast and Furious” sting operation that “lost track of hundreds of weapons that were allowed to pass into Mexico in hopes of tracing them to cartel leaders”? </w:t>
      </w:r>
      <w:r w:rsidRPr="009E06D9">
        <w:rPr>
          <w:rStyle w:val="Emphasis"/>
        </w:rPr>
        <w:t xml:space="preserve">But if our attention is drawn towards the lurid details of small-scale smuggling, we can easily lose sight of the big picture: the absolutely gargantuan flow of arms from the US to Mexico. </w:t>
      </w:r>
      <w:r w:rsidRPr="009E06D9">
        <w:rPr>
          <w:rStyle w:val="StyleUnderline"/>
        </w:rPr>
        <w:t>Since Mexico has comparatively strict gun laws, an estimated 99% of firearms are owned illegally. The majority of these guns are smuggled from the United States: of 99,691 firearms recovered from Mexican crime scenes 2007-2011, the ATF traced 68,161 back to US points of origin, with a similar breakdown for 2009-2014.</w:t>
      </w:r>
      <w:r w:rsidRPr="004C1212">
        <w:rPr>
          <w:rFonts w:asciiTheme="majorHAnsi" w:hAnsiTheme="majorHAnsi" w:cstheme="majorHAnsi"/>
          <w:sz w:val="14"/>
        </w:rPr>
        <w:t xml:space="preserve"> By using more sophisticated modeling techniques, researchers estimate that a quarter million illegal guns cross the border southwards each year. Outrage is easy for stories about rogue soldiers smuggling guns, but numbers like these are numbing. </w:t>
      </w:r>
      <w:r w:rsidRPr="009E06D9">
        <w:rPr>
          <w:rStyle w:val="StyleUnderline"/>
        </w:rPr>
        <w:t xml:space="preserve">And when it comes to </w:t>
      </w:r>
      <w:r w:rsidRPr="009E06D9">
        <w:rPr>
          <w:rStyle w:val="Emphasis"/>
        </w:rPr>
        <w:t>US-Mexico weapons sales carried out entirely legally</w:t>
      </w:r>
      <w:r w:rsidRPr="009E06D9">
        <w:rPr>
          <w:rStyle w:val="StyleUnderline"/>
        </w:rPr>
        <w:t>, and with the blessing of Washington, the response is mostly willful ignorance</w:t>
      </w:r>
      <w:r w:rsidRPr="004C1212">
        <w:rPr>
          <w:rFonts w:asciiTheme="majorHAnsi" w:hAnsiTheme="majorHAnsi" w:cstheme="majorHAnsi"/>
          <w:sz w:val="14"/>
        </w:rPr>
        <w:t xml:space="preserve">. </w:t>
      </w:r>
      <w:r w:rsidRPr="009E06D9">
        <w:rPr>
          <w:rStyle w:val="StyleUnderline"/>
        </w:rPr>
        <w:t xml:space="preserve">Past Mexican administrations were often reluctant to pursue formal arms deals with the United States, but in the last few years, there has been a dramatic uptick in “legitimate” trade in arms with Mexico, facilitated by the American government: </w:t>
      </w:r>
      <w:r w:rsidRPr="004C1212">
        <w:rPr>
          <w:rFonts w:asciiTheme="majorHAnsi" w:hAnsiTheme="majorHAnsi" w:cstheme="majorHAnsi"/>
          <w:sz w:val="14"/>
        </w:rPr>
        <w:t xml:space="preserve">Mexico spent only $200 million on US military hardware in 2001, but its military spending topped $1.15 billion in 2014 alone (and </w:t>
      </w:r>
      <w:r w:rsidRPr="004C1212">
        <w:rPr>
          <w:rFonts w:asciiTheme="majorHAnsi" w:hAnsiTheme="majorHAnsi" w:cstheme="majorHAnsi"/>
          <w:sz w:val="14"/>
        </w:rPr>
        <w:lastRenderedPageBreak/>
        <w:t>the trend line is marked</w:t>
      </w:r>
      <w:r w:rsidRPr="009E06D9">
        <w:rPr>
          <w:rStyle w:val="StyleUnderline"/>
        </w:rPr>
        <w:t xml:space="preserve">). In 2014, the $21.6 million that Mexican authorities spent on </w:t>
      </w:r>
      <w:r w:rsidRPr="009E06D9">
        <w:rPr>
          <w:rStyle w:val="Emphasis"/>
        </w:rPr>
        <w:t>American small arms</w:t>
      </w:r>
      <w:r w:rsidRPr="009E06D9">
        <w:rPr>
          <w:rStyle w:val="StyleUnderline"/>
        </w:rPr>
        <w:t>—primarily M-16s and M-4s—</w:t>
      </w:r>
      <w:r w:rsidRPr="009E06D9">
        <w:rPr>
          <w:rStyle w:val="Emphasis"/>
        </w:rPr>
        <w:t>represented one of the largest single foreign military sales of such arms in the past fifteen years</w:t>
      </w:r>
      <w:r w:rsidRPr="009E06D9">
        <w:rPr>
          <w:rStyle w:val="StyleUnderline"/>
        </w:rPr>
        <w:t>.</w:t>
      </w:r>
      <w:r w:rsidRPr="004C1212">
        <w:rPr>
          <w:rFonts w:asciiTheme="majorHAnsi" w:hAnsiTheme="majorHAnsi" w:cstheme="majorHAnsi"/>
          <w:sz w:val="14"/>
        </w:rPr>
        <w:t xml:space="preserve"> If the details of these sales are reported, they are taken to mark the deepening, inter-American partnership in the war on drugs. Photo after photo of drug kingpin being perp-walked (by Mexican forces toting US-made rifles) are presented as visible evidence of victories in that crusade. Victory is just around the corner; progress is on the march. Meanwhile, over the last decade, the Mexican police and military have acquired a habit of “losing” an average of 3.5 firearms per day, as the toll in bodies continues to climb.</w:t>
      </w:r>
    </w:p>
    <w:p w:rsidR="000E17A2" w:rsidRDefault="000E17A2" w:rsidP="0077372C">
      <w:pPr>
        <w:rPr>
          <w:u w:val="single"/>
        </w:rPr>
      </w:pPr>
    </w:p>
    <w:p w:rsidR="0077372C" w:rsidRDefault="00FD2390" w:rsidP="00FD2390">
      <w:pPr>
        <w:pStyle w:val="Heading3"/>
      </w:pPr>
      <w:r>
        <w:lastRenderedPageBreak/>
        <w:t>AT: Other Weapons Exist</w:t>
      </w:r>
    </w:p>
    <w:p w:rsidR="00FD2390" w:rsidRPr="00676953" w:rsidRDefault="00FD2390" w:rsidP="00FD2390">
      <w:pPr>
        <w:pStyle w:val="Heading4"/>
        <w:rPr>
          <w:rFonts w:asciiTheme="majorHAnsi" w:hAnsiTheme="majorHAnsi" w:cstheme="majorHAnsi"/>
        </w:rPr>
      </w:pPr>
      <w:r w:rsidRPr="00676953">
        <w:rPr>
          <w:rFonts w:asciiTheme="majorHAnsi" w:hAnsiTheme="majorHAnsi" w:cstheme="majorHAnsi"/>
        </w:rPr>
        <w:t>Small arms</w:t>
      </w:r>
      <w:r>
        <w:rPr>
          <w:rFonts w:asciiTheme="majorHAnsi" w:hAnsiTheme="majorHAnsi" w:cstheme="majorHAnsi"/>
        </w:rPr>
        <w:t xml:space="preserve"> are easier to transfer and conceal</w:t>
      </w:r>
    </w:p>
    <w:p w:rsidR="00FD2390" w:rsidRPr="00676953" w:rsidRDefault="00FD2390" w:rsidP="00FD2390">
      <w:pPr>
        <w:rPr>
          <w:rStyle w:val="Style13ptBold"/>
          <w:rFonts w:asciiTheme="majorHAnsi" w:hAnsiTheme="majorHAnsi" w:cstheme="majorHAnsi"/>
        </w:rPr>
      </w:pPr>
      <w:proofErr w:type="spellStart"/>
      <w:r w:rsidRPr="00676953">
        <w:rPr>
          <w:rStyle w:val="Style13ptBold"/>
          <w:rFonts w:asciiTheme="majorHAnsi" w:hAnsiTheme="majorHAnsi" w:cstheme="majorHAnsi"/>
        </w:rPr>
        <w:t>Blanchfield</w:t>
      </w:r>
      <w:proofErr w:type="spellEnd"/>
      <w:r w:rsidRPr="00676953">
        <w:rPr>
          <w:rStyle w:val="Style13ptBold"/>
          <w:rFonts w:asciiTheme="majorHAnsi" w:hAnsiTheme="majorHAnsi" w:cstheme="majorHAnsi"/>
        </w:rPr>
        <w:t xml:space="preserve"> 16</w:t>
      </w:r>
    </w:p>
    <w:p w:rsidR="00FD2390" w:rsidRPr="00676953" w:rsidRDefault="00FD2390" w:rsidP="00FD2390">
      <w:pPr>
        <w:rPr>
          <w:rStyle w:val="Style13ptBold"/>
          <w:rFonts w:asciiTheme="majorHAnsi" w:hAnsiTheme="majorHAnsi" w:cstheme="majorHAnsi"/>
          <w:sz w:val="20"/>
          <w:szCs w:val="20"/>
        </w:rPr>
      </w:pPr>
      <w:r w:rsidRPr="00676953">
        <w:rPr>
          <w:rStyle w:val="Style13ptBold"/>
          <w:rFonts w:asciiTheme="majorHAnsi" w:hAnsiTheme="majorHAnsi" w:cstheme="majorHAnsi"/>
          <w:sz w:val="20"/>
          <w:szCs w:val="20"/>
        </w:rPr>
        <w:t xml:space="preserve">(Patrick </w:t>
      </w:r>
      <w:proofErr w:type="spellStart"/>
      <w:r w:rsidRPr="00676953">
        <w:rPr>
          <w:rStyle w:val="Style13ptBold"/>
          <w:rFonts w:asciiTheme="majorHAnsi" w:hAnsiTheme="majorHAnsi" w:cstheme="majorHAnsi"/>
          <w:sz w:val="20"/>
          <w:szCs w:val="20"/>
        </w:rPr>
        <w:t>Blanchfield</w:t>
      </w:r>
      <w:proofErr w:type="spellEnd"/>
      <w:r w:rsidRPr="00676953">
        <w:rPr>
          <w:rStyle w:val="Style13ptBold"/>
          <w:rFonts w:asciiTheme="majorHAnsi" w:hAnsiTheme="majorHAnsi" w:cstheme="majorHAnsi"/>
          <w:sz w:val="20"/>
          <w:szCs w:val="20"/>
        </w:rPr>
        <w:t xml:space="preserve"> is a freelance journalist and academic. He writes about guns, violence, and American politics and culture. Associate Faculty at the Brooklyn Institute, and author of several books. 7-11-16, Recoil Operation, The New Inquiry, </w:t>
      </w:r>
      <w:hyperlink r:id="rId25" w:history="1">
        <w:r w:rsidRPr="00676953">
          <w:rPr>
            <w:rStyle w:val="Style13ptBold"/>
            <w:rFonts w:asciiTheme="majorHAnsi" w:hAnsiTheme="majorHAnsi" w:cstheme="majorHAnsi"/>
            <w:sz w:val="20"/>
            <w:szCs w:val="20"/>
          </w:rPr>
          <w:t>https://thenewinquiry.com/recoil-operation/</w:t>
        </w:r>
      </w:hyperlink>
      <w:r w:rsidRPr="00676953">
        <w:rPr>
          <w:rStyle w:val="Style13ptBold"/>
          <w:rFonts w:asciiTheme="majorHAnsi" w:hAnsiTheme="majorHAnsi" w:cstheme="majorHAnsi"/>
          <w:sz w:val="20"/>
          <w:szCs w:val="20"/>
        </w:rPr>
        <w:t>, JKS)</w:t>
      </w:r>
    </w:p>
    <w:p w:rsidR="00FD2390" w:rsidRPr="001F5E4E" w:rsidRDefault="00FD2390" w:rsidP="00FD2390">
      <w:pPr>
        <w:rPr>
          <w:rFonts w:asciiTheme="majorHAnsi" w:hAnsiTheme="majorHAnsi" w:cstheme="majorHAnsi"/>
          <w:sz w:val="16"/>
        </w:rPr>
      </w:pPr>
      <w:r w:rsidRPr="001F5E4E">
        <w:rPr>
          <w:rFonts w:asciiTheme="majorHAnsi" w:hAnsiTheme="majorHAnsi" w:cstheme="majorHAnsi"/>
          <w:sz w:val="16"/>
        </w:rPr>
        <w:t xml:space="preserve">Against such rhetoric, </w:t>
      </w:r>
      <w:r w:rsidRPr="001F5E4E">
        <w:rPr>
          <w:rStyle w:val="StyleUnderline"/>
        </w:rPr>
        <w:t>the figures are stark</w:t>
      </w:r>
      <w:r w:rsidRPr="001F5E4E">
        <w:rPr>
          <w:rFonts w:asciiTheme="majorHAnsi" w:hAnsiTheme="majorHAnsi" w:cstheme="majorHAnsi"/>
          <w:sz w:val="16"/>
        </w:rPr>
        <w:t xml:space="preserve">. In the first five years of President Obama’s tenure, government-approved arms sales topped the total sum of those concluded during both terms of the George W. Bush administration by more than $30 billion dollars. Adjusted for inflation, Obama’s presided (in just five years!) over more arms sales than any US administration since World War II. From 2010 to 2015, foreign purchases of US military hardware rose 118%, and budget requests for grants to subsidize foreign purchases show no sign of slowing down. Admittedly, much of this increase in sales has been in direct response to the foreign policy misadventures of the previous administration. </w:t>
      </w:r>
      <w:r w:rsidRPr="001F5E4E">
        <w:rPr>
          <w:rStyle w:val="StyleUnderline"/>
        </w:rPr>
        <w:t xml:space="preserve">But this gets at a key point: unlike, say, jet fighters, helicopters, or guided missiles, small arms are low-maintenance, incredibly cheap, and easy to store, transfer, and conceal. Thus, they tend to wander from the hands of a given allied nation’s establishment “arms bourgeoisie”. Small arms are easily seized and turned to new uses. </w:t>
      </w:r>
      <w:r w:rsidRPr="001F5E4E">
        <w:rPr>
          <w:rFonts w:asciiTheme="majorHAnsi" w:hAnsiTheme="majorHAnsi" w:cstheme="majorHAnsi"/>
          <w:sz w:val="16"/>
        </w:rPr>
        <w:t>After all, the lethality of ISIS fighters in Syria and Iraq has been dramatically magnified by their possession of thousands of M-16s and M-4s that the US originally sold to the Iraqi army. Some of these are now available for sale to the highest bidder, on Iraqi Facebook groups.</w:t>
      </w:r>
    </w:p>
    <w:p w:rsidR="00FD2390" w:rsidRPr="00FD2390" w:rsidRDefault="00F707AC" w:rsidP="00F707AC">
      <w:pPr>
        <w:pStyle w:val="Heading3"/>
      </w:pPr>
      <w:r>
        <w:lastRenderedPageBreak/>
        <w:t>UQ- Deregulation Coming</w:t>
      </w:r>
    </w:p>
    <w:p w:rsidR="00F707AC" w:rsidRDefault="00F707AC" w:rsidP="00F707AC">
      <w:pPr>
        <w:pStyle w:val="Heading4"/>
      </w:pPr>
      <w:r>
        <w:t>Now is key</w:t>
      </w:r>
      <w:proofErr w:type="gramStart"/>
      <w:r>
        <w:t xml:space="preserve">- </w:t>
      </w:r>
      <w:r>
        <w:t xml:space="preserve"> Trump</w:t>
      </w:r>
      <w:proofErr w:type="gramEnd"/>
      <w:r>
        <w:t xml:space="preserve"> </w:t>
      </w:r>
      <w:r>
        <w:t>will</w:t>
      </w:r>
      <w:r>
        <w:t xml:space="preserve"> deregulate small arms exports</w:t>
      </w:r>
    </w:p>
    <w:p w:rsidR="00F707AC" w:rsidRPr="001D5DA2" w:rsidRDefault="00F707AC" w:rsidP="00F707AC">
      <w:proofErr w:type="spellStart"/>
      <w:r w:rsidRPr="001D5DA2">
        <w:rPr>
          <w:rStyle w:val="Style13ptBold"/>
        </w:rPr>
        <w:t>Fandos</w:t>
      </w:r>
      <w:proofErr w:type="spellEnd"/>
      <w:r w:rsidRPr="001D5DA2">
        <w:t xml:space="preserve">, </w:t>
      </w:r>
      <w:r w:rsidRPr="001D5DA2">
        <w:rPr>
          <w:rStyle w:val="Style13ptBold"/>
        </w:rPr>
        <w:t>1-31</w:t>
      </w:r>
      <w:r w:rsidRPr="001D5DA2">
        <w:t>-2019 – Nicholas, reporter in the Washington bureau of The New York Times, covering Congress</w:t>
      </w:r>
      <w:r>
        <w:t xml:space="preserve"> (“Trump Administration Eases Regulations on Gun Exports, Raising Concerns”, </w:t>
      </w:r>
      <w:r w:rsidRPr="001D5DA2">
        <w:t>https://www.nytimes.com/2019/01/31/us/politics/gun-exports-trump.html</w:t>
      </w:r>
      <w:r>
        <w:t>)//mba-cwk</w:t>
      </w:r>
    </w:p>
    <w:p w:rsidR="00F707AC" w:rsidRPr="00AF4753" w:rsidRDefault="00F707AC" w:rsidP="00F707AC">
      <w:pPr>
        <w:rPr>
          <w:sz w:val="16"/>
        </w:rPr>
      </w:pPr>
      <w:r w:rsidRPr="00AF4753">
        <w:rPr>
          <w:sz w:val="16"/>
        </w:rPr>
        <w:t xml:space="preserve">WASHINGTON — </w:t>
      </w:r>
      <w:r w:rsidRPr="00E54FAF">
        <w:rPr>
          <w:u w:val="single"/>
        </w:rPr>
        <w:t xml:space="preserve">American gun manufacturers and their allies have pressed </w:t>
      </w:r>
      <w:r w:rsidRPr="00EA1F5C">
        <w:rPr>
          <w:u w:val="single"/>
        </w:rPr>
        <w:t xml:space="preserve">the </w:t>
      </w:r>
      <w:r w:rsidRPr="00AF4753">
        <w:rPr>
          <w:u w:val="single"/>
        </w:rPr>
        <w:t xml:space="preserve">federal </w:t>
      </w:r>
      <w:r w:rsidRPr="00EA1F5C">
        <w:rPr>
          <w:u w:val="single"/>
        </w:rPr>
        <w:t>government</w:t>
      </w:r>
      <w:r w:rsidRPr="00E54FAF">
        <w:rPr>
          <w:u w:val="single"/>
        </w:rPr>
        <w:t xml:space="preserve"> for years </w:t>
      </w:r>
      <w:r w:rsidRPr="00EA1F5C">
        <w:rPr>
          <w:u w:val="single"/>
        </w:rPr>
        <w:t>to change the way it regulates small-arms exports</w:t>
      </w:r>
      <w:r w:rsidRPr="00E54FAF">
        <w:rPr>
          <w:u w:val="single"/>
        </w:rPr>
        <w:t xml:space="preserve"> in an effort </w:t>
      </w:r>
      <w:r w:rsidRPr="00EA1F5C">
        <w:rPr>
          <w:u w:val="single"/>
        </w:rPr>
        <w:t>to ease restrictions</w:t>
      </w:r>
      <w:r w:rsidRPr="00E54FAF">
        <w:rPr>
          <w:u w:val="single"/>
        </w:rPr>
        <w:t xml:space="preserve">, boost gun sales abroad and lower costs at home. The </w:t>
      </w:r>
      <w:r w:rsidRPr="00EA1F5C">
        <w:rPr>
          <w:u w:val="single"/>
        </w:rPr>
        <w:t>Trump</w:t>
      </w:r>
      <w:r w:rsidRPr="00E54FAF">
        <w:rPr>
          <w:u w:val="single"/>
        </w:rPr>
        <w:t xml:space="preserve"> administration appears to be </w:t>
      </w:r>
      <w:r w:rsidRPr="00EA1F5C">
        <w:rPr>
          <w:u w:val="single"/>
        </w:rPr>
        <w:t>on the brink of delivering</w:t>
      </w:r>
      <w:r w:rsidRPr="00E54FAF">
        <w:rPr>
          <w:u w:val="single"/>
        </w:rPr>
        <w:t>.</w:t>
      </w:r>
      <w:r>
        <w:rPr>
          <w:u w:val="single"/>
        </w:rPr>
        <w:t xml:space="preserve"> </w:t>
      </w:r>
      <w:r w:rsidRPr="00AF4753">
        <w:rPr>
          <w:sz w:val="16"/>
        </w:rPr>
        <w:t xml:space="preserve">Officials from </w:t>
      </w:r>
      <w:r w:rsidRPr="00E94926">
        <w:rPr>
          <w:u w:val="single"/>
        </w:rPr>
        <w:t xml:space="preserve">the </w:t>
      </w:r>
      <w:r w:rsidRPr="00EA1F5C">
        <w:rPr>
          <w:u w:val="single"/>
        </w:rPr>
        <w:t>State and Commerce Departments</w:t>
      </w:r>
      <w:r w:rsidRPr="00AF4753">
        <w:rPr>
          <w:sz w:val="16"/>
        </w:rPr>
        <w:t xml:space="preserve"> — the two entities tasked with regulating arms sales internationally — privately told Congress this week that they </w:t>
      </w:r>
      <w:r w:rsidRPr="00E94926">
        <w:rPr>
          <w:u w:val="single"/>
        </w:rPr>
        <w:t>intend to finalize rules</w:t>
      </w:r>
      <w:r w:rsidRPr="00AF4753">
        <w:rPr>
          <w:sz w:val="16"/>
        </w:rPr>
        <w:t xml:space="preserve"> next week </w:t>
      </w:r>
      <w:r w:rsidRPr="00E94926">
        <w:rPr>
          <w:u w:val="single"/>
        </w:rPr>
        <w:t xml:space="preserve">that </w:t>
      </w:r>
      <w:r w:rsidRPr="00EA1F5C">
        <w:rPr>
          <w:u w:val="single"/>
        </w:rPr>
        <w:t>would shuffle which agency oversees most consumer gun exports, relaxing export regulations</w:t>
      </w:r>
      <w:r w:rsidRPr="00E94926">
        <w:rPr>
          <w:u w:val="single"/>
        </w:rPr>
        <w:t xml:space="preserve"> </w:t>
      </w:r>
      <w:r w:rsidRPr="00EA1F5C">
        <w:rPr>
          <w:u w:val="single"/>
        </w:rPr>
        <w:t>and oversight</w:t>
      </w:r>
      <w:r w:rsidRPr="00E94926">
        <w:rPr>
          <w:u w:val="single"/>
        </w:rPr>
        <w:t>, according to congressional aides familiar with the plans</w:t>
      </w:r>
      <w:r w:rsidRPr="00AF4753">
        <w:rPr>
          <w:sz w:val="16"/>
        </w:rPr>
        <w:t xml:space="preserve">. Once Congress receives formal notification of the rule change, lawmakers will have 30 days to decide whether to intervene or let the new rules take effect. Under the changes, many American </w:t>
      </w:r>
      <w:r w:rsidRPr="00E94926">
        <w:rPr>
          <w:u w:val="single"/>
        </w:rPr>
        <w:t xml:space="preserve">gun and ammunition </w:t>
      </w:r>
      <w:r w:rsidRPr="00EA1F5C">
        <w:rPr>
          <w:u w:val="single"/>
        </w:rPr>
        <w:t>manufacturers</w:t>
      </w:r>
      <w:r w:rsidRPr="00E94926">
        <w:rPr>
          <w:u w:val="single"/>
        </w:rPr>
        <w:t xml:space="preserve"> that sell primarily to consumers </w:t>
      </w:r>
      <w:r w:rsidRPr="00EA1F5C">
        <w:rPr>
          <w:u w:val="single"/>
        </w:rPr>
        <w:t>would no longer be required to register with the State Department</w:t>
      </w:r>
      <w:r w:rsidRPr="00E94926">
        <w:rPr>
          <w:u w:val="single"/>
        </w:rPr>
        <w:t xml:space="preserve">, which currently licenses international arms sales, or to pay the department an annual fee. Instead, </w:t>
      </w:r>
      <w:r w:rsidRPr="00EA1F5C">
        <w:rPr>
          <w:u w:val="single"/>
        </w:rPr>
        <w:t>those sales would be licensed by the Commerce Department</w:t>
      </w:r>
      <w:r w:rsidRPr="00E94926">
        <w:rPr>
          <w:u w:val="single"/>
        </w:rPr>
        <w:t>, which has a simpler process and does not charge a fee.</w:t>
      </w:r>
      <w:r>
        <w:rPr>
          <w:u w:val="single"/>
        </w:rPr>
        <w:t xml:space="preserve"> </w:t>
      </w:r>
      <w:r w:rsidRPr="00AF4753">
        <w:rPr>
          <w:sz w:val="16"/>
        </w:rPr>
        <w:t xml:space="preserve">The changes are almost certain to provoke resistance from some Democratic lawmakers, who fear that lighter regulation will lead to a proliferation of American guns, including AR-15s and similar semiautomatic rifles frequently used in mass shootings, around the world and exacerbate illegal arms trafficking. Senator Robert Menendez of New Jersey, the top Democrat on the Senate Foreign Relations Committee, has such strong concerns that he plans to place a hold on the new rule — a step that his staff believes could effectively bar it being carried out for a period of time to allow for negotiations over his objections. But </w:t>
      </w:r>
      <w:r w:rsidRPr="00EA1F5C">
        <w:rPr>
          <w:u w:val="single"/>
        </w:rPr>
        <w:t>blocking the changes</w:t>
      </w:r>
      <w:r w:rsidRPr="00E94926">
        <w:rPr>
          <w:u w:val="single"/>
        </w:rPr>
        <w:t xml:space="preserve"> permanently </w:t>
      </w:r>
      <w:r w:rsidRPr="00EA1F5C">
        <w:rPr>
          <w:u w:val="single"/>
        </w:rPr>
        <w:t>would be exceedingly difficult</w:t>
      </w:r>
      <w:r w:rsidRPr="00EA1F5C">
        <w:rPr>
          <w:sz w:val="16"/>
        </w:rPr>
        <w:t xml:space="preserve">. </w:t>
      </w:r>
      <w:r w:rsidRPr="00EA1F5C">
        <w:rPr>
          <w:u w:val="single"/>
        </w:rPr>
        <w:t>It would require</w:t>
      </w:r>
      <w:r w:rsidRPr="00E94926">
        <w:rPr>
          <w:u w:val="single"/>
        </w:rPr>
        <w:t xml:space="preserve"> an act of Congress and, therefore, the </w:t>
      </w:r>
      <w:r w:rsidRPr="00EA1F5C">
        <w:rPr>
          <w:u w:val="single"/>
        </w:rPr>
        <w:t>overwhelming support of congressional Republicans</w:t>
      </w:r>
      <w:r w:rsidRPr="00E94926">
        <w:rPr>
          <w:u w:val="single"/>
        </w:rPr>
        <w:t>, who generally back changes that will lessen regulations on businesses, especially gun manufacturers.</w:t>
      </w:r>
      <w:r>
        <w:rPr>
          <w:u w:val="single"/>
        </w:rPr>
        <w:t xml:space="preserve"> </w:t>
      </w:r>
      <w:r w:rsidRPr="00AF4753">
        <w:rPr>
          <w:sz w:val="16"/>
        </w:rPr>
        <w:t xml:space="preserve">Though many liberal lawmakers now oppose the plan, the push to streamline government controls on American arms exports began under President Barack Obama to promote export opportunities for American companies and refocus regulatory attention on sales that could pose national security risks. The rule to move commercial gun export licenses to the Commerce Department was nearly complete when a gunman opened fire at Sandy Hook Elementary School in Newtown, Conn., in late 2012, killing 26 people, most of them children. Though the proposal was not related to domestic gun control, Mr. Obama’s administration delayed the rule-making process and never reopened it. Mr. Trump’s campaign to pare back federal regulations across the government revived the issue. He formally proposed a rule change virtually identical to Mr. Obama’s last May and has subsequently incorporated public comments. The meeting between administration and congressional officials this week was meant to draw that process to a close. </w:t>
      </w:r>
      <w:r w:rsidRPr="00EA1F5C">
        <w:rPr>
          <w:u w:val="single"/>
        </w:rPr>
        <w:t>Among</w:t>
      </w:r>
      <w:r w:rsidRPr="00AF4753">
        <w:rPr>
          <w:u w:val="single"/>
        </w:rPr>
        <w:t xml:space="preserve"> </w:t>
      </w:r>
      <w:r w:rsidRPr="00EA1F5C">
        <w:rPr>
          <w:u w:val="single"/>
        </w:rPr>
        <w:t>the items being transferred</w:t>
      </w:r>
      <w:r w:rsidRPr="00AF4753">
        <w:rPr>
          <w:u w:val="single"/>
        </w:rPr>
        <w:t xml:space="preserve"> to the Commerce Department’s jurisdiction </w:t>
      </w:r>
      <w:r w:rsidRPr="00EA1F5C">
        <w:rPr>
          <w:u w:val="single"/>
        </w:rPr>
        <w:t>are semiautomatic and single-shot firearms</w:t>
      </w:r>
      <w:r w:rsidRPr="00AF4753">
        <w:rPr>
          <w:u w:val="single"/>
        </w:rPr>
        <w:t>, as well as a range of parts and components. The State Department will continue to license sales of items that serve “a critical military advantage or perform an inherently military function,” including automatic weapons.</w:t>
      </w:r>
      <w:r>
        <w:rPr>
          <w:u w:val="single"/>
        </w:rPr>
        <w:t xml:space="preserve"> </w:t>
      </w:r>
      <w:r w:rsidRPr="00AF4753">
        <w:rPr>
          <w:u w:val="single"/>
        </w:rPr>
        <w:t xml:space="preserve">In moving jurisdiction of certain sales from the State Department to the Commerce Department, </w:t>
      </w:r>
      <w:r w:rsidRPr="00EA1F5C">
        <w:rPr>
          <w:u w:val="single"/>
        </w:rPr>
        <w:t xml:space="preserve">Congress will lose </w:t>
      </w:r>
      <w:r w:rsidRPr="00287FF6">
        <w:rPr>
          <w:u w:val="single"/>
        </w:rPr>
        <w:t xml:space="preserve">an </w:t>
      </w:r>
      <w:r w:rsidRPr="00EA1F5C">
        <w:rPr>
          <w:u w:val="single"/>
        </w:rPr>
        <w:t xml:space="preserve">oversight </w:t>
      </w:r>
      <w:r w:rsidRPr="00287FF6">
        <w:rPr>
          <w:u w:val="single"/>
        </w:rPr>
        <w:t>lever</w:t>
      </w:r>
      <w:r w:rsidRPr="00AF4753">
        <w:rPr>
          <w:u w:val="single"/>
        </w:rPr>
        <w:t xml:space="preserve"> that it covets and has relied on in high-profile cases in the past. Under the Arms Export Control Act, the State Department is required to submit information on any commercial arms sale worth $1 million or more to congressional review. The Commerce Department has no such requirement.</w:t>
      </w:r>
      <w:r>
        <w:rPr>
          <w:u w:val="single"/>
        </w:rPr>
        <w:t xml:space="preserve"> </w:t>
      </w:r>
      <w:r w:rsidRPr="00AF4753">
        <w:rPr>
          <w:sz w:val="16"/>
        </w:rPr>
        <w:t xml:space="preserve">That lack of visibility is high among Mr. Menendez’s concerns. Democrats also believe </w:t>
      </w:r>
      <w:r w:rsidRPr="00EA1F5C">
        <w:rPr>
          <w:u w:val="single"/>
        </w:rPr>
        <w:t>the changes have implications for the proliferation of</w:t>
      </w:r>
      <w:r w:rsidRPr="00AF4753">
        <w:rPr>
          <w:u w:val="single"/>
        </w:rPr>
        <w:t xml:space="preserve"> blueprints for </w:t>
      </w:r>
      <w:r w:rsidRPr="00EA1F5C">
        <w:rPr>
          <w:u w:val="single"/>
        </w:rPr>
        <w:t>3-D printed guns</w:t>
      </w:r>
      <w:r w:rsidRPr="00AF4753">
        <w:rPr>
          <w:u w:val="single"/>
        </w:rPr>
        <w:t xml:space="preserve"> online </w:t>
      </w:r>
      <w:r w:rsidRPr="00AF4753">
        <w:rPr>
          <w:sz w:val="16"/>
        </w:rPr>
        <w:t xml:space="preserve">and could undercut a federal lawsuit brought by several state attorneys general to block such blueprints from being shared online. “I think it’s the beginning of the Trump administration trying to move a series of different sales that are generally considered arms sales into a more commercial category,” Mr. Menendez said in a brief interview on Thursday. “That’s not good.” In the House, where Democrats hold the majority and could conceivably pass a bill to block the change, Representative Eliot L. Engel of New York, the chairman of the House Foreign Affairs Committee, will </w:t>
      </w:r>
      <w:r w:rsidRPr="00AF4753">
        <w:rPr>
          <w:sz w:val="16"/>
        </w:rPr>
        <w:lastRenderedPageBreak/>
        <w:t>most likely hold a hearing on the proposed changes. And at least one House Democrat, Representative Norma J. Torres of California, has introduced legislation in the past to block the proposed shift and keep oversight responsibilities with the State Department. A spokeswoman for Ms. Torres said she planned to reintroduce the measure in the coming days. The changes, the congresswoman wrote last year, “could be a boon for illegal weapons traffickers and their unsavory customers — from ISIS to Mexico’s Sinaloa Cartel.” Proponents say Democrats are being hyperbolic and point out that there were few objections on the left when Mr. Obama proposed his own rule. A State Department official, speaking anonymously to discuss a rule that has not been finalized, stressed that arms transferred to the Commerce Department’s purview will still be subject to strict licensing requirements and a review by multiple American agencies, including the State Department. The official said the changes are meant to prioritize the control of military grade or other arms that pose national security concerns rather than commercial items. The change would also cut costs for businesses. Lawrence Keane of the National Shooting Sports Foundation, one of the leading advocates for the new rules, predicted they would make “American companies more competitive internationally without diminishing national security.” “Why would you not do that?” he added.</w:t>
      </w:r>
    </w:p>
    <w:p w:rsidR="00F707AC" w:rsidRPr="00177AE3" w:rsidRDefault="00F707AC" w:rsidP="00F707AC"/>
    <w:p w:rsidR="00F707AC" w:rsidRDefault="00F707AC" w:rsidP="00F707AC">
      <w:pPr>
        <w:pStyle w:val="Heading4"/>
      </w:pPr>
      <w:r>
        <w:t>S</w:t>
      </w:r>
      <w:r>
        <w:t>mall arms are moving to the CCL to remove Congressional oversight</w:t>
      </w:r>
    </w:p>
    <w:p w:rsidR="00F707AC" w:rsidRPr="00F542C5" w:rsidRDefault="00F707AC" w:rsidP="00F707AC">
      <w:r w:rsidRPr="00F542C5">
        <w:rPr>
          <w:rStyle w:val="Style13ptBold"/>
        </w:rPr>
        <w:t>Chang</w:t>
      </w:r>
      <w:r w:rsidRPr="00F542C5">
        <w:t>, 12-20-20</w:t>
      </w:r>
      <w:r w:rsidRPr="00F542C5">
        <w:rPr>
          <w:rStyle w:val="Style13ptBold"/>
        </w:rPr>
        <w:t>17</w:t>
      </w:r>
      <w:r w:rsidRPr="00F542C5">
        <w:t xml:space="preserve"> – Thomas </w:t>
      </w:r>
      <w:proofErr w:type="spellStart"/>
      <w:r w:rsidRPr="00F542C5">
        <w:t>Buergenthal</w:t>
      </w:r>
      <w:proofErr w:type="spellEnd"/>
      <w:r w:rsidRPr="00F542C5">
        <w:t xml:space="preserve"> Scholar at The George Washington University Law School (“By Weakening Arms Export Controls, Trump’s National Security Strategy Will Create National and Global Insecurity”, https://www.justsecurity.org/49873/weakening-arms-export-controls-trumps-national-security-strategy-create-national-global-insecurity/)//mba-cwk</w:t>
      </w:r>
    </w:p>
    <w:p w:rsidR="00F707AC" w:rsidRDefault="00F707AC" w:rsidP="00F707AC">
      <w:pPr>
        <w:rPr>
          <w:u w:val="single"/>
        </w:rPr>
      </w:pPr>
      <w:r w:rsidRPr="002D682E">
        <w:rPr>
          <w:sz w:val="16"/>
        </w:rPr>
        <w:t xml:space="preserve">The </w:t>
      </w:r>
      <w:r w:rsidRPr="00EA1F5C">
        <w:rPr>
          <w:u w:val="single"/>
        </w:rPr>
        <w:t>Trump</w:t>
      </w:r>
      <w:r w:rsidRPr="002D682E">
        <w:rPr>
          <w:sz w:val="16"/>
        </w:rPr>
        <w:t xml:space="preserve"> </w:t>
      </w:r>
      <w:r w:rsidRPr="002D682E">
        <w:rPr>
          <w:u w:val="single"/>
        </w:rPr>
        <w:t xml:space="preserve">administration’s review of US arms export controls includes </w:t>
      </w:r>
      <w:r w:rsidRPr="00EA1F5C">
        <w:rPr>
          <w:u w:val="single"/>
        </w:rPr>
        <w:t>proposals to weaken</w:t>
      </w:r>
      <w:r w:rsidRPr="002D682E">
        <w:rPr>
          <w:u w:val="single"/>
        </w:rPr>
        <w:t xml:space="preserve"> specific </w:t>
      </w:r>
      <w:r w:rsidRPr="00EA1F5C">
        <w:rPr>
          <w:u w:val="single"/>
        </w:rPr>
        <w:t>export controls over</w:t>
      </w:r>
      <w:r w:rsidRPr="002D682E">
        <w:rPr>
          <w:u w:val="single"/>
        </w:rPr>
        <w:t xml:space="preserve"> a diverse array of weaponry ranging from </w:t>
      </w:r>
      <w:r w:rsidRPr="00EA1F5C">
        <w:rPr>
          <w:u w:val="single"/>
        </w:rPr>
        <w:t>small arms</w:t>
      </w:r>
      <w:r w:rsidRPr="002D682E">
        <w:rPr>
          <w:u w:val="single"/>
        </w:rPr>
        <w:t xml:space="preserve"> to drones. In short, the Trump administration intends to change export regulations </w:t>
      </w:r>
      <w:r w:rsidRPr="00EA1F5C">
        <w:rPr>
          <w:u w:val="single"/>
        </w:rPr>
        <w:t>so that gun manufacturers can export without adequate background checks</w:t>
      </w:r>
      <w:r w:rsidRPr="002D682E">
        <w:rPr>
          <w:u w:val="single"/>
        </w:rPr>
        <w:t xml:space="preserve"> on the countries or security forces purchasing them</w:t>
      </w:r>
      <w:r w:rsidRPr="002D682E">
        <w:rPr>
          <w:sz w:val="16"/>
        </w:rPr>
        <w:t xml:space="preserve">, even as we mourn the victims of gun violence linked to the inadequacy of background checks here in the US It has been reported that the </w:t>
      </w:r>
      <w:r w:rsidRPr="00EA1F5C">
        <w:rPr>
          <w:u w:val="single"/>
        </w:rPr>
        <w:t>Trump</w:t>
      </w:r>
      <w:r w:rsidRPr="002D682E">
        <w:rPr>
          <w:u w:val="single"/>
        </w:rPr>
        <w:t xml:space="preserve"> administration intends </w:t>
      </w:r>
      <w:r w:rsidRPr="00EA1F5C">
        <w:rPr>
          <w:u w:val="single"/>
        </w:rPr>
        <w:t xml:space="preserve">to shift </w:t>
      </w:r>
      <w:r w:rsidRPr="00865D7E">
        <w:rPr>
          <w:u w:val="single"/>
        </w:rPr>
        <w:t xml:space="preserve">some gun and </w:t>
      </w:r>
      <w:r w:rsidRPr="00EA1F5C">
        <w:rPr>
          <w:u w:val="single"/>
        </w:rPr>
        <w:t>small arms sales</w:t>
      </w:r>
      <w:r w:rsidRPr="002D682E">
        <w:rPr>
          <w:u w:val="single"/>
        </w:rPr>
        <w:t xml:space="preserve"> </w:t>
      </w:r>
      <w:r w:rsidRPr="00EA1F5C">
        <w:rPr>
          <w:u w:val="single"/>
        </w:rPr>
        <w:t>from the US</w:t>
      </w:r>
      <w:r w:rsidRPr="002D682E">
        <w:rPr>
          <w:u w:val="single"/>
        </w:rPr>
        <w:t xml:space="preserve"> </w:t>
      </w:r>
      <w:r w:rsidRPr="00EA1F5C">
        <w:rPr>
          <w:u w:val="single"/>
        </w:rPr>
        <w:t>M</w:t>
      </w:r>
      <w:r w:rsidRPr="002D682E">
        <w:rPr>
          <w:u w:val="single"/>
        </w:rPr>
        <w:t xml:space="preserve">unitions </w:t>
      </w:r>
      <w:r w:rsidRPr="00EA1F5C">
        <w:rPr>
          <w:u w:val="single"/>
        </w:rPr>
        <w:t>L</w:t>
      </w:r>
      <w:r w:rsidRPr="002D682E">
        <w:rPr>
          <w:u w:val="single"/>
        </w:rPr>
        <w:t xml:space="preserve">ist </w:t>
      </w:r>
      <w:r w:rsidRPr="00EA1F5C">
        <w:rPr>
          <w:u w:val="single"/>
        </w:rPr>
        <w:t>to the C</w:t>
      </w:r>
      <w:r w:rsidRPr="002D682E">
        <w:rPr>
          <w:u w:val="single"/>
        </w:rPr>
        <w:t xml:space="preserve">ommerce </w:t>
      </w:r>
      <w:r w:rsidRPr="00EA1F5C">
        <w:rPr>
          <w:u w:val="single"/>
        </w:rPr>
        <w:t>C</w:t>
      </w:r>
      <w:r w:rsidRPr="002D682E">
        <w:rPr>
          <w:u w:val="single"/>
        </w:rPr>
        <w:t xml:space="preserve">ontrol </w:t>
      </w:r>
      <w:r w:rsidRPr="00EA1F5C">
        <w:rPr>
          <w:u w:val="single"/>
        </w:rPr>
        <w:t>L</w:t>
      </w:r>
      <w:r w:rsidRPr="002D682E">
        <w:rPr>
          <w:u w:val="single"/>
        </w:rPr>
        <w:t>ist soon, with reports indicating that the administration is close to finalizing proposed new rules</w:t>
      </w:r>
      <w:r w:rsidRPr="002D682E">
        <w:rPr>
          <w:sz w:val="16"/>
        </w:rPr>
        <w:t xml:space="preserve">. Although advocacy and reporting on this proposal have been hindered by a lack of transparency, this has not stopped a small group of dedicated arms control advocates from highlighting that </w:t>
      </w:r>
      <w:r w:rsidRPr="00EA1F5C">
        <w:rPr>
          <w:u w:val="single"/>
        </w:rPr>
        <w:t>the</w:t>
      </w:r>
      <w:r w:rsidRPr="002D682E">
        <w:rPr>
          <w:u w:val="single"/>
        </w:rPr>
        <w:t xml:space="preserve"> anticipated </w:t>
      </w:r>
      <w:r w:rsidRPr="00EA1F5C">
        <w:rPr>
          <w:u w:val="single"/>
        </w:rPr>
        <w:t>changes are likely to remove Congressional notification requirements</w:t>
      </w:r>
      <w:r w:rsidRPr="002D682E">
        <w:rPr>
          <w:u w:val="single"/>
        </w:rPr>
        <w:t xml:space="preserve"> for arms sales, </w:t>
      </w:r>
      <w:r w:rsidRPr="00EA1F5C">
        <w:rPr>
          <w:u w:val="single"/>
        </w:rPr>
        <w:t>remove State Department oversight</w:t>
      </w:r>
      <w:r w:rsidRPr="002D682E">
        <w:rPr>
          <w:u w:val="single"/>
        </w:rPr>
        <w:t xml:space="preserve"> that ensures these exports take into account national security, </w:t>
      </w:r>
      <w:r w:rsidRPr="00EA1F5C">
        <w:rPr>
          <w:u w:val="single"/>
        </w:rPr>
        <w:t xml:space="preserve">foreign policy and human rights considerations, and </w:t>
      </w:r>
      <w:r w:rsidRPr="00865D7E">
        <w:rPr>
          <w:u w:val="single"/>
        </w:rPr>
        <w:t xml:space="preserve">ultimately </w:t>
      </w:r>
      <w:r w:rsidRPr="00EA1F5C">
        <w:rPr>
          <w:u w:val="single"/>
        </w:rPr>
        <w:t>make it</w:t>
      </w:r>
      <w:r w:rsidRPr="002D682E">
        <w:rPr>
          <w:u w:val="single"/>
        </w:rPr>
        <w:t xml:space="preserve"> much </w:t>
      </w:r>
      <w:r w:rsidRPr="00EA1F5C">
        <w:rPr>
          <w:u w:val="single"/>
        </w:rPr>
        <w:t>easier for</w:t>
      </w:r>
      <w:r w:rsidRPr="002D682E">
        <w:rPr>
          <w:u w:val="single"/>
        </w:rPr>
        <w:t xml:space="preserve"> small arms </w:t>
      </w:r>
      <w:r w:rsidRPr="00EA1F5C">
        <w:rPr>
          <w:u w:val="single"/>
        </w:rPr>
        <w:t xml:space="preserve">manufacturers </w:t>
      </w:r>
      <w:r w:rsidRPr="00865D7E">
        <w:rPr>
          <w:u w:val="single"/>
        </w:rPr>
        <w:t>to</w:t>
      </w:r>
      <w:r w:rsidRPr="002D682E">
        <w:rPr>
          <w:u w:val="single"/>
        </w:rPr>
        <w:t xml:space="preserve"> obtain licenses </w:t>
      </w:r>
      <w:r w:rsidRPr="00EA1F5C">
        <w:rPr>
          <w:u w:val="single"/>
        </w:rPr>
        <w:t>to sell abroad, with less accountability</w:t>
      </w:r>
      <w:r w:rsidRPr="002D682E">
        <w:rPr>
          <w:u w:val="single"/>
        </w:rPr>
        <w:t xml:space="preserve"> if the guns end up in the wrong hands.</w:t>
      </w:r>
    </w:p>
    <w:p w:rsidR="0077372C" w:rsidRDefault="0077372C" w:rsidP="0077372C"/>
    <w:p w:rsidR="00F707AC" w:rsidRDefault="00F707AC" w:rsidP="00F707AC">
      <w:pPr>
        <w:pStyle w:val="Heading4"/>
      </w:pPr>
      <w:r>
        <w:t>P</w:t>
      </w:r>
      <w:r>
        <w:t>roposed deregulations of arms exports make human rights abuses much harder to counter</w:t>
      </w:r>
    </w:p>
    <w:p w:rsidR="00F707AC" w:rsidRDefault="00F707AC" w:rsidP="00F707AC">
      <w:r w:rsidRPr="000254BE">
        <w:rPr>
          <w:rStyle w:val="Style13ptBold"/>
        </w:rPr>
        <w:t>Hartung</w:t>
      </w:r>
      <w:r>
        <w:t>, 7-15-20</w:t>
      </w:r>
      <w:r w:rsidRPr="000254BE">
        <w:rPr>
          <w:rStyle w:val="Style13ptBold"/>
        </w:rPr>
        <w:t>18</w:t>
      </w:r>
      <w:r>
        <w:t xml:space="preserve"> – William, director of the Arms and Security Project at the Center for International Policy (“Trump’s arms export rules will undermine US security and risk human rights abuses”, </w:t>
      </w:r>
      <w:hyperlink r:id="rId26" w:history="1">
        <w:r w:rsidRPr="00F05FE4">
          <w:rPr>
            <w:rStyle w:val="Hyperlink"/>
          </w:rPr>
          <w:t>https://thehill.com/opinion/international/397096-trumps-arms-export-rules-will-undermine-us-security-promote-human)//mba-cwk</w:t>
        </w:r>
      </w:hyperlink>
    </w:p>
    <w:p w:rsidR="00F707AC" w:rsidRPr="00705736" w:rsidRDefault="00F707AC" w:rsidP="00F707AC">
      <w:pPr>
        <w:rPr>
          <w:sz w:val="16"/>
        </w:rPr>
      </w:pPr>
      <w:r w:rsidRPr="00705736">
        <w:rPr>
          <w:sz w:val="16"/>
        </w:rPr>
        <w:t xml:space="preserve">This was the last week for public comments on the Trump administration’s plan to reduce restrictions on the export of firearms from the United States. There was much to criticize. A number of </w:t>
      </w:r>
      <w:proofErr w:type="gramStart"/>
      <w:r w:rsidRPr="00705736">
        <w:rPr>
          <w:sz w:val="16"/>
        </w:rPr>
        <w:t>arms control</w:t>
      </w:r>
      <w:proofErr w:type="gramEnd"/>
      <w:r w:rsidRPr="00705736">
        <w:rPr>
          <w:sz w:val="16"/>
        </w:rPr>
        <w:t xml:space="preserve">, human rights, and firearms safety groups have submitted detailed critiques of the proposed firearms export rule. As Reps. Sander Levin (D-Mich.), Eliot Engel (D-N.Y.), James McGovern (D-Mass.), Norma Torres (D-Calif.) and Jamie </w:t>
      </w:r>
      <w:proofErr w:type="spellStart"/>
      <w:r w:rsidRPr="00705736">
        <w:rPr>
          <w:sz w:val="16"/>
        </w:rPr>
        <w:t>Raskin</w:t>
      </w:r>
      <w:proofErr w:type="spellEnd"/>
      <w:r w:rsidRPr="00705736">
        <w:rPr>
          <w:sz w:val="16"/>
        </w:rPr>
        <w:t xml:space="preserve"> (D-Md.) noted in a recent letter </w:t>
      </w:r>
      <w:r w:rsidRPr="000D42B4">
        <w:rPr>
          <w:u w:val="single"/>
        </w:rPr>
        <w:t xml:space="preserve">to Secretary of State Mike Pompeo and Secretary of Commerce Wilbur Ross it would be a mistake to move regulation of dangerous </w:t>
      </w:r>
      <w:r w:rsidRPr="000D42B4">
        <w:rPr>
          <w:u w:val="single"/>
        </w:rPr>
        <w:lastRenderedPageBreak/>
        <w:t>firearms from the State Department to the less restrictive Department of Commerce.</w:t>
      </w:r>
      <w:r w:rsidRPr="00705736">
        <w:rPr>
          <w:sz w:val="16"/>
        </w:rPr>
        <w:t xml:space="preserve"> The lawmakers warned </w:t>
      </w:r>
      <w:r w:rsidRPr="000D42B4">
        <w:rPr>
          <w:u w:val="single"/>
        </w:rPr>
        <w:t>the Trump plan as proposed would make it more likely that weapons of U.S. origin “will end up in the hands of traffickers, terrorists, and cartels.” The new rule may be good news for the firearms industry, but it is bad news for anyone who is concerned about human rights and global security.</w:t>
      </w:r>
      <w:r>
        <w:rPr>
          <w:u w:val="single"/>
        </w:rPr>
        <w:t xml:space="preserve"> </w:t>
      </w:r>
      <w:r w:rsidRPr="000D42B4">
        <w:rPr>
          <w:u w:val="single"/>
        </w:rPr>
        <w:t>One major flaw in the new plan is that it would eliminate notifications to Congress of exports of firearms and related equipment worth $1 million or more</w:t>
      </w:r>
      <w:r w:rsidRPr="00705736">
        <w:rPr>
          <w:sz w:val="16"/>
        </w:rPr>
        <w:t xml:space="preserve">. </w:t>
      </w:r>
      <w:r w:rsidRPr="000D42B4">
        <w:rPr>
          <w:u w:val="single"/>
        </w:rPr>
        <w:t>Statistics gathered by the Security Assistance Monitor have documented that the State Department approved $662 million worth of firearms exports to 15 countries in 2017, including to places like Mexico, Honduras, El Salvador, the Philippines, the United Arab Emirates and Turkey where there is a risk that these weapons will be used to abuse human rights, fall into the hands of criminal gangs, or fuel devastating conflicts like the Saudi/UAE-led intervention in Yemen. Absent notification, Congress and the public would have little ability to debate, much less block, any of these problematic exports.</w:t>
      </w:r>
      <w:r>
        <w:rPr>
          <w:u w:val="single"/>
        </w:rPr>
        <w:t xml:space="preserve"> </w:t>
      </w:r>
      <w:r w:rsidRPr="00705736">
        <w:rPr>
          <w:sz w:val="16"/>
        </w:rPr>
        <w:t xml:space="preserve">The administration rule has tried to obscure the true danger of its approach by suggesting that the bulk of the guns that are being removed from State Department oversight and licensing are commercially available. For many of the firearms being deregulated, this claim is dubious. More importantly, many of the guns involved are military-grade, including sniper rifles. Others, like the AR-15, have been used in tragic incidents of gun violence such as the Parkland, Florida school shootings. Finally, in some cases, as with sniper rifles, these weapons could end up being used against U.S. troops involved in overseas operations. The Violence Policy Center has compiled a lengthy list of military firearms and other especially dangerous weapons that would be subjected to far looser restrictions under the proposed administration plan. The firearms slated for deregulation are the primary tools in many of the world’s most deadly </w:t>
      </w:r>
      <w:proofErr w:type="gramStart"/>
      <w:r w:rsidRPr="00705736">
        <w:rPr>
          <w:sz w:val="16"/>
        </w:rPr>
        <w:t>conflicts, and</w:t>
      </w:r>
      <w:proofErr w:type="gramEnd"/>
      <w:r w:rsidRPr="00705736">
        <w:rPr>
          <w:sz w:val="16"/>
        </w:rPr>
        <w:t xml:space="preserve"> have rightly been described as “slow motion weapons of mass destruction.” They should be subjected to more rigorous scrutiny, not less. In addition, </w:t>
      </w:r>
      <w:r w:rsidRPr="000D42B4">
        <w:rPr>
          <w:u w:val="single"/>
        </w:rPr>
        <w:t>the proposed rule would make it easier for private military contractors like</w:t>
      </w:r>
      <w:r w:rsidRPr="00705736">
        <w:rPr>
          <w:sz w:val="16"/>
        </w:rPr>
        <w:t xml:space="preserve"> the firm formerly known as </w:t>
      </w:r>
      <w:r w:rsidRPr="000D42B4">
        <w:rPr>
          <w:u w:val="single"/>
        </w:rPr>
        <w:t xml:space="preserve">Blackwater to train foreign security forces without a license, even for destinations </w:t>
      </w:r>
      <w:r w:rsidRPr="00705736">
        <w:rPr>
          <w:sz w:val="16"/>
        </w:rPr>
        <w:t>like Libya and China</w:t>
      </w:r>
      <w:r w:rsidRPr="000D42B4">
        <w:rPr>
          <w:u w:val="single"/>
        </w:rPr>
        <w:t xml:space="preserve"> that raise significant security concerns.</w:t>
      </w:r>
      <w:r>
        <w:rPr>
          <w:u w:val="single"/>
        </w:rPr>
        <w:t xml:space="preserve"> </w:t>
      </w:r>
      <w:r w:rsidRPr="000D42B4">
        <w:rPr>
          <w:u w:val="single"/>
        </w:rPr>
        <w:t>In another particularly unwise change, many companies that engage in firearms manufacturing would no longer have to register with the State Department, which will make it much harder to track their activities and prevent illegal sales or exports to security forces or non-state groups that will use the weapons they make to do grievous harm to civilians.</w:t>
      </w:r>
      <w:r>
        <w:rPr>
          <w:u w:val="single"/>
        </w:rPr>
        <w:t xml:space="preserve"> </w:t>
      </w:r>
      <w:r w:rsidRPr="000D42B4">
        <w:rPr>
          <w:u w:val="single"/>
        </w:rPr>
        <w:t>This relaxation of the monitoring of manufacturing activities will apparently extend to open source 3-D printing, meaning that anyone could post non-proprietary instructions for to use this process to produce untraceable hand guns and semi-automatic firearms without have to register with State or seek an export license from Commerce.</w:t>
      </w:r>
      <w:r>
        <w:rPr>
          <w:u w:val="single"/>
        </w:rPr>
        <w:t xml:space="preserve"> </w:t>
      </w:r>
      <w:r w:rsidRPr="00705736">
        <w:rPr>
          <w:sz w:val="16"/>
        </w:rPr>
        <w:t xml:space="preserve">This will be an invitation to arms proliferation on a scale not yet seen. Congress should address the 3-D printing issue alongside efforts to block the Trump administration’s proposed changes in firearms export regulations. </w:t>
      </w:r>
      <w:r w:rsidRPr="00705736">
        <w:rPr>
          <w:u w:val="single"/>
        </w:rPr>
        <w:t>The proposal would also lift the obligation of U.S. arms exporting firms to report political contributions to foreign officials and fees paid to marketing agents in potential recipient countries. This would seriously hinder U.S. law enforcement agencies’ ability to root out corruption and illegal transfers, which have long plagued the global trade in small arms and light weapons.</w:t>
      </w:r>
      <w:r w:rsidRPr="00705736">
        <w:rPr>
          <w:sz w:val="16"/>
        </w:rPr>
        <w:t xml:space="preserve"> Last but certainly not least, </w:t>
      </w:r>
      <w:r w:rsidRPr="00705736">
        <w:rPr>
          <w:u w:val="single"/>
        </w:rPr>
        <w:t>taking</w:t>
      </w:r>
      <w:r w:rsidRPr="00705736">
        <w:rPr>
          <w:sz w:val="16"/>
        </w:rPr>
        <w:t xml:space="preserve"> dangerous </w:t>
      </w:r>
      <w:r w:rsidRPr="00705736">
        <w:rPr>
          <w:u w:val="single"/>
        </w:rPr>
        <w:t>firearms off of the U.S. M</w:t>
      </w:r>
      <w:r w:rsidRPr="00705736">
        <w:rPr>
          <w:sz w:val="16"/>
        </w:rPr>
        <w:t xml:space="preserve">unitions </w:t>
      </w:r>
      <w:r w:rsidRPr="00705736">
        <w:rPr>
          <w:u w:val="single"/>
        </w:rPr>
        <w:t>L</w:t>
      </w:r>
      <w:r w:rsidRPr="00705736">
        <w:rPr>
          <w:sz w:val="16"/>
        </w:rPr>
        <w:t xml:space="preserve">ist, </w:t>
      </w:r>
      <w:r w:rsidRPr="00705736">
        <w:rPr>
          <w:u w:val="single"/>
        </w:rPr>
        <w:t>as the new proposal would do, would mean that they are no longer described as “defense articles.” As a result, they would likely fall outside the jurisdiction of a web of carefully constructed laws that impose specific human rights criteria on the export of such weapons.</w:t>
      </w:r>
      <w:r>
        <w:rPr>
          <w:u w:val="single"/>
        </w:rPr>
        <w:t xml:space="preserve"> </w:t>
      </w:r>
      <w:r w:rsidRPr="00705736">
        <w:rPr>
          <w:sz w:val="16"/>
        </w:rPr>
        <w:t>The concerns outlined here underscore the risks inherent in the Trump administration’s firearms deregulation scheme. The bottom line is that implementing these rules as written would lead to additional unnecessary deaths, bolster repressive regimes, and make it easier for terrorists and criminal gangs to inflict violence on innocent individuals. For all of these reasons, the new rule should be rejected. At a minimum, Congress should move to restore the most important elements of the current regulatory scheme, including notification of major firearms exports and limits on the deregulation of military-grade firearms and guns most likely to be used in mass killings.</w:t>
      </w:r>
    </w:p>
    <w:p w:rsidR="0077372C" w:rsidRPr="0077372C" w:rsidRDefault="0077372C" w:rsidP="0077372C"/>
    <w:p w:rsidR="00CD4145" w:rsidRDefault="00CD4145" w:rsidP="00CD4145">
      <w:pPr>
        <w:pStyle w:val="Heading2"/>
      </w:pPr>
      <w:r>
        <w:lastRenderedPageBreak/>
        <w:t>**AT: Topicality**</w:t>
      </w:r>
    </w:p>
    <w:p w:rsidR="00E22E79" w:rsidRDefault="00E22E79" w:rsidP="00E22E79">
      <w:pPr>
        <w:pStyle w:val="Heading3"/>
      </w:pPr>
      <w:r>
        <w:lastRenderedPageBreak/>
        <w:t>Small Arms</w:t>
      </w:r>
    </w:p>
    <w:p w:rsidR="00E22E79" w:rsidRDefault="00E22E79" w:rsidP="00E22E79">
      <w:pPr>
        <w:pStyle w:val="Heading4"/>
      </w:pPr>
      <w:r>
        <w:t>Small arms are arms assigned to and operated by an individual</w:t>
      </w:r>
    </w:p>
    <w:p w:rsidR="00E22E79" w:rsidRDefault="00E22E79" w:rsidP="00E22E79">
      <w:r w:rsidRPr="00CD638F">
        <w:rPr>
          <w:rStyle w:val="Style13ptBold"/>
        </w:rPr>
        <w:t>NDAA</w:t>
      </w:r>
      <w:r>
        <w:rPr>
          <w:rStyle w:val="Style13ptBold"/>
        </w:rPr>
        <w:t xml:space="preserve"> 13</w:t>
      </w:r>
      <w:r>
        <w:t xml:space="preserve"> (“National Defense Authorization Act </w:t>
      </w:r>
      <w:proofErr w:type="gramStart"/>
      <w:r>
        <w:t>For</w:t>
      </w:r>
      <w:proofErr w:type="gramEnd"/>
      <w:r>
        <w:t xml:space="preserve"> Fiscal Year 2013,” 112</w:t>
      </w:r>
      <w:r w:rsidRPr="00CD638F">
        <w:rPr>
          <w:vertAlign w:val="superscript"/>
        </w:rPr>
        <w:t>th</w:t>
      </w:r>
      <w:r>
        <w:t xml:space="preserve"> Congress, Public Law No: 112-239, 1-2-2013)//</w:t>
      </w:r>
      <w:proofErr w:type="spellStart"/>
      <w:r>
        <w:t>Bennerz</w:t>
      </w:r>
      <w:proofErr w:type="spellEnd"/>
    </w:p>
    <w:p w:rsidR="00E22E79" w:rsidRPr="00CD638F" w:rsidRDefault="00E22E79" w:rsidP="00E22E79">
      <w:pPr>
        <w:rPr>
          <w:rStyle w:val="StyleUnderline"/>
        </w:rPr>
      </w:pPr>
      <w:r w:rsidRPr="00CD638F">
        <w:t xml:space="preserve"> (c) </w:t>
      </w:r>
      <w:r w:rsidRPr="00CD638F">
        <w:rPr>
          <w:rStyle w:val="StyleUnderline"/>
        </w:rPr>
        <w:t xml:space="preserve">Small Arms </w:t>
      </w:r>
      <w:proofErr w:type="gramStart"/>
      <w:r w:rsidRPr="00CD638F">
        <w:rPr>
          <w:rStyle w:val="StyleUnderline"/>
        </w:rPr>
        <w:t>Defined</w:t>
      </w:r>
      <w:r w:rsidRPr="00CD638F">
        <w:t>.--</w:t>
      </w:r>
      <w:proofErr w:type="gramEnd"/>
      <w:r w:rsidRPr="00CD638F">
        <w:t xml:space="preserve">In this section, </w:t>
      </w:r>
      <w:r w:rsidRPr="00CD638F">
        <w:rPr>
          <w:rStyle w:val="StyleUnderline"/>
        </w:rPr>
        <w:t>the term “small arms" means weapons assigned to and operated by an individual member of the Armed Forces</w:t>
      </w:r>
      <w:r w:rsidRPr="00CD638F">
        <w:t xml:space="preserve">, </w:t>
      </w:r>
      <w:r w:rsidRPr="00CD638F">
        <w:rPr>
          <w:rStyle w:val="StyleUnderline"/>
        </w:rPr>
        <w:t>including handguns, rifles and carbines (including sniper and designated marksman weapons), sub-machine guns, and light-machine guns.</w:t>
      </w:r>
    </w:p>
    <w:p w:rsidR="00E22E79" w:rsidRDefault="00E22E79" w:rsidP="00E22E79"/>
    <w:p w:rsidR="00E22E79" w:rsidRDefault="00E22E79" w:rsidP="00E22E79">
      <w:pPr>
        <w:pStyle w:val="Heading4"/>
        <w:rPr>
          <w:rStyle w:val="Style13ptBold"/>
        </w:rPr>
      </w:pPr>
      <w:r>
        <w:t>Small arms are anything less than .60 caliber</w:t>
      </w:r>
    </w:p>
    <w:p w:rsidR="00E22E79" w:rsidRDefault="00E22E79" w:rsidP="00E22E79">
      <w:r w:rsidRPr="00480DE6">
        <w:rPr>
          <w:rStyle w:val="Style13ptBold"/>
        </w:rPr>
        <w:t>US Navy CSCS 10</w:t>
      </w:r>
      <w:r>
        <w:t xml:space="preserve"> (US Navy Center for Surface Combat Systems. “Gunner’s Mate,” Unclassified Nonresident Training Course, US Navy Center for Surface Combat Systems, NAVEDTRA 14324A, </w:t>
      </w:r>
      <w:proofErr w:type="gramStart"/>
      <w:r>
        <w:t>November,</w:t>
      </w:r>
      <w:proofErr w:type="gramEnd"/>
      <w:r>
        <w:t xml:space="preserve"> 2010)//</w:t>
      </w:r>
      <w:proofErr w:type="spellStart"/>
      <w:r>
        <w:t>Bennerz</w:t>
      </w:r>
      <w:proofErr w:type="spellEnd"/>
    </w:p>
    <w:p w:rsidR="00E22E79" w:rsidRPr="00124820" w:rsidRDefault="00E22E79" w:rsidP="00E22E79">
      <w:pPr>
        <w:rPr>
          <w:sz w:val="16"/>
        </w:rPr>
      </w:pPr>
      <w:r w:rsidRPr="00480DE6">
        <w:rPr>
          <w:rStyle w:val="StyleUnderline"/>
        </w:rPr>
        <w:t>Strictly</w:t>
      </w:r>
      <w:r w:rsidRPr="006B5724">
        <w:rPr>
          <w:rStyle w:val="StyleUnderline"/>
        </w:rPr>
        <w:t xml:space="preserve"> defined, the term small arms </w:t>
      </w:r>
      <w:proofErr w:type="gramStart"/>
      <w:r w:rsidRPr="006B5724">
        <w:rPr>
          <w:rStyle w:val="StyleUnderline"/>
        </w:rPr>
        <w:t>means</w:t>
      </w:r>
      <w:proofErr w:type="gramEnd"/>
      <w:r w:rsidRPr="006B5724">
        <w:rPr>
          <w:rStyle w:val="StyleUnderline"/>
        </w:rPr>
        <w:t xml:space="preserve"> any firearm with a caliber</w:t>
      </w:r>
      <w:r w:rsidRPr="00124820">
        <w:rPr>
          <w:sz w:val="16"/>
        </w:rPr>
        <w:t xml:space="preserve"> (cal.) </w:t>
      </w:r>
      <w:r w:rsidRPr="006B5724">
        <w:rPr>
          <w:rStyle w:val="StyleUnderline"/>
        </w:rPr>
        <w:t>of.60 inch or smaller and all shotguns</w:t>
      </w:r>
      <w:r w:rsidRPr="00124820">
        <w:rPr>
          <w:sz w:val="16"/>
        </w:rPr>
        <w:t xml:space="preserve">. </w:t>
      </w:r>
      <w:r w:rsidRPr="006B5724">
        <w:rPr>
          <w:rStyle w:val="StyleUnderline"/>
        </w:rPr>
        <w:t>Since there are no.60-cal. weapons in the Navy, all pistols, rifles, shotguns, and machine guns up through.50 cal. are small arms</w:t>
      </w:r>
      <w:r w:rsidRPr="00124820">
        <w:rPr>
          <w:sz w:val="16"/>
        </w:rPr>
        <w:t xml:space="preserve">. For maintenance purposes, </w:t>
      </w:r>
      <w:r w:rsidRPr="00480DE6">
        <w:rPr>
          <w:rStyle w:val="StyleUnderline"/>
        </w:rPr>
        <w:t>grenade launchers, mortar and minor caliber weapons have also been included in the category of small arms</w:t>
      </w:r>
      <w:r w:rsidRPr="00124820">
        <w:rPr>
          <w:sz w:val="16"/>
        </w:rPr>
        <w:t>. Such weapons are carried or mounted aboard ship for certain watch standers and members of the ship's internal security force.</w:t>
      </w:r>
    </w:p>
    <w:p w:rsidR="00E22E79" w:rsidRDefault="00E22E79" w:rsidP="00E22E79"/>
    <w:p w:rsidR="00E22E79" w:rsidRPr="00E27212" w:rsidRDefault="00E22E79" w:rsidP="00E22E79">
      <w:pPr>
        <w:pStyle w:val="Heading4"/>
      </w:pPr>
      <w:r w:rsidRPr="00E27212">
        <w:t>Small arms are weapons intended for individual use and light weapons are intended for use by two or more operators</w:t>
      </w:r>
    </w:p>
    <w:p w:rsidR="00E22E79" w:rsidRPr="00DE489E" w:rsidRDefault="00E22E79" w:rsidP="00E22E79">
      <w:r w:rsidRPr="00562F32">
        <w:rPr>
          <w:rStyle w:val="Style13ptBold"/>
        </w:rPr>
        <w:t>Law Explorer 17</w:t>
      </w:r>
      <w:r w:rsidRPr="00562F32">
        <w:t xml:space="preserve"> (Law </w:t>
      </w:r>
      <w:proofErr w:type="gramStart"/>
      <w:r w:rsidRPr="00562F32">
        <w:t>Explorer  "</w:t>
      </w:r>
      <w:proofErr w:type="gramEnd"/>
      <w:r w:rsidRPr="00562F32">
        <w:t>Small Arms and Light Weapons, Inhumane Conventional Weapons, Anti-Personnel Mines, and Cluster Bombs," 4-1-2017, https://lawexplores.com/small-arms-and-light-weapons-inhumane-conventional-weapons-anti-personnel-mines-and-cluster-bombs/)//Bennerz</w:t>
      </w:r>
    </w:p>
    <w:p w:rsidR="00E22E79" w:rsidRPr="00124820" w:rsidRDefault="00E22E79" w:rsidP="00E22E79">
      <w:pPr>
        <w:rPr>
          <w:sz w:val="16"/>
        </w:rPr>
      </w:pPr>
      <w:r w:rsidRPr="00DE489E">
        <w:rPr>
          <w:rStyle w:val="StyleUnderline"/>
        </w:rPr>
        <w:t>Small arms and light weapons</w:t>
      </w:r>
      <w:r w:rsidRPr="00124820">
        <w:rPr>
          <w:sz w:val="16"/>
        </w:rPr>
        <w:t xml:space="preserve"> (SALW)</w:t>
      </w:r>
      <w:r w:rsidRPr="00DE489E">
        <w:rPr>
          <w:rStyle w:val="StyleUnderline"/>
        </w:rPr>
        <w:t xml:space="preserve"> include all firearms</w:t>
      </w:r>
      <w:r w:rsidRPr="00124820">
        <w:rPr>
          <w:sz w:val="16"/>
        </w:rPr>
        <w:t xml:space="preserve"> (</w:t>
      </w:r>
      <w:r w:rsidRPr="00DE489E">
        <w:rPr>
          <w:rStyle w:val="StyleUnderline"/>
        </w:rPr>
        <w:t>and their ammunition</w:t>
      </w:r>
      <w:r w:rsidRPr="00124820">
        <w:rPr>
          <w:sz w:val="16"/>
        </w:rPr>
        <w:t xml:space="preserve">) </w:t>
      </w:r>
      <w:r w:rsidRPr="00DE489E">
        <w:rPr>
          <w:rStyle w:val="StyleUnderline"/>
        </w:rPr>
        <w:t>in the categories of pistols, revolvers, rifles, submachine guns, and light machine guns</w:t>
      </w:r>
      <w:r w:rsidRPr="00124820">
        <w:rPr>
          <w:sz w:val="16"/>
        </w:rPr>
        <w:t xml:space="preserve"> (</w:t>
      </w:r>
      <w:r w:rsidRPr="007D5EFD">
        <w:rPr>
          <w:rStyle w:val="Emphasis"/>
        </w:rPr>
        <w:t>all small arms</w:t>
      </w:r>
      <w:r w:rsidRPr="00124820">
        <w:rPr>
          <w:sz w:val="16"/>
        </w:rPr>
        <w:t xml:space="preserve">), </w:t>
      </w:r>
      <w:r w:rsidRPr="007D5EFD">
        <w:rPr>
          <w:rStyle w:val="StyleUnderline"/>
        </w:rPr>
        <w:t>as well as heavy machine guns, mortars, rocket launchers (portable anti-tank weapons and</w:t>
      </w:r>
      <w:r>
        <w:rPr>
          <w:rStyle w:val="StyleUnderline"/>
        </w:rPr>
        <w:t xml:space="preserve"> </w:t>
      </w:r>
      <w:r w:rsidRPr="007D5EFD">
        <w:rPr>
          <w:rStyle w:val="StyleUnderline"/>
        </w:rPr>
        <w:t>MANPADS</w:t>
      </w:r>
      <w:r>
        <w:rPr>
          <w:rStyle w:val="StyleUnderline"/>
        </w:rPr>
        <w:t xml:space="preserve"> </w:t>
      </w:r>
      <w:r w:rsidRPr="007D5EFD">
        <w:rPr>
          <w:rStyle w:val="StyleUnderline"/>
        </w:rPr>
        <w:t xml:space="preserve">or light anti-aircraft missiles) of less than 100 </w:t>
      </w:r>
      <w:proofErr w:type="spellStart"/>
      <w:r w:rsidRPr="007D5EFD">
        <w:rPr>
          <w:rStyle w:val="StyleUnderline"/>
        </w:rPr>
        <w:t>millimetres</w:t>
      </w:r>
      <w:proofErr w:type="spellEnd"/>
      <w:r w:rsidRPr="007D5EFD">
        <w:rPr>
          <w:rStyle w:val="StyleUnderline"/>
        </w:rPr>
        <w:t xml:space="preserve"> </w:t>
      </w:r>
      <w:proofErr w:type="spellStart"/>
      <w:r w:rsidRPr="007D5EFD">
        <w:rPr>
          <w:rStyle w:val="StyleUnderline"/>
        </w:rPr>
        <w:t>calibre</w:t>
      </w:r>
      <w:proofErr w:type="spellEnd"/>
      <w:r w:rsidRPr="007D5EFD">
        <w:rPr>
          <w:rStyle w:val="StyleUnderline"/>
        </w:rPr>
        <w:t>, hand grenades, anti-personnel mines (APM), and cluster munitions (bombs)</w:t>
      </w:r>
      <w:r w:rsidRPr="00124820">
        <w:rPr>
          <w:sz w:val="16"/>
        </w:rPr>
        <w:t xml:space="preserve"> (</w:t>
      </w:r>
      <w:r w:rsidRPr="007D5EFD">
        <w:rPr>
          <w:rStyle w:val="Emphasis"/>
        </w:rPr>
        <w:t>all light weapons</w:t>
      </w:r>
      <w:r w:rsidRPr="00124820">
        <w:rPr>
          <w:sz w:val="16"/>
        </w:rPr>
        <w:t>).</w:t>
      </w:r>
      <w:hyperlink r:id="rId27" w:anchor="ch12en1" w:history="1">
        <w:r w:rsidRPr="00124820">
          <w:rPr>
            <w:rStyle w:val="Hyperlink"/>
            <w:sz w:val="16"/>
          </w:rPr>
          <w:t>1</w:t>
        </w:r>
      </w:hyperlink>
      <w:r w:rsidRPr="00124820">
        <w:rPr>
          <w:sz w:val="16"/>
        </w:rPr>
        <w:t xml:space="preserve"> </w:t>
      </w:r>
      <w:r w:rsidRPr="007D5EFD">
        <w:rPr>
          <w:rStyle w:val="StyleUnderline"/>
        </w:rPr>
        <w:t>There is no universally agreed definition of small arms or light weapons</w:t>
      </w:r>
      <w:r w:rsidRPr="00124820">
        <w:rPr>
          <w:sz w:val="16"/>
        </w:rPr>
        <w:t xml:space="preserve">. </w:t>
      </w:r>
      <w:r w:rsidRPr="007D5EFD">
        <w:rPr>
          <w:rStyle w:val="Emphasis"/>
        </w:rPr>
        <w:t>But</w:t>
      </w:r>
      <w:r w:rsidRPr="007D5EFD">
        <w:rPr>
          <w:rStyle w:val="StyleUnderline"/>
        </w:rPr>
        <w:t xml:space="preserve"> it is widely recognized that both categories of weapons include both the weapons used by the military, security forces, and police, and the weapons that are commercially available</w:t>
      </w:r>
      <w:r w:rsidRPr="00124820">
        <w:rPr>
          <w:sz w:val="16"/>
        </w:rPr>
        <w:t xml:space="preserve"> in gun shops and purchased by civilians for personal protection or hunting. Small arms and light weapons may also be purchased or procured illegally and sold and used by irregular forces, terrorists, and criminal individuals or gangs. At the request of the United Nations General Assembly, the secretary general, assisted by a panel of governmental experts, presented a report on small arms in 1997.</w:t>
      </w:r>
      <w:hyperlink r:id="rId28" w:anchor="ch12en2" w:history="1">
        <w:r w:rsidRPr="00B9702F">
          <w:rPr>
            <w:rStyle w:val="StyleUnderline"/>
          </w:rPr>
          <w:t>2</w:t>
        </w:r>
      </w:hyperlink>
      <w:r>
        <w:rPr>
          <w:rStyle w:val="StyleUnderline"/>
        </w:rPr>
        <w:t xml:space="preserve"> </w:t>
      </w:r>
      <w:r w:rsidRPr="00B9702F">
        <w:rPr>
          <w:rStyle w:val="StyleUnderline"/>
        </w:rPr>
        <w:t xml:space="preserve">The report describes small arms as weapons manufactured for </w:t>
      </w:r>
      <w:r w:rsidRPr="00B9702F">
        <w:rPr>
          <w:rStyle w:val="Emphasis"/>
        </w:rPr>
        <w:t>personal use</w:t>
      </w:r>
      <w:r w:rsidRPr="00124820">
        <w:rPr>
          <w:sz w:val="16"/>
        </w:rPr>
        <w:t xml:space="preserve"> </w:t>
      </w:r>
      <w:r w:rsidRPr="00B9702F">
        <w:rPr>
          <w:rStyle w:val="StyleUnderline"/>
        </w:rPr>
        <w:t>and carried by</w:t>
      </w:r>
      <w:r w:rsidRPr="00B9702F">
        <w:rPr>
          <w:rStyle w:val="Emphasis"/>
        </w:rPr>
        <w:t xml:space="preserve"> one person as opposed to light weapons</w:t>
      </w:r>
      <w:r w:rsidRPr="00124820">
        <w:rPr>
          <w:sz w:val="16"/>
        </w:rPr>
        <w:t xml:space="preserve">, </w:t>
      </w:r>
      <w:r w:rsidRPr="00B9702F">
        <w:rPr>
          <w:rStyle w:val="StyleUnderline"/>
        </w:rPr>
        <w:t xml:space="preserve">which are used and transported by </w:t>
      </w:r>
      <w:r w:rsidRPr="00B9702F">
        <w:rPr>
          <w:rStyle w:val="Emphasis"/>
        </w:rPr>
        <w:t>two or more persons or in a vehicle</w:t>
      </w:r>
      <w:r w:rsidRPr="00124820">
        <w:rPr>
          <w:sz w:val="16"/>
        </w:rPr>
        <w:t xml:space="preserve">. The report concludes that there is a clear correlation between access to weapons and drugs- and arms smuggling and that the crimes and violence that are a result of the </w:t>
      </w:r>
      <w:r w:rsidRPr="00124820">
        <w:rPr>
          <w:sz w:val="16"/>
        </w:rPr>
        <w:lastRenderedPageBreak/>
        <w:t>availability of small arms and light weapons inhibits development projects, economic assistance, and investment in developing countries.</w:t>
      </w:r>
    </w:p>
    <w:p w:rsidR="00E22E79" w:rsidRDefault="00E22E79" w:rsidP="00E22E79"/>
    <w:p w:rsidR="00E22E79" w:rsidRDefault="00E22E79" w:rsidP="00E22E79">
      <w:pPr>
        <w:pStyle w:val="Heading4"/>
      </w:pPr>
      <w:r>
        <w:t>There’s no universally accepted definition of SALW- here’s a laundry list of weapons it includes</w:t>
      </w:r>
    </w:p>
    <w:p w:rsidR="00E22E79" w:rsidRDefault="00E22E79" w:rsidP="00E22E79">
      <w:r w:rsidRPr="00E47C25">
        <w:rPr>
          <w:rStyle w:val="Style13ptBold"/>
        </w:rPr>
        <w:t xml:space="preserve">SAS </w:t>
      </w:r>
      <w:r>
        <w:rPr>
          <w:rStyle w:val="Style13ptBold"/>
        </w:rPr>
        <w:t>ND</w:t>
      </w:r>
      <w:r>
        <w:t xml:space="preserve"> (Small Arms Survey  "Definitions," Small Arms Survey, No date, </w:t>
      </w:r>
      <w:hyperlink r:id="rId29" w:history="1">
        <w:r w:rsidRPr="0006147C">
          <w:rPr>
            <w:rStyle w:val="Hyperlink"/>
          </w:rPr>
          <w:t>http://www.smallarmssurvey.org/weapons-and-markets/definitions.html)//Bennerz</w:t>
        </w:r>
      </w:hyperlink>
    </w:p>
    <w:p w:rsidR="00E22E79" w:rsidRPr="00E22E79" w:rsidRDefault="00E22E79" w:rsidP="00E22E79">
      <w:pPr>
        <w:rPr>
          <w:sz w:val="16"/>
        </w:rPr>
      </w:pPr>
      <w:r w:rsidRPr="00A906DD">
        <w:rPr>
          <w:rStyle w:val="StyleUnderline"/>
        </w:rPr>
        <w:t>There is no universally accepted definition of a 'small arm' or of a 'light weapon'.</w:t>
      </w:r>
      <w:r w:rsidRPr="00E22E79">
        <w:rPr>
          <w:sz w:val="16"/>
        </w:rPr>
        <w:t xml:space="preserve"> </w:t>
      </w:r>
      <w:r w:rsidRPr="00A906DD">
        <w:rPr>
          <w:rStyle w:val="StyleUnderline"/>
        </w:rPr>
        <w:t>The Small Arms Survey largely adopts the proposal put forward by the 1997 UN Panel of Governmental Expert</w:t>
      </w:r>
      <w:r w:rsidRPr="00E22E79">
        <w:rPr>
          <w:sz w:val="16"/>
        </w:rPr>
        <w:t xml:space="preserve"> (available on www.un.org) </w:t>
      </w:r>
      <w:r w:rsidRPr="00591B71">
        <w:rPr>
          <w:rStyle w:val="StyleUnderline"/>
        </w:rPr>
        <w:t xml:space="preserve">which considers </w:t>
      </w:r>
      <w:r w:rsidRPr="00591B71">
        <w:rPr>
          <w:rStyle w:val="Emphasis"/>
        </w:rPr>
        <w:t>portability a defining characteristic</w:t>
      </w:r>
      <w:r w:rsidRPr="00E22E79">
        <w:rPr>
          <w:sz w:val="16"/>
        </w:rPr>
        <w:t xml:space="preserve">. </w:t>
      </w:r>
      <w:r w:rsidRPr="00591B71">
        <w:rPr>
          <w:rStyle w:val="StyleUnderline"/>
        </w:rPr>
        <w:t xml:space="preserve">The Panel’s list includes both </w:t>
      </w:r>
      <w:r w:rsidRPr="00591B71">
        <w:rPr>
          <w:rStyle w:val="Emphasis"/>
        </w:rPr>
        <w:t>civilian, private, and military</w:t>
      </w:r>
      <w:r w:rsidRPr="00591B71">
        <w:rPr>
          <w:rStyle w:val="StyleUnderline"/>
        </w:rPr>
        <w:t xml:space="preserve"> weapons </w:t>
      </w:r>
      <w:r w:rsidRPr="00591B71">
        <w:rPr>
          <w:rStyle w:val="Emphasis"/>
        </w:rPr>
        <w:t>that fire a projectile</w:t>
      </w:r>
      <w:r w:rsidRPr="00591B71">
        <w:rPr>
          <w:rStyle w:val="StyleUnderline"/>
        </w:rPr>
        <w:t xml:space="preserve"> with the condition that </w:t>
      </w:r>
      <w:r w:rsidRPr="00591B71">
        <w:rPr>
          <w:rStyle w:val="Emphasis"/>
        </w:rPr>
        <w:t>the unit or system may be carried by an individual, a small number of people</w:t>
      </w:r>
      <w:r w:rsidRPr="00591B71">
        <w:rPr>
          <w:rStyle w:val="StyleUnderline"/>
        </w:rPr>
        <w:t>, or transported by a pack animal or a light vehicle</w:t>
      </w:r>
      <w:r w:rsidRPr="00E22E79">
        <w:rPr>
          <w:sz w:val="16"/>
        </w:rPr>
        <w:t xml:space="preserve">. The Panel’s list is organized into 'small arms' and 'light weapons': </w:t>
      </w:r>
      <w:r w:rsidRPr="00591B71">
        <w:rPr>
          <w:rStyle w:val="Emphasis"/>
        </w:rPr>
        <w:t>small arms</w:t>
      </w:r>
      <w:r w:rsidRPr="00E22E79">
        <w:rPr>
          <w:sz w:val="16"/>
        </w:rPr>
        <w:t xml:space="preserve">: </w:t>
      </w:r>
      <w:r w:rsidRPr="00591B71">
        <w:rPr>
          <w:rStyle w:val="StyleUnderline"/>
        </w:rPr>
        <w:t>revolvers and self-loading pistols, rifles and carbines, assault rifles, sub-machine guns and light machine guns.</w:t>
      </w:r>
      <w:r>
        <w:rPr>
          <w:rStyle w:val="StyleUnderline"/>
        </w:rPr>
        <w:t xml:space="preserve"> </w:t>
      </w:r>
      <w:r w:rsidRPr="00591B71">
        <w:rPr>
          <w:rStyle w:val="Emphasis"/>
        </w:rPr>
        <w:t>light weapons</w:t>
      </w:r>
      <w:r w:rsidRPr="00E22E79">
        <w:rPr>
          <w:sz w:val="16"/>
        </w:rPr>
        <w:t xml:space="preserve">: </w:t>
      </w:r>
      <w:r w:rsidRPr="00591B71">
        <w:rPr>
          <w:rStyle w:val="StyleUnderline"/>
        </w:rPr>
        <w:t xml:space="preserve">heavy machine guns, hand-held under-barrel and mounted grenade launchers, portable anti-aircraft guns, portable anti-tank guns, recoilless rifles, portable launchers of anti-tank missile and rocket systems; portable launchers of anti-aircraft missile systems (MANPADS); and mortars of </w:t>
      </w:r>
      <w:proofErr w:type="spellStart"/>
      <w:r w:rsidRPr="00591B71">
        <w:rPr>
          <w:rStyle w:val="StyleUnderline"/>
        </w:rPr>
        <w:t>calibres</w:t>
      </w:r>
      <w:proofErr w:type="spellEnd"/>
      <w:r w:rsidRPr="00591B71">
        <w:rPr>
          <w:rStyle w:val="StyleUnderline"/>
        </w:rPr>
        <w:t xml:space="preserve"> of less than 100 mm.</w:t>
      </w:r>
      <w:r w:rsidRPr="00E22E79">
        <w:rPr>
          <w:sz w:val="16"/>
        </w:rPr>
        <w:t xml:space="preserve"> To this list, </w:t>
      </w:r>
      <w:r w:rsidRPr="00591B71">
        <w:rPr>
          <w:rStyle w:val="StyleUnderline"/>
        </w:rPr>
        <w:t>the Survey has added single-rail-launched rockets and 120 mm mortars as long as they can be transported and operated as intended by a light vehicle.</w:t>
      </w:r>
      <w:r>
        <w:rPr>
          <w:rStyle w:val="StyleUnderline"/>
        </w:rPr>
        <w:t xml:space="preserve"> </w:t>
      </w:r>
      <w:r w:rsidRPr="00E22E79">
        <w:rPr>
          <w:sz w:val="16"/>
        </w:rPr>
        <w:t>The Survey may use the term 'small arms' to refer to small arms and light weapons, as well as their ammunition and parts and accessories. The term 'light weapons', however, always refers just to those items. The term ‘firearms’ comprises small arms and heavy machine guns.</w:t>
      </w:r>
    </w:p>
    <w:p w:rsidR="00E22E79" w:rsidRPr="00E22E79" w:rsidRDefault="00E22E79" w:rsidP="00E22E79"/>
    <w:p w:rsidR="00F8432D" w:rsidRDefault="00F8432D" w:rsidP="00F8432D">
      <w:pPr>
        <w:pStyle w:val="Heading3"/>
      </w:pPr>
      <w:r>
        <w:lastRenderedPageBreak/>
        <w:t>Arms = Munitions List</w:t>
      </w:r>
    </w:p>
    <w:p w:rsidR="00F8432D" w:rsidRPr="00C0512A" w:rsidRDefault="00F8432D" w:rsidP="00F8432D">
      <w:pPr>
        <w:pStyle w:val="Heading4"/>
      </w:pPr>
      <w:r w:rsidRPr="00C0512A">
        <w:t>Arms means anything on the US Munitions List</w:t>
      </w:r>
    </w:p>
    <w:p w:rsidR="00F8432D" w:rsidRPr="00E27206" w:rsidRDefault="00F8432D" w:rsidP="00F8432D">
      <w:pPr>
        <w:rPr>
          <w:b/>
          <w:bCs/>
        </w:rPr>
      </w:pPr>
      <w:r w:rsidRPr="00576A82">
        <w:rPr>
          <w:rStyle w:val="Style13ptBold"/>
        </w:rPr>
        <w:t>CR 85</w:t>
      </w:r>
      <w:r>
        <w:t xml:space="preserve"> (“Congressional Record—Senate,” S. 986, April 24, 1985, </w:t>
      </w:r>
      <w:hyperlink r:id="rId30" w:history="1">
        <w:r w:rsidRPr="00C74292">
          <w:rPr>
            <w:rStyle w:val="Hyperlink"/>
          </w:rPr>
          <w:t>https://www.govinfo.gov/content/pkg/GPO-CRECB-1985-pt7/pdf/GPO-CRECB-1985-pt7-3-1.pdf</w:t>
        </w:r>
      </w:hyperlink>
      <w:r>
        <w:t>, *Military Security Act of 1954)//</w:t>
      </w:r>
      <w:proofErr w:type="spellStart"/>
      <w:r>
        <w:t>Bennerz</w:t>
      </w:r>
      <w:proofErr w:type="spellEnd"/>
    </w:p>
    <w:p w:rsidR="00F8432D" w:rsidRPr="00421377" w:rsidRDefault="00F8432D" w:rsidP="00F8432D">
      <w:pPr>
        <w:rPr>
          <w:rStyle w:val="StyleUnderline"/>
        </w:rPr>
      </w:pPr>
      <w:r>
        <w:t xml:space="preserve">"(2) </w:t>
      </w:r>
      <w:proofErr w:type="gramStart"/>
      <w:r>
        <w:t>ARMS.-</w:t>
      </w:r>
      <w:proofErr w:type="gramEnd"/>
      <w:r w:rsidRPr="00421377">
        <w:rPr>
          <w:rStyle w:val="StyleUnderline"/>
        </w:rPr>
        <w:t xml:space="preserve">The term 'arms' means any arm, ammunition, or implement of war designated in the munitions list </w:t>
      </w:r>
      <w:r w:rsidRPr="00454FEC">
        <w:t>published pursuant to the Military Security Act of 1954.</w:t>
      </w:r>
      <w:r w:rsidRPr="00421377">
        <w:rPr>
          <w:rStyle w:val="StyleUnderline"/>
        </w:rPr>
        <w:t xml:space="preserve"> </w:t>
      </w:r>
    </w:p>
    <w:p w:rsidR="00F8432D" w:rsidRDefault="00F8432D" w:rsidP="00F8432D">
      <w:pPr>
        <w:pStyle w:val="Heading3"/>
      </w:pPr>
      <w:r>
        <w:lastRenderedPageBreak/>
        <w:t>3 cards making 1 WM</w:t>
      </w:r>
    </w:p>
    <w:p w:rsidR="00F8432D" w:rsidRPr="00195C7A" w:rsidRDefault="00F8432D" w:rsidP="00F8432D">
      <w:pPr>
        <w:pStyle w:val="Heading4"/>
      </w:pPr>
      <w:r w:rsidRPr="00195C7A">
        <w:t>The AECA defines arms as defense articles, services and technical data</w:t>
      </w:r>
    </w:p>
    <w:p w:rsidR="00F8432D" w:rsidRPr="00195C7A" w:rsidRDefault="00F8432D" w:rsidP="00F8432D">
      <w:pPr>
        <w:rPr>
          <w:b/>
        </w:rPr>
      </w:pPr>
      <w:r w:rsidRPr="00195C7A">
        <w:rPr>
          <w:b/>
        </w:rPr>
        <w:t xml:space="preserve">GAO, 12 </w:t>
      </w:r>
      <w:r w:rsidRPr="00195C7A">
        <w:t xml:space="preserve">– Government Accountability Office (“U.S. Tactical Wheeled Vehicle Manufacturers Face Period of Uncertainty as DOD Purchases Decline and Foreign Sales Potential Remains Unknown” Report to Congressional Committees, September, </w:t>
      </w:r>
      <w:hyperlink r:id="rId31" w:history="1">
        <w:r w:rsidRPr="00195C7A">
          <w:rPr>
            <w:rStyle w:val="Hyperlink"/>
          </w:rPr>
          <w:t>https://www.gao.gov/assets/650/648264.pdf</w:t>
        </w:r>
      </w:hyperlink>
      <w:r w:rsidRPr="00195C7A">
        <w:t xml:space="preserve">  </w:t>
      </w:r>
      <w:r w:rsidRPr="00195C7A">
        <w:rPr>
          <w:b/>
        </w:rPr>
        <w:t>Note: 22 U.S.C. § 2778  refers to the Arms Export Control Act and 22 CFR Part 120 refers to ITAR</w:t>
      </w:r>
    </w:p>
    <w:p w:rsidR="00F8432D" w:rsidRPr="00195C7A" w:rsidRDefault="00F8432D" w:rsidP="00F8432D"/>
    <w:p w:rsidR="00F8432D" w:rsidRPr="00F8432D" w:rsidRDefault="00F8432D" w:rsidP="00F8432D">
      <w:pPr>
        <w:rPr>
          <w:sz w:val="16"/>
        </w:rPr>
      </w:pPr>
      <w:r w:rsidRPr="00F8432D">
        <w:rPr>
          <w:sz w:val="16"/>
        </w:rPr>
        <w:t xml:space="preserve">In addition to sales to DOD, the U.S. TWV industrial base also sells vehicles to foreign governments. The sale of U.S. arms and dual-use items, including TWVs, to friendly nations and allies is an integral component of both U.S. national security and foreign policy.1 </w:t>
      </w:r>
      <w:r w:rsidRPr="00195C7A">
        <w:rPr>
          <w:rStyle w:val="StyleUnderline"/>
        </w:rPr>
        <w:t xml:space="preserve">The </w:t>
      </w:r>
      <w:r w:rsidRPr="00F8432D">
        <w:rPr>
          <w:sz w:val="16"/>
        </w:rPr>
        <w:t>Arms Export Control Act (</w:t>
      </w:r>
      <w:r w:rsidRPr="00195C7A">
        <w:rPr>
          <w:rStyle w:val="StyleUnderline"/>
        </w:rPr>
        <w:t>AECA</w:t>
      </w:r>
      <w:r w:rsidRPr="00F8432D">
        <w:rPr>
          <w:sz w:val="16"/>
        </w:rPr>
        <w:t xml:space="preserve">) </w:t>
      </w:r>
      <w:r w:rsidRPr="00195C7A">
        <w:rPr>
          <w:rStyle w:val="StyleUnderline"/>
        </w:rPr>
        <w:t xml:space="preserve">authorizes the </w:t>
      </w:r>
      <w:r w:rsidRPr="00F8432D">
        <w:rPr>
          <w:sz w:val="16"/>
        </w:rPr>
        <w:t xml:space="preserve">President to control the export and import of arms.2 The AECA authorizes the </w:t>
      </w:r>
      <w:r w:rsidRPr="00195C7A">
        <w:rPr>
          <w:rStyle w:val="StyleUnderline"/>
        </w:rPr>
        <w:t>U.S.</w:t>
      </w:r>
      <w:r w:rsidRPr="00F8432D">
        <w:rPr>
          <w:sz w:val="16"/>
        </w:rPr>
        <w:t xml:space="preserve"> government </w:t>
      </w:r>
      <w:r w:rsidRPr="00195C7A">
        <w:rPr>
          <w:rStyle w:val="StyleUnderline"/>
        </w:rPr>
        <w:t>to sell arms</w:t>
      </w:r>
      <w:r w:rsidRPr="00F8432D">
        <w:rPr>
          <w:sz w:val="16"/>
        </w:rPr>
        <w:t xml:space="preserve"> to foreign governments </w:t>
      </w:r>
      <w:r w:rsidRPr="00195C7A">
        <w:rPr>
          <w:rStyle w:val="StyleUnderline"/>
        </w:rPr>
        <w:t>through</w:t>
      </w:r>
      <w:r w:rsidRPr="00F8432D">
        <w:rPr>
          <w:sz w:val="16"/>
        </w:rPr>
        <w:t xml:space="preserve"> government-to-government agreements as part of the Foreign Military Sales (</w:t>
      </w:r>
      <w:r w:rsidRPr="00195C7A">
        <w:rPr>
          <w:rStyle w:val="StyleUnderline"/>
        </w:rPr>
        <w:t>FMS</w:t>
      </w:r>
      <w:r w:rsidRPr="00F8432D">
        <w:rPr>
          <w:sz w:val="16"/>
        </w:rPr>
        <w:t xml:space="preserve">) program.3 </w:t>
      </w:r>
      <w:r w:rsidRPr="00195C7A">
        <w:rPr>
          <w:rStyle w:val="StyleUnderline"/>
        </w:rPr>
        <w:t>It also authorizes</w:t>
      </w:r>
      <w:r w:rsidRPr="00F8432D">
        <w:rPr>
          <w:sz w:val="16"/>
        </w:rPr>
        <w:t xml:space="preserve"> the issuance of export licenses for U.S. manufacturers to sell arms directly to eligible foreign governments, known as direct commercial sales (</w:t>
      </w:r>
      <w:r w:rsidRPr="00195C7A">
        <w:rPr>
          <w:rStyle w:val="StyleUnderline"/>
        </w:rPr>
        <w:t>DCS</w:t>
      </w:r>
      <w:r w:rsidRPr="00F8432D">
        <w:rPr>
          <w:sz w:val="16"/>
        </w:rPr>
        <w:t>). Regardless of the method of sale, each FMS request or DCS license application is reviewed by officials from DOD and the Department of State (State) to ensure the sale would not result in harm to U.S. interests and is consistent with national security and foreign policies.</w:t>
      </w:r>
    </w:p>
    <w:p w:rsidR="00F8432D" w:rsidRPr="00195C7A" w:rsidRDefault="00F8432D" w:rsidP="00F8432D">
      <w:pPr>
        <w:rPr>
          <w:b/>
        </w:rPr>
      </w:pPr>
      <w:r w:rsidRPr="00195C7A">
        <w:rPr>
          <w:b/>
        </w:rPr>
        <w:t>(footnote 1)</w:t>
      </w:r>
    </w:p>
    <w:p w:rsidR="00F8432D" w:rsidRPr="00195C7A" w:rsidRDefault="00F8432D" w:rsidP="00F8432D">
      <w:r w:rsidRPr="00195C7A">
        <w:t xml:space="preserve">For the purposes of this report, </w:t>
      </w:r>
      <w:r w:rsidRPr="00195C7A">
        <w:rPr>
          <w:rStyle w:val="StyleUnderline"/>
        </w:rPr>
        <w:t xml:space="preserve">the term arms </w:t>
      </w:r>
      <w:proofErr w:type="gramStart"/>
      <w:r w:rsidRPr="00195C7A">
        <w:rPr>
          <w:rStyle w:val="StyleUnderline"/>
        </w:rPr>
        <w:t>refers</w:t>
      </w:r>
      <w:proofErr w:type="gramEnd"/>
      <w:r w:rsidRPr="00195C7A">
        <w:rPr>
          <w:rStyle w:val="StyleUnderline"/>
        </w:rPr>
        <w:t xml:space="preserve"> to defense articles, defense services, and related technical data as specified by 22 U.S.C. § 2778</w:t>
      </w:r>
      <w:r w:rsidRPr="00195C7A">
        <w:t xml:space="preserve"> </w:t>
      </w:r>
      <w:r w:rsidRPr="00D10186">
        <w:rPr>
          <w:rStyle w:val="StyleUnderline"/>
        </w:rPr>
        <w:t>and defined in 22 C.F.R. Part 120</w:t>
      </w:r>
      <w:r w:rsidRPr="00195C7A">
        <w:t>. Dual-use items are those which have both military and commercial applications.</w:t>
      </w:r>
    </w:p>
    <w:p w:rsidR="00F8432D" w:rsidRDefault="00F8432D" w:rsidP="00F8432D"/>
    <w:p w:rsidR="00F8432D" w:rsidRDefault="00F8432D" w:rsidP="00F8432D">
      <w:pPr>
        <w:pStyle w:val="Heading4"/>
      </w:pPr>
      <w:r>
        <w:t>22 CFR Part 120 says it’s designated in 121.1</w:t>
      </w:r>
    </w:p>
    <w:p w:rsidR="00F8432D" w:rsidRDefault="00F8432D" w:rsidP="00F8432D">
      <w:r w:rsidRPr="00501896">
        <w:rPr>
          <w:rStyle w:val="Style13ptBold"/>
        </w:rPr>
        <w:t>22 CFR § 120.6</w:t>
      </w:r>
      <w:r w:rsidRPr="004A3E86">
        <w:t xml:space="preserve"> (22 </w:t>
      </w:r>
      <w:r>
        <w:t>CFR</w:t>
      </w:r>
      <w:r w:rsidRPr="004A3E86">
        <w:t xml:space="preserve"> § </w:t>
      </w:r>
      <w:proofErr w:type="gramStart"/>
      <w:r w:rsidRPr="004A3E86">
        <w:t>120.6  "</w:t>
      </w:r>
      <w:proofErr w:type="gramEnd"/>
      <w:r w:rsidRPr="004A3E86">
        <w:t>22 CFR § 120.6,"</w:t>
      </w:r>
      <w:r>
        <w:t xml:space="preserve"> Code of Federal Regulations</w:t>
      </w:r>
      <w:r w:rsidRPr="004A3E86">
        <w:t>, https://www.law.cornell.edu/cfr/text/22/120.6)//Bennerz</w:t>
      </w:r>
    </w:p>
    <w:p w:rsidR="00F8432D" w:rsidRPr="00F8432D" w:rsidRDefault="00F8432D" w:rsidP="00F8432D">
      <w:pPr>
        <w:rPr>
          <w:sz w:val="16"/>
        </w:rPr>
      </w:pPr>
      <w:r w:rsidRPr="00F8432D">
        <w:rPr>
          <w:sz w:val="16"/>
        </w:rPr>
        <w:t xml:space="preserve">§ 120.6 </w:t>
      </w:r>
      <w:hyperlink r:id="rId32" w:history="1">
        <w:r w:rsidRPr="00F8432D">
          <w:rPr>
            <w:rStyle w:val="Hyperlink"/>
            <w:sz w:val="16"/>
          </w:rPr>
          <w:t>Defense article</w:t>
        </w:r>
      </w:hyperlink>
      <w:r w:rsidRPr="00F8432D">
        <w:rPr>
          <w:sz w:val="16"/>
        </w:rPr>
        <w:t xml:space="preserve">. </w:t>
      </w:r>
      <w:r w:rsidRPr="004A3E86">
        <w:rPr>
          <w:rStyle w:val="StyleUnderline"/>
        </w:rPr>
        <w:t>Defense article</w:t>
      </w:r>
      <w:r>
        <w:rPr>
          <w:rStyle w:val="StyleUnderline"/>
        </w:rPr>
        <w:t xml:space="preserve"> </w:t>
      </w:r>
      <w:r w:rsidRPr="004A3E86">
        <w:rPr>
          <w:rStyle w:val="StyleUnderline"/>
        </w:rPr>
        <w:t>means any item or</w:t>
      </w:r>
      <w:r>
        <w:rPr>
          <w:rStyle w:val="StyleUnderline"/>
        </w:rPr>
        <w:t xml:space="preserve"> </w:t>
      </w:r>
      <w:hyperlink r:id="rId33" w:history="1">
        <w:r w:rsidRPr="004A3E86">
          <w:rPr>
            <w:rStyle w:val="StyleUnderline"/>
          </w:rPr>
          <w:t>technical data</w:t>
        </w:r>
      </w:hyperlink>
      <w:r>
        <w:rPr>
          <w:rStyle w:val="StyleUnderline"/>
        </w:rPr>
        <w:t xml:space="preserve"> </w:t>
      </w:r>
      <w:r w:rsidRPr="004A3E86">
        <w:rPr>
          <w:rStyle w:val="StyleUnderline"/>
        </w:rPr>
        <w:t>designated in</w:t>
      </w:r>
      <w:r>
        <w:rPr>
          <w:rStyle w:val="StyleUnderline"/>
        </w:rPr>
        <w:t xml:space="preserve"> </w:t>
      </w:r>
      <w:hyperlink r:id="rId34" w:history="1">
        <w:r w:rsidRPr="004A3E86">
          <w:rPr>
            <w:rStyle w:val="StyleUnderline"/>
          </w:rPr>
          <w:t>§ 121.1</w:t>
        </w:r>
      </w:hyperlink>
      <w:r>
        <w:rPr>
          <w:rStyle w:val="StyleUnderline"/>
        </w:rPr>
        <w:t xml:space="preserve"> </w:t>
      </w:r>
      <w:r w:rsidRPr="004A3E86">
        <w:rPr>
          <w:rStyle w:val="StyleUnderline"/>
        </w:rPr>
        <w:t>of this subchapte</w:t>
      </w:r>
      <w:r w:rsidRPr="00F8432D">
        <w:rPr>
          <w:sz w:val="16"/>
        </w:rPr>
        <w:t xml:space="preserve">r. The policy described in § 120.3 is applicable to designations of additional items. This term includes </w:t>
      </w:r>
      <w:hyperlink r:id="rId35" w:history="1">
        <w:r w:rsidRPr="00F8432D">
          <w:rPr>
            <w:rStyle w:val="Hyperlink"/>
            <w:sz w:val="16"/>
          </w:rPr>
          <w:t>technical data</w:t>
        </w:r>
      </w:hyperlink>
      <w:r w:rsidRPr="00F8432D">
        <w:rPr>
          <w:sz w:val="16"/>
        </w:rPr>
        <w:t xml:space="preserve"> recorded or stored in any physical form, models, mockups or other items that reveal </w:t>
      </w:r>
      <w:hyperlink r:id="rId36" w:history="1">
        <w:r w:rsidRPr="00F8432D">
          <w:rPr>
            <w:rStyle w:val="Hyperlink"/>
            <w:sz w:val="16"/>
          </w:rPr>
          <w:t>technical data</w:t>
        </w:r>
      </w:hyperlink>
      <w:r w:rsidRPr="00F8432D">
        <w:rPr>
          <w:sz w:val="16"/>
        </w:rPr>
        <w:t xml:space="preserve"> directly relating to items designated in </w:t>
      </w:r>
      <w:hyperlink r:id="rId37" w:history="1">
        <w:r w:rsidRPr="00F8432D">
          <w:rPr>
            <w:rStyle w:val="Hyperlink"/>
            <w:sz w:val="16"/>
          </w:rPr>
          <w:t>§ 121.1</w:t>
        </w:r>
      </w:hyperlink>
      <w:r w:rsidRPr="00F8432D">
        <w:rPr>
          <w:sz w:val="16"/>
        </w:rPr>
        <w:t xml:space="preserve"> of this subchapter. It also includes forgings, castings, and other unfinished products, such as extrusions and machined bodies, that have reached a stage in manufacturing where they are clearly identifiable by mechanical properties, material composition, geometry, or function as defense articles. It does not include basic marketing information on function or purpose or general system descriptions. </w:t>
      </w:r>
    </w:p>
    <w:p w:rsidR="00F8432D" w:rsidRDefault="00F8432D" w:rsidP="00F8432D">
      <w:pPr>
        <w:pStyle w:val="Heading4"/>
      </w:pPr>
      <w:r>
        <w:t>Which means we’re T</w:t>
      </w:r>
    </w:p>
    <w:p w:rsidR="00F8432D" w:rsidRDefault="00F8432D" w:rsidP="00F8432D">
      <w:r w:rsidRPr="00775CA8">
        <w:rPr>
          <w:rStyle w:val="Style13ptBold"/>
        </w:rPr>
        <w:t>22 CFR Part 121.1</w:t>
      </w:r>
      <w:r>
        <w:t xml:space="preserve"> (</w:t>
      </w:r>
      <w:r w:rsidRPr="00EA3144">
        <w:t>22</w:t>
      </w:r>
      <w:r>
        <w:t xml:space="preserve"> CFR Part </w:t>
      </w:r>
      <w:r w:rsidRPr="00EA3144">
        <w:t>121</w:t>
      </w:r>
      <w:r>
        <w:t xml:space="preserve">.1, "§121.1 The United States Munitions List," Electronic Code Of Federal Regulations, </w:t>
      </w:r>
      <w:hyperlink r:id="rId38" w:history="1">
        <w:r w:rsidRPr="009F66CD">
          <w:rPr>
            <w:rStyle w:val="Hyperlink"/>
          </w:rPr>
          <w:t>https://www.ecfr.gov/cgi-bin/retrieveECFR?gp=&amp;amp;SID=70e390c181ea17f847fa696c47e3140a&amp;amp;mc=true&amp;amp;r=PART&amp;amp;n=pt22.1.121</w:t>
        </w:r>
      </w:hyperlink>
      <w:r>
        <w:t>, *I included the entire munitions list)//</w:t>
      </w:r>
      <w:proofErr w:type="spellStart"/>
      <w:r>
        <w:t>Bennerz</w:t>
      </w:r>
      <w:proofErr w:type="spellEnd"/>
    </w:p>
    <w:p w:rsidR="00F8432D" w:rsidRPr="007F5C3A" w:rsidRDefault="00F8432D" w:rsidP="00F8432D">
      <w:pPr>
        <w:rPr>
          <w:sz w:val="2"/>
          <w:szCs w:val="2"/>
        </w:rPr>
      </w:pPr>
      <w:r w:rsidRPr="007F5C3A">
        <w:rPr>
          <w:rStyle w:val="StyleUnderline"/>
        </w:rPr>
        <w:t xml:space="preserve">Category I—Firearms, Close Assault Weapons and Combat Shotguns *(a) Nonautomatic and semi-automatic firearms to caliber .50 inclusive </w:t>
      </w:r>
      <w:r w:rsidRPr="007F5C3A">
        <w:rPr>
          <w:sz w:val="2"/>
          <w:szCs w:val="2"/>
        </w:rPr>
        <w:t>(12.7 mm). *</w:t>
      </w:r>
      <w:r w:rsidRPr="001756F2">
        <w:rPr>
          <w:rStyle w:val="StyleUnderline"/>
        </w:rPr>
        <w:t>(b) Fully automatic firearms to .50 caliber inclusive</w:t>
      </w:r>
      <w:r w:rsidRPr="007F5C3A">
        <w:rPr>
          <w:sz w:val="2"/>
          <w:szCs w:val="2"/>
        </w:rPr>
        <w:t xml:space="preserve"> (12.7 mm). *</w:t>
      </w:r>
      <w:r w:rsidRPr="008109CE">
        <w:rPr>
          <w:rStyle w:val="StyleUnderline"/>
        </w:rPr>
        <w:t xml:space="preserve">(c) Firearms or other weapons (e.g. insurgency-counterinsurgency, close assault weapons systems) having a special military application regardless of caliber. *(d) Combat </w:t>
      </w:r>
      <w:r w:rsidRPr="008109CE">
        <w:rPr>
          <w:rStyle w:val="StyleUnderline"/>
        </w:rPr>
        <w:lastRenderedPageBreak/>
        <w:t xml:space="preserve">shotguns. This includes any shotgun with a barrel length less than 18 inches. </w:t>
      </w:r>
      <w:r w:rsidRPr="007F5C3A">
        <w:rPr>
          <w:sz w:val="2"/>
          <w:szCs w:val="2"/>
        </w:rPr>
        <w:t>*(e) Silencers, mufflers, sound and flash suppressors for the articles in (a) through (d) of this category and their specifically designed, modified or adapted components and parts. (f) Riflescopes manufactured to military specifications (See category XII(c) for controls on night sighting devices.) *(g) Barrels, cylinders, receivers (frames) or complete breech mechanisms for the articles in paragraphs (a) through (d) of this category. (h) Components, parts, accessories and attachments for the articles in paragraphs (a) through (g) of this category. (</w:t>
      </w:r>
      <w:proofErr w:type="spellStart"/>
      <w:r w:rsidRPr="007F5C3A">
        <w:rPr>
          <w:sz w:val="2"/>
          <w:szCs w:val="2"/>
        </w:rPr>
        <w:t>i</w:t>
      </w:r>
      <w:proofErr w:type="spellEnd"/>
      <w:r w:rsidRPr="007F5C3A">
        <w:rPr>
          <w:sz w:val="2"/>
          <w:szCs w:val="2"/>
        </w:rPr>
        <w:t>) Technical data (as defined in §120.10 of this subchapter) and defense services (as defined in §120.9 of this subchapter) directly related to the defense articles described in paragraphs (a) through (h) of this category. Technical data directly related to the manufacture or production of any defense articles described elsewhere in this category that are designated as Significant Military Equipment (SME) shall itself be designated SME. (j) The following interpretations explain and amplify the terms used in this category and throughout this subchapter: (1) A firearm is a weapon not over .50 caliber (12.7 mm) which is designed to expel a projectile by the action of an explosive or which may be readily converted to do so. (2) A rifle is a shoulder firearm which can discharge a bullet through a rifled barrel 16 inches or longer. (3) A carbine is a lightweight shoulder firearm with a barrel under 16 inches in length. (4) A pistol is a hand-operated firearm having a chamber integral with or permanently aligned with the bore. (5) A revolver is a hand-operated firearm with a revolving cylinder containing chambers for individual cartridges. (6) A submachine gun, “machine pistol” or “machine gun” is a firearm originally designed to fire, or capable of being fired, fully automatically by a single pull of the trigger. Note: This coverage by the U.S. Munitions List in paragraphs (a) through (</w:t>
      </w:r>
      <w:proofErr w:type="spellStart"/>
      <w:r w:rsidRPr="007F5C3A">
        <w:rPr>
          <w:sz w:val="2"/>
          <w:szCs w:val="2"/>
        </w:rPr>
        <w:t>i</w:t>
      </w:r>
      <w:proofErr w:type="spellEnd"/>
      <w:r w:rsidRPr="007F5C3A">
        <w:rPr>
          <w:sz w:val="2"/>
          <w:szCs w:val="2"/>
        </w:rPr>
        <w:t>) of this category excludes any non-combat shotgun with a barrel length of 18 inches or longer, BB, pellet, and muzzle loading (black powder) firearms. This category does not cover riflescopes and sighting devices that are not manufactured to military specifications. It also excludes accessories and attachments (e.g., belts, slings, after market rubber grips, cleaning kits) for firearms that do not enhance the usefulness, effectiveness, or capabilities of the firearm, components and parts. The Department of Commerce regulates the export of such items. See the Export Administration Regulations (15 CFR parts 730-799). In addition, license exemptions for the items in this category are available in various parts of this subchapter (e.g., §§123.17, 123.18 and 125.4). Category II—Guns and Armament *</w:t>
      </w:r>
      <w:r w:rsidRPr="00590877">
        <w:rPr>
          <w:rStyle w:val="StyleUnderline"/>
        </w:rPr>
        <w:t>(a) Guns over caliber .50 (i.e., 12.7 mm), whether towed, airborne, self-propelled, or fixed, including but not limited to, howitzers, mortars, cannons, recoilless rifles, and grenade launchers. (b)</w:t>
      </w:r>
      <w:r w:rsidRPr="007F5C3A">
        <w:rPr>
          <w:sz w:val="2"/>
          <w:szCs w:val="2"/>
        </w:rPr>
        <w:t xml:space="preserve"> Flame throwers specifically designed or modified for military application. (c) Apparatus and devices for launching or delivering ordnance, other than those articles controlled in Category IV. *(d) Kinetic energy weapon systems specifically designed or modified for destruction or rendering mission-abort of a target. (e) Signature control materials (e.g., parasitic, structural, coatings, screening) techniques, and equipment specifically designed, developed, configured, adapted or modified to alter or reduce the signature (e.g., muzzle flash suppression, radar, infrared, visual, laser/electro-optical, acoustic) of defense articles controlled by this category. *(f) Engines specifically designed or modified for the self-propelled guns and howitzers in paragraph (a) of this category. (g) Tooling and equipment specifically designed or modified for the production of defense articles controlled by this category. (h) Test and evaluation equipment and test models specifically designed or modified for the articles controlled by this category. This includes but is not limited to diagnostic instrumentation and physical test models. (</w:t>
      </w:r>
      <w:proofErr w:type="spellStart"/>
      <w:r w:rsidRPr="007F5C3A">
        <w:rPr>
          <w:sz w:val="2"/>
          <w:szCs w:val="2"/>
        </w:rPr>
        <w:t>i</w:t>
      </w:r>
      <w:proofErr w:type="spellEnd"/>
      <w:r w:rsidRPr="007F5C3A">
        <w:rPr>
          <w:sz w:val="2"/>
          <w:szCs w:val="2"/>
        </w:rPr>
        <w:t>) Autoloading systems for electronic programming of projectile function for the defense articles controlled in this Category. (j) All other components, parts, accessories, attachments and associated equipment specifically designed or modified for the articles in paragraphs (a) through (</w:t>
      </w:r>
      <w:proofErr w:type="spellStart"/>
      <w:r w:rsidRPr="007F5C3A">
        <w:rPr>
          <w:sz w:val="2"/>
          <w:szCs w:val="2"/>
        </w:rPr>
        <w:t>i</w:t>
      </w:r>
      <w:proofErr w:type="spellEnd"/>
      <w:r w:rsidRPr="007F5C3A">
        <w:rPr>
          <w:sz w:val="2"/>
          <w:szCs w:val="2"/>
        </w:rPr>
        <w:t>) of this category. This includes but is not limited to mounts and carriages for the articles controlled in this category. (k) Technical data (as defined in §120.10 of this subchapter) and defense services (as defined in §120.9 of this subchapter) directly related to the defense articles described in paragraphs (a) through (j) of this category. Technical data directly related to the manufacture or production of any defense articles described elsewhere in this category that are designated as Significant Military Equipment (SME) shall itself be designated SME. (l) The following interpretations explain and amplify the terms used in this category and elsewhere in this subchapter: (1) The kinetic energy weapons systems in paragraph (d) of this category include but are not limited to: (</w:t>
      </w:r>
      <w:proofErr w:type="spellStart"/>
      <w:r w:rsidRPr="007F5C3A">
        <w:rPr>
          <w:sz w:val="2"/>
          <w:szCs w:val="2"/>
        </w:rPr>
        <w:t>i</w:t>
      </w:r>
      <w:proofErr w:type="spellEnd"/>
      <w:r w:rsidRPr="007F5C3A">
        <w:rPr>
          <w:sz w:val="2"/>
          <w:szCs w:val="2"/>
        </w:rPr>
        <w:t xml:space="preserve">) Launch systems and subsystems capable of accelerating masses larger than 0.1g to velocities in excess of 1.6km/s, in single or rapid fire modes, using methods such as: electromagnetic, electrothermal, plasma, light gas, or chemical; (ii) Prime power generation, electric armor, energy storage, thermal management; conditioning, switching or fuel-handling equipment; and the electrical interfaces between power supply gun and other turret electric drive function; (iii) Target acquisition, tracking fire control or damage assessment systems; and (iv) Homing seeker, guidance or divert propulsion (lateral acceleration) systems for projectiles. (2) The articles in this category include any end item, component, accessory, attachment part, firmware, software or system that has been designed or manufactured using technical data and defense services controlled by this category. (3) The articles specifically designed or modified for military application controlled in this category include any article specifically developed, configured, or adapted for military application. Category III—Ammunition/Ordnance *(a) Ammunition/ordnance for the articles in Categories I and II of this section. (b) Ammunition/ordnance handling equipment specifically designed or modified for the articles controlled in this category, such as, belting, linking, and de-linking equipment. (c) Equipment and tooling specifically designed or modified for the production of defense articles controlled by this category. (d) Components, parts, accessories, attachments and associated equipment specifically designed or modified for the articles in this category: *(1) Guidance and control components for the articles in paragraph (a) of this category; *(2) </w:t>
      </w:r>
      <w:proofErr w:type="spellStart"/>
      <w:r w:rsidRPr="007F5C3A">
        <w:rPr>
          <w:sz w:val="2"/>
          <w:szCs w:val="2"/>
        </w:rPr>
        <w:t>Safing</w:t>
      </w:r>
      <w:proofErr w:type="spellEnd"/>
      <w:r w:rsidRPr="007F5C3A">
        <w:rPr>
          <w:sz w:val="2"/>
          <w:szCs w:val="2"/>
        </w:rPr>
        <w:t xml:space="preserve">, arming and </w:t>
      </w:r>
      <w:proofErr w:type="spellStart"/>
      <w:r w:rsidRPr="007F5C3A">
        <w:rPr>
          <w:sz w:val="2"/>
          <w:szCs w:val="2"/>
        </w:rPr>
        <w:t>fuzing</w:t>
      </w:r>
      <w:proofErr w:type="spellEnd"/>
      <w:r w:rsidRPr="007F5C3A">
        <w:rPr>
          <w:sz w:val="2"/>
          <w:szCs w:val="2"/>
        </w:rPr>
        <w:t xml:space="preserve"> components (including target detection and localization devices) for the articles in paragraph (a) of this category; and (3) All other components, parts, accessories, attachments and associated equipment for the articles in paragraphs (a) through (c) of this category. (e) Technical data (as defined in §120.10 of this subchapter) and defense services (as defined in §120.9 of this subchapter) directly related to the defense articles described in paragraphs (a) through (d) of this category. Technical data directly related to the manufacture or production of any defense articles described elsewhere in this category that are designated as Significant Military Equipment (SME) shall itself be designated SME. (f) The following explains and amplifies the terms used in this category and elsewhere in this subchapter: (1) The components, parts, accessories and attachments controlled in this category include, but are not limited to cartridge cases, powder bags (or other propellant charges), bullets, jackets, cores, shells (excluding shotgun shells), projectiles (including canister rounds and submunitions therefor), boosters, firing components therefor, primers, and other detonating devices for the defense articles controlled in this category. (2) This category does not control cartridge and shell casings that, prior to export, have been rendered useless beyond the possibility of restoration for use as a cartridge or shell casing by means of heating, flame treatment, mangling, crushing, cutting or popping. (3) Equipment and tooling in paragraph (c) of this category does not include equipment for hand-loading ammunition. (4) The articles in this category include any end item, component, accessory, attachment, part, firmware, software, or system that has been designed or manufactured using technical data and defense services controlled by this category. (5) The articles specifically designed or modified for military application controlled in this category include any article specifically developed, configured, or adapted for military application Category IV—Launch Vehicles, Guided Missiles, Ballistic Missiles, Rockets, Torpedoes, Bombs, and Mines *(a) Rockets, space launch vehicles (SLVs), missiles, bombs, torpedoes, depth charges, mines, and grenades, as follows: (1) Rockets, SLVs, and missiles capable of delivering at least a 500-kg payload to a range of at least 300 km (MT); (2) Rockets, SLVs, and missiles capable of delivering less than a 500-kg payload to a range of at least 300 km (MT); (3) Man-portable air defense systems (MANPADS); (4) Anti-tank missiles and rockets; (5) Rockets, SLVs, and missiles not meeting the criteria of paragraphs (a)(1) through (a)(4) of this category; (6) Bombs; (7) Torpedoes; (8) Depth charges; (9) Anti-personnel, anti-vehicle, or anti-armor land mines (e.g., area denial devices); (10) Anti-helicopter mines; (11) Naval mines; or (12) Fragmentation and high explosive hand grenades. Note 1 to paragraph (a): “Range” is the maximum distance that the specified rocket system is capable of traveling in the mode of stable flight as measured by the projection of its trajectory over the surface of the Earth. The maximum capability based on the design characteristics of the system, when fully loaded with fuel or propellant, will be taken into consideration in determining range. The range for rocket systems will be determined independently of any external factors such as operational restrictions, limitations imposed by telemetry, data links, or other external constraints. For rocket systems, the range will be determined using the trajectory that maximizes range, assuming International Civil Aviation Organization (ICAO) standard atmosphere with zero wind. Note 2 to paragraph (a): “Payload” is the total mass that can be carried or delivered by the specified rocket, SLV, or missile that is not used to maintain flight. Note 3 to paragraph (a): This paragraph does not control model and high power rockets (as defined in National Fire Protection Association Code 1122) and kits thereof made of paper, wood, fiberglass, or plastic containing no substantial metal parts and designed to be flown with hobby rocket motors that are certified for consumer use. Such rockets must not contain active controls (e.g., RF, GPS). Note 4 to paragraph (a)</w:t>
      </w:r>
      <w:proofErr w:type="gramStart"/>
      <w:r w:rsidRPr="007F5C3A">
        <w:rPr>
          <w:sz w:val="2"/>
          <w:szCs w:val="2"/>
        </w:rPr>
        <w:t>: ”Mine</w:t>
      </w:r>
      <w:proofErr w:type="gramEnd"/>
      <w:r w:rsidRPr="007F5C3A">
        <w:rPr>
          <w:sz w:val="2"/>
          <w:szCs w:val="2"/>
        </w:rPr>
        <w:t xml:space="preserve">” means a munition placed under, on, or near the ground or other surface area and designed to be exploded by the presence, proximity, or contact of a person or vehicle. *(b) Launchers for rockets, SLVs, and missiles, as follows: (1) Fixed launch sites and mobile launcher mechanisms for any system enumerated in paragraphs (a)(1) and (a)(2) of this category (MT); or (2) Fixed launch sites and mobile launcher mechanisms for any system enumerated in paragraphs (a)(3) through (a)(5) of this category (e.g., launch tables, TOW missile, MANPADS). Note 1 to paragraph (b): For controls on non-SLV launcher mechanisms for use on aircraft, see USML Category VIII(h). Note 2 to paragraph (b): For controls on launcher mechanisms that are integrated onto a vessel or ground vehicle, see USML Categories VI and VII, respectively. Note 3 to paragraph (b): This paragraph does not control parts and accessories (e.g., igniters, launch stands) specially designed for consumer use with model and high power rockets (as defined in National Fire Protection Association Code 1122) and kits thereof made of paper, wood, fiberglass, or plastic containing no substantial metal parts and designed to be flown with hobby rocket motors that are certified for consumer use. (c) Apparatus and devices specially designed for the handling, control, activation, monitoring, detection, protection, discharge, or detonation of the articles enumerated in paragraphs (a) and (b) of this category (MT for those systems enumerated in paragraphs (a)(1), (a)(2), and (b)(1) of this category). Note 1 to paragraph (c): This paragraph includes specialized handling equipment (transporters, cranes, and lifts) specially designed to handle articles enumerated in paragraphs (a) and (b) of this category for preparation and launch from fixed and mobile sites. The equipment in this paragraph also includes specially designed robots, robot controllers, and robot end-effectors, and liquid propellant tanks specially designed for the storage or handling of the propellants controlled in USML Category V, CCL ECCNs 1C011, 1C111, and 1C608, or other liquid propellants used in the systems enumerated in paragraphs (a)(1), (a)(2), or (a)(5) of this category. Note 2 to paragraph (c): Aircraft Missile Protection Systems (AMPS) are controlled in USML Category XI. *(d) Rocket, SLV, and missile power plants, as follows: (1) Except as enumerated in paragraph (d)(2) or (d)(3) of this category, individual rocket stages for the articles enumerated in paragraph (a)(1), (a)(2), or (a)(5) of this category (MT for those stages usable in systems enumerated in paragraphs (a)(1) and (a)(2) of this category); (2) Solid propellant rocket motors, hybrid or gel rocket motors, or liquid propellant rocket engines having a total impulse capacity equal to or greater than 1.1 × 106 N·s (MT); (3) Solid propellant rocket motors, hybrid or gel rocket motors, or liquid propellant rocket engines having a total impulse capacity equal to or greater than 8.41 × 105 N·s, but less than 1.1 × 106 N·s (MT); (4) Combined cycle, pulsejet, ramjet, or scramjet engines (MT); (5) Air-breathing engines that operate above Mach 4 not enumerated in paragraph (d)(4) of this category; (6) Pressure gain combustion-based propulsion systems not enumerated in paragraphs (d)(4) and (d)(5) of this category; or (7) Rocket, SLV, and missile engines and motors, not otherwise enumerated in paragraphs (d)(1) through (d)(6) of this category or USML Category XIX. Note 1 to paragraph (d): This paragraph does not control model and </w:t>
      </w:r>
      <w:proofErr w:type="gramStart"/>
      <w:r w:rsidRPr="007F5C3A">
        <w:rPr>
          <w:sz w:val="2"/>
          <w:szCs w:val="2"/>
        </w:rPr>
        <w:t>high power</w:t>
      </w:r>
      <w:proofErr w:type="gramEnd"/>
      <w:r w:rsidRPr="007F5C3A">
        <w:rPr>
          <w:sz w:val="2"/>
          <w:szCs w:val="2"/>
        </w:rPr>
        <w:t xml:space="preserve"> rocket motors, containing no more than 5 pounds of propellant, that are certified for U.S. consumer use as described in National Fire Protection Association Code 1125. Note 2 to paragraph (d): This paragraph does not control thrusters for spacecraft. (e)-(f) [Reserved] *(g) Non-nuclear warheads for rockets, bombs, and missiles (e.g., explosive, kinetic, EMP, thermobaric, shape charge, and fuel air explosive (FAE)). (h) Systems, subsystems, parts, components, accessories, attachments, or associated equipment, as follows: (1) Flight control and guidance systems (including guidance sets) specially designed for articles enumerated in paragraph (a) of this category (MT for those articles enumerated in paragraphs (a)(1) and (a)(2) of this category); Note to paragraph (h)(1): A guidance set integrates the process of measuring and computing a vehicle's position and velocity (</w:t>
      </w:r>
      <w:proofErr w:type="spellStart"/>
      <w:r w:rsidRPr="007F5C3A">
        <w:rPr>
          <w:sz w:val="2"/>
          <w:szCs w:val="2"/>
        </w:rPr>
        <w:t>i.e.,navigation</w:t>
      </w:r>
      <w:proofErr w:type="spellEnd"/>
      <w:r w:rsidRPr="007F5C3A">
        <w:rPr>
          <w:sz w:val="2"/>
          <w:szCs w:val="2"/>
        </w:rPr>
        <w:t xml:space="preserve">) with that of computing and sending commands to the vehicle's flight control systems to correct the trajectory. (2) Seeker systems specially designed for articles enumerated in paragraph (a) of this category (e.g., radiofrequency, infrared) (MT for articles enumerated in paragraphs (a)(1) and (a)(2) of this category); (3) Kinetic kill vehicles and specially designed parts and components therefor; (4) Missile or rocket thrust vector control systems (MT for those thrust vector control systems usable in articles enumerated in paragraph (a)(1) of this category); (5) MANPADS grip stocks and specially designed parts and components therefor; (6) Rocket or missile nozzles and nozzle throats, and specially designed parts and components therefor (MT for those nozzles and nozzle throats usable in systems enumerated in paragraphs (a)(1) and (a)(2) of this category); (7) Rocket or missile nose tips, nose fairings, or aerospikes, and specially designed parts and components therefor (MT for those articles enumerated in paragraphs (a)(1) and (a)(2) of this category); (8) Re-entry vehicle or warhead heat shields (MT for those re-entry vehicles and heat shields usable in systems enumerated in paragraph (a)(1) of this category); (9) Missile and rocket </w:t>
      </w:r>
      <w:proofErr w:type="spellStart"/>
      <w:r w:rsidRPr="007F5C3A">
        <w:rPr>
          <w:sz w:val="2"/>
          <w:szCs w:val="2"/>
        </w:rPr>
        <w:t>safing</w:t>
      </w:r>
      <w:proofErr w:type="spellEnd"/>
      <w:r w:rsidRPr="007F5C3A">
        <w:rPr>
          <w:sz w:val="2"/>
          <w:szCs w:val="2"/>
        </w:rPr>
        <w:t xml:space="preserve">, arming, </w:t>
      </w:r>
      <w:proofErr w:type="spellStart"/>
      <w:r w:rsidRPr="007F5C3A">
        <w:rPr>
          <w:sz w:val="2"/>
          <w:szCs w:val="2"/>
        </w:rPr>
        <w:t>fuzing</w:t>
      </w:r>
      <w:proofErr w:type="spellEnd"/>
      <w:r w:rsidRPr="007F5C3A">
        <w:rPr>
          <w:sz w:val="2"/>
          <w:szCs w:val="2"/>
        </w:rPr>
        <w:t xml:space="preserve">, and firing (SAFF) components (to include target detection and proximity sensing devices), and specially designed parts therefor (MT for those SAFF components usable in systems enumerated in paragraph (a)(1) of this category); (10) Self-destruct systems specially designed for articles enumerated in paragraph (a) of this category (MT for those articles enumerated in paragraphs (a)(1) and (a)(2) of this category); (11) Separation mechanisms, staging mechanisms, and </w:t>
      </w:r>
      <w:proofErr w:type="spellStart"/>
      <w:r w:rsidRPr="007F5C3A">
        <w:rPr>
          <w:sz w:val="2"/>
          <w:szCs w:val="2"/>
        </w:rPr>
        <w:t>interstages</w:t>
      </w:r>
      <w:proofErr w:type="spellEnd"/>
      <w:r w:rsidRPr="007F5C3A">
        <w:rPr>
          <w:sz w:val="2"/>
          <w:szCs w:val="2"/>
        </w:rPr>
        <w:t xml:space="preserve"> useable for articles enumerated in paragraph (a) of this category, and specially designed parts and components therefor (MT for those separation mechanisms, staging mechanisms, and </w:t>
      </w:r>
      <w:proofErr w:type="spellStart"/>
      <w:r w:rsidRPr="007F5C3A">
        <w:rPr>
          <w:sz w:val="2"/>
          <w:szCs w:val="2"/>
        </w:rPr>
        <w:t>interstages</w:t>
      </w:r>
      <w:proofErr w:type="spellEnd"/>
      <w:r w:rsidRPr="007F5C3A">
        <w:rPr>
          <w:sz w:val="2"/>
          <w:szCs w:val="2"/>
        </w:rPr>
        <w:t xml:space="preserve"> usable in systems enumerated in paragraph (a)(1) of this category); (12) Post-boost vehicles (PBV) (MT); (13) Engine or motor mounts specially designed for articles enumerated in paragraphs (a) and (b) of this category (MT for those articles enumerated in paragraphs (a)(1), (a)(2), and (b)(1) of this category); (14) Combustion chambers specially designed for articles enumerated in paragraphs (a) and (d) of this category and specially designed parts and components therefor (MT for those articles enumerated in paragraphs (a)(1), (a)(2), (b)(1), and (d)(1) through (d)(5) of this category); (15) Injectors specially designed for articles controlled in this category (MT for those injectors specially designed which are usable in systems enumerated in paragraph (a)(1) of this category); (16) Solid rocket motor or liquid engine igniters; (17) Re-entry vehicles and specially designed parts and components therefor not elsewhere specified in this category (MT); Note to paragraph (h)(17): This paragraph does not control spacecraft. For controls on spacecraft, see USML Category XV and, if not described therein, then CCL ECCN 9A515. (18) Specially designed parts and components for articles controlled in paragraph (g) not elsewhere specified in this category; (19) Penetration aids and specially designed parts and components therefor (e.g., physical or electronic countermeasure suites, re-entry vehicle replicas or decoys, or submunitions); (20) Rocket motor cases and specially designed parts and components therefor (e.g., flanges, flange seals, end domes) (MT for those rocket motor cases usable in systems enumerated in paragraphs (a)(1) and (a)(2) of this category and for specially designed parts and components for hybrid rocket motors enumerated in paragraphs (d)(2) and (d)(3) of this category); (21) Solid rocket motor liners and rocket motor insulation (MT for those solid rocket motor liners usable in systems enumerated in paragraph (a)(1) of this category or specially designed for systems enumerated in paragraph (a)(2) of this category; and rocket motor insulation usable in systems enumerated in paragraphs (a)(1) and (a)(2) of this category); (22) </w:t>
      </w:r>
      <w:proofErr w:type="spellStart"/>
      <w:r w:rsidRPr="007F5C3A">
        <w:rPr>
          <w:sz w:val="2"/>
          <w:szCs w:val="2"/>
        </w:rPr>
        <w:t>Radomes</w:t>
      </w:r>
      <w:proofErr w:type="spellEnd"/>
      <w:r w:rsidRPr="007F5C3A">
        <w:rPr>
          <w:sz w:val="2"/>
          <w:szCs w:val="2"/>
        </w:rPr>
        <w:t xml:space="preserve">, sensor windows, and antenna windows specially designed for articles enumerated in paragraph (a) of this category (MT for those </w:t>
      </w:r>
      <w:proofErr w:type="spellStart"/>
      <w:r w:rsidRPr="007F5C3A">
        <w:rPr>
          <w:sz w:val="2"/>
          <w:szCs w:val="2"/>
        </w:rPr>
        <w:t>radomes</w:t>
      </w:r>
      <w:proofErr w:type="spellEnd"/>
      <w:r w:rsidRPr="007F5C3A">
        <w:rPr>
          <w:sz w:val="2"/>
          <w:szCs w:val="2"/>
        </w:rPr>
        <w:t xml:space="preserve"> usable in systems enumerated in paragraph (a)(1) of this category and for any </w:t>
      </w:r>
      <w:proofErr w:type="spellStart"/>
      <w:r w:rsidRPr="007F5C3A">
        <w:rPr>
          <w:sz w:val="2"/>
          <w:szCs w:val="2"/>
        </w:rPr>
        <w:t>radomes</w:t>
      </w:r>
      <w:proofErr w:type="spellEnd"/>
      <w:r w:rsidRPr="007F5C3A">
        <w:rPr>
          <w:sz w:val="2"/>
          <w:szCs w:val="2"/>
        </w:rPr>
        <w:t xml:space="preserve">, sensor windows, or antenna windows manufactured as composite structures or laminates specially designed for use in the systems and components enumerated in paragraph (a)(1), (a)(2), (d)(1), (h)(8), (h)(9), (h)(17), or (h)(25) of this category); (23) Rocket or missile payload fairings; (24) Rocket or missile launch canisters (MT for those rocket or missile launch canisters designed or modified for systems enumerated in paragraphs (a)(1) and (a)(2) of this category); (25) </w:t>
      </w:r>
      <w:proofErr w:type="spellStart"/>
      <w:r w:rsidRPr="007F5C3A">
        <w:rPr>
          <w:sz w:val="2"/>
          <w:szCs w:val="2"/>
        </w:rPr>
        <w:t>Fuzes</w:t>
      </w:r>
      <w:proofErr w:type="spellEnd"/>
      <w:r w:rsidRPr="007F5C3A">
        <w:rPr>
          <w:sz w:val="2"/>
          <w:szCs w:val="2"/>
        </w:rPr>
        <w:t xml:space="preserve"> specially designed for articles enumerated in paragraph (a) of this category (e.g., proximity, contact, electronic, dispenser proximity, airburst, variable time delay, or multi-option) (MT for those </w:t>
      </w:r>
      <w:proofErr w:type="spellStart"/>
      <w:r w:rsidRPr="007F5C3A">
        <w:rPr>
          <w:sz w:val="2"/>
          <w:szCs w:val="2"/>
        </w:rPr>
        <w:t>fuzes</w:t>
      </w:r>
      <w:proofErr w:type="spellEnd"/>
      <w:r w:rsidRPr="007F5C3A">
        <w:rPr>
          <w:sz w:val="2"/>
          <w:szCs w:val="2"/>
        </w:rPr>
        <w:t xml:space="preserve"> usable in systems enumerated in paragraph (a)(1) of this category); (26) Rocket or missile liquid propellant tanks (MT for those rocket or missile liquid propellant tanks usable in systems enumerated in paragraph (a)(1) of this category); (27) Rocket or missile altimeters specially designed for use in articles enumerated in paragraph (a)(1) of this category (MT); (28) Pneumatic, hydraulic, mechanical, electro-optical, or electromechanical flight control systems (including fly-by-wire systems) and attitude control equipment specially designed for use in the rockets or missiles enumerated in paragraph (a)(1) of this category (MT for these systems which have been designed or modified for those enumerated in paragraph (a)(1) of this category); (29) Umbilical and </w:t>
      </w:r>
      <w:proofErr w:type="spellStart"/>
      <w:r w:rsidRPr="007F5C3A">
        <w:rPr>
          <w:sz w:val="2"/>
          <w:szCs w:val="2"/>
        </w:rPr>
        <w:t>interstage</w:t>
      </w:r>
      <w:proofErr w:type="spellEnd"/>
      <w:r w:rsidRPr="007F5C3A">
        <w:rPr>
          <w:sz w:val="2"/>
          <w:szCs w:val="2"/>
        </w:rPr>
        <w:t xml:space="preserve"> electrical connectors specially designed for use in the rockets or missiles enumerated in paragraph (a)(1) or (a)(2) of this category (MT); or Note to paragraph (h)(29): This paragraph also includes electrical connectors installed between the systems specified in paragraph (a)(1) or (a)(2) of this category and their payload. *(30) Any part, component, accessory, attachment, equipment, or system that (MT for those articles designated as such): (</w:t>
      </w:r>
      <w:proofErr w:type="spellStart"/>
      <w:r w:rsidRPr="007F5C3A">
        <w:rPr>
          <w:sz w:val="2"/>
          <w:szCs w:val="2"/>
        </w:rPr>
        <w:t>i</w:t>
      </w:r>
      <w:proofErr w:type="spellEnd"/>
      <w:r w:rsidRPr="007F5C3A">
        <w:rPr>
          <w:sz w:val="2"/>
          <w:szCs w:val="2"/>
        </w:rPr>
        <w:t>) Is classified; (ii) Contains classified software directly related to defense articles in this subchapter or 600 series items subject to the EAR; or (iii) Is being developed using classified information. Note to paragraph (h)(30): “Classified” means classified pursuant to Executive Order 13526, or predecessor order, and a security classification guide developed pursuant thereto or equivalent, or to the corresponding classification rules of another government or international organization. (</w:t>
      </w:r>
      <w:proofErr w:type="spellStart"/>
      <w:r w:rsidRPr="007F5C3A">
        <w:rPr>
          <w:sz w:val="2"/>
          <w:szCs w:val="2"/>
        </w:rPr>
        <w:t>i</w:t>
      </w:r>
      <w:proofErr w:type="spellEnd"/>
      <w:r w:rsidRPr="007F5C3A">
        <w:rPr>
          <w:sz w:val="2"/>
          <w:szCs w:val="2"/>
        </w:rPr>
        <w:t>) Technical data (see §120.10 of this subchapter) and defense services (see §120.9 of this subchapter) directly related to the defense articles described in paragraphs (a) through (h) of this category and classified technical data directly related to items controlled in ECCNs 0A604, 0B604, 0D604, 9A604, 9B604, or 9D604 and defense services using the classified technical data. Defense services include the furnishing of assistance (including training) to a foreign person in the integration of a satellite or spacecraft to a launch vehicle, including both planning and onsite support, regardless of the jurisdiction, ownership, or origin of the satellite or spacecraft, or whether technical data is used. It also includes the furnishing of assistance (including training) to a foreign person in the launch failure analysis of a launch vehicle, regardless of the jurisdiction, ownership, or origin of the launch vehicle, or whether technical data is used. (See §125.4 of this subchapter for exemptions, and §124.15 of this subchapter for special export controls for spacecraft and spacecraft launches.) (MT for technical data and defense services related to articles designated as such.) (j)-(w) [Reserved] (x) Commodities, software, and technical data subject to the EAR (see §120.42 of this subchapter) used in or with defense articles. Note to paragraph (x): Use of this paragraph is limited to license applications for defense articles where the purchase documentation includes commodities, software, or technical data subject to the EAR (see §123.1(b) of this subchapter). Note to Category IV: If a Missile Technology Control Regime Category I item is included in a system, that system will also be considered as a Category I item, except when the incorporated item cannot be separated, removed, or duplicated. Category V—Explosives and Energetic Materials, Propellants, Incendiary Agents, and Their Constituents *(a) Explosives, and mixtures thereof, as follows: (1) ADNBF (</w:t>
      </w:r>
      <w:proofErr w:type="spellStart"/>
      <w:r w:rsidRPr="007F5C3A">
        <w:rPr>
          <w:sz w:val="2"/>
          <w:szCs w:val="2"/>
        </w:rPr>
        <w:t>aminodinitrobenzofuroxan</w:t>
      </w:r>
      <w:proofErr w:type="spellEnd"/>
      <w:r w:rsidRPr="007F5C3A">
        <w:rPr>
          <w:sz w:val="2"/>
          <w:szCs w:val="2"/>
        </w:rPr>
        <w:t xml:space="preserve"> or 7-Amino 4,6-dinitrobenzofurazane-1-oxide) (CAS 97096-78-1); (2) BNCP (cis-bis(5-nitrotetrazolato) tetra amine-cobalt (III) perchlorate) (CAS 117412-28-9); (3) CL-14 (</w:t>
      </w:r>
      <w:proofErr w:type="spellStart"/>
      <w:r w:rsidRPr="007F5C3A">
        <w:rPr>
          <w:sz w:val="2"/>
          <w:szCs w:val="2"/>
        </w:rPr>
        <w:t>diaminodinitrobenzofuroxan</w:t>
      </w:r>
      <w:proofErr w:type="spellEnd"/>
      <w:r w:rsidRPr="007F5C3A">
        <w:rPr>
          <w:sz w:val="2"/>
          <w:szCs w:val="2"/>
        </w:rPr>
        <w:t xml:space="preserve"> or 5,7-diamino-4,6-dinitrobenzofurazane-1-oxide) (CAS 117907-74-1); (4) CL-20 (HNIW or </w:t>
      </w:r>
      <w:proofErr w:type="spellStart"/>
      <w:r w:rsidRPr="007F5C3A">
        <w:rPr>
          <w:sz w:val="2"/>
          <w:szCs w:val="2"/>
        </w:rPr>
        <w:t>Hexanitrohexaazaisowurtzitane</w:t>
      </w:r>
      <w:proofErr w:type="spellEnd"/>
      <w:r w:rsidRPr="007F5C3A">
        <w:rPr>
          <w:sz w:val="2"/>
          <w:szCs w:val="2"/>
        </w:rPr>
        <w:t xml:space="preserve">) (CAS 135285-90-4); clathrates of CL-20 (MT for CL-20); (5) CP (2-(5-cyanotetrazolato) </w:t>
      </w:r>
      <w:proofErr w:type="spellStart"/>
      <w:r w:rsidRPr="007F5C3A">
        <w:rPr>
          <w:sz w:val="2"/>
          <w:szCs w:val="2"/>
        </w:rPr>
        <w:t>penta</w:t>
      </w:r>
      <w:proofErr w:type="spellEnd"/>
      <w:r w:rsidRPr="007F5C3A">
        <w:rPr>
          <w:sz w:val="2"/>
          <w:szCs w:val="2"/>
        </w:rPr>
        <w:t xml:space="preserve"> </w:t>
      </w:r>
      <w:proofErr w:type="spellStart"/>
      <w:r w:rsidRPr="007F5C3A">
        <w:rPr>
          <w:sz w:val="2"/>
          <w:szCs w:val="2"/>
        </w:rPr>
        <w:t>aminecobalt</w:t>
      </w:r>
      <w:proofErr w:type="spellEnd"/>
      <w:r w:rsidRPr="007F5C3A">
        <w:rPr>
          <w:sz w:val="2"/>
          <w:szCs w:val="2"/>
        </w:rPr>
        <w:t xml:space="preserve"> (III) perchlorate) (CAS 70247-32-4); (6) DADE (1,1-diamino-2,2-dinitroethylene, FOX-7) (CAS 145250-81-3); (7) DATB (</w:t>
      </w:r>
      <w:proofErr w:type="spellStart"/>
      <w:r w:rsidRPr="007F5C3A">
        <w:rPr>
          <w:sz w:val="2"/>
          <w:szCs w:val="2"/>
        </w:rPr>
        <w:t>Diaminotrinitrobenzene</w:t>
      </w:r>
      <w:proofErr w:type="spellEnd"/>
      <w:r w:rsidRPr="007F5C3A">
        <w:rPr>
          <w:sz w:val="2"/>
          <w:szCs w:val="2"/>
        </w:rPr>
        <w:t xml:space="preserve">) (CAS 1630-08-6); (8) DDFP (1,4-dinitrodifurazanopiperazine); (9) DDPO (2,6-diamino-3,5-dinitropyrazine-1-oxide, PZO) (CAS 194486-77-6); (10) DIPAM (3,3′-Diamino-2,2′,4,4′,6,6′-hexanitrobiphenyl or </w:t>
      </w:r>
      <w:proofErr w:type="spellStart"/>
      <w:r w:rsidRPr="007F5C3A">
        <w:rPr>
          <w:sz w:val="2"/>
          <w:szCs w:val="2"/>
        </w:rPr>
        <w:t>dipicramide</w:t>
      </w:r>
      <w:proofErr w:type="spellEnd"/>
      <w:r w:rsidRPr="007F5C3A">
        <w:rPr>
          <w:sz w:val="2"/>
          <w:szCs w:val="2"/>
        </w:rPr>
        <w:t xml:space="preserve">) (CAS 17215-44-0); (11) DNAN (2,4-Dinitroanisole) (CAS 119-27-7); (12) DNGU (DINGU or </w:t>
      </w:r>
      <w:proofErr w:type="spellStart"/>
      <w:r w:rsidRPr="007F5C3A">
        <w:rPr>
          <w:sz w:val="2"/>
          <w:szCs w:val="2"/>
        </w:rPr>
        <w:t>dinitroglycoluril</w:t>
      </w:r>
      <w:proofErr w:type="spellEnd"/>
      <w:r w:rsidRPr="007F5C3A">
        <w:rPr>
          <w:sz w:val="2"/>
          <w:szCs w:val="2"/>
        </w:rPr>
        <w:t>) (CAS 55510-04-8); (13) Furazans, as follows: (</w:t>
      </w:r>
      <w:proofErr w:type="spellStart"/>
      <w:r w:rsidRPr="007F5C3A">
        <w:rPr>
          <w:sz w:val="2"/>
          <w:szCs w:val="2"/>
        </w:rPr>
        <w:t>i</w:t>
      </w:r>
      <w:proofErr w:type="spellEnd"/>
      <w:r w:rsidRPr="007F5C3A">
        <w:rPr>
          <w:sz w:val="2"/>
          <w:szCs w:val="2"/>
        </w:rPr>
        <w:t xml:space="preserve">) DAAOF (DAAF, </w:t>
      </w:r>
      <w:proofErr w:type="spellStart"/>
      <w:r w:rsidRPr="007F5C3A">
        <w:rPr>
          <w:sz w:val="2"/>
          <w:szCs w:val="2"/>
        </w:rPr>
        <w:t>DAAFox</w:t>
      </w:r>
      <w:proofErr w:type="spellEnd"/>
      <w:r w:rsidRPr="007F5C3A">
        <w:rPr>
          <w:sz w:val="2"/>
          <w:szCs w:val="2"/>
        </w:rPr>
        <w:t xml:space="preserve">, or </w:t>
      </w:r>
      <w:proofErr w:type="spellStart"/>
      <w:r w:rsidRPr="007F5C3A">
        <w:rPr>
          <w:sz w:val="2"/>
          <w:szCs w:val="2"/>
        </w:rPr>
        <w:t>diaminoazoxyfurazan</w:t>
      </w:r>
      <w:proofErr w:type="spellEnd"/>
      <w:r w:rsidRPr="007F5C3A">
        <w:rPr>
          <w:sz w:val="2"/>
          <w:szCs w:val="2"/>
        </w:rPr>
        <w:t xml:space="preserve">); (ii) </w:t>
      </w:r>
      <w:proofErr w:type="spellStart"/>
      <w:r w:rsidRPr="007F5C3A">
        <w:rPr>
          <w:sz w:val="2"/>
          <w:szCs w:val="2"/>
        </w:rPr>
        <w:t>DAAzF</w:t>
      </w:r>
      <w:proofErr w:type="spellEnd"/>
      <w:r w:rsidRPr="007F5C3A">
        <w:rPr>
          <w:sz w:val="2"/>
          <w:szCs w:val="2"/>
        </w:rPr>
        <w:t xml:space="preserve"> (</w:t>
      </w:r>
      <w:proofErr w:type="spellStart"/>
      <w:r w:rsidRPr="007F5C3A">
        <w:rPr>
          <w:sz w:val="2"/>
          <w:szCs w:val="2"/>
        </w:rPr>
        <w:t>diaminoazofurazan</w:t>
      </w:r>
      <w:proofErr w:type="spellEnd"/>
      <w:r w:rsidRPr="007F5C3A">
        <w:rPr>
          <w:sz w:val="2"/>
          <w:szCs w:val="2"/>
        </w:rPr>
        <w:t>) (CAS 78644-90-3); (iii) ANF (</w:t>
      </w:r>
      <w:proofErr w:type="spellStart"/>
      <w:r w:rsidRPr="007F5C3A">
        <w:rPr>
          <w:sz w:val="2"/>
          <w:szCs w:val="2"/>
        </w:rPr>
        <w:t>Furazanamine</w:t>
      </w:r>
      <w:proofErr w:type="spellEnd"/>
      <w:r w:rsidRPr="007F5C3A">
        <w:rPr>
          <w:sz w:val="2"/>
          <w:szCs w:val="2"/>
        </w:rPr>
        <w:t xml:space="preserve">, 4-nitro- or 3-Amino-4-nitrofurazan; or 4-Nitro-1,2,5-oxadiazol-3-amine; or 4-Nitro-3-furazanamine; CAS 66328-69-6); or (iv) </w:t>
      </w:r>
      <w:proofErr w:type="spellStart"/>
      <w:r w:rsidRPr="007F5C3A">
        <w:rPr>
          <w:sz w:val="2"/>
          <w:szCs w:val="2"/>
        </w:rPr>
        <w:t>ANAzF</w:t>
      </w:r>
      <w:proofErr w:type="spellEnd"/>
      <w:r w:rsidRPr="007F5C3A">
        <w:rPr>
          <w:sz w:val="2"/>
          <w:szCs w:val="2"/>
        </w:rPr>
        <w:t xml:space="preserve"> (</w:t>
      </w:r>
      <w:proofErr w:type="spellStart"/>
      <w:r w:rsidRPr="007F5C3A">
        <w:rPr>
          <w:sz w:val="2"/>
          <w:szCs w:val="2"/>
        </w:rPr>
        <w:t>Aminonitroazofurazan</w:t>
      </w:r>
      <w:proofErr w:type="spellEnd"/>
      <w:r w:rsidRPr="007F5C3A">
        <w:rPr>
          <w:sz w:val="2"/>
          <w:szCs w:val="2"/>
        </w:rPr>
        <w:t xml:space="preserve"> or 1,2,5-Oxadiazol-3-amine, 4-[2-(4-nitro-1,2,5-oxadiazol-3-yl) </w:t>
      </w:r>
      <w:proofErr w:type="spellStart"/>
      <w:r w:rsidRPr="007F5C3A">
        <w:rPr>
          <w:sz w:val="2"/>
          <w:szCs w:val="2"/>
        </w:rPr>
        <w:t>diazenyl</w:t>
      </w:r>
      <w:proofErr w:type="spellEnd"/>
      <w:r w:rsidRPr="007F5C3A">
        <w:rPr>
          <w:sz w:val="2"/>
          <w:szCs w:val="2"/>
        </w:rPr>
        <w:t xml:space="preserve">]; or 1,2,5-Oxadiazol-3-amine, 4-[(4-nitro-1,2,5-oxadiazol-3-yl)azo]- (9CI); or </w:t>
      </w:r>
      <w:proofErr w:type="spellStart"/>
      <w:r w:rsidRPr="007F5C3A">
        <w:rPr>
          <w:sz w:val="2"/>
          <w:szCs w:val="2"/>
        </w:rPr>
        <w:t>Furazanamine</w:t>
      </w:r>
      <w:proofErr w:type="spellEnd"/>
      <w:r w:rsidRPr="007F5C3A">
        <w:rPr>
          <w:sz w:val="2"/>
          <w:szCs w:val="2"/>
        </w:rPr>
        <w:t>, 4-[(</w:t>
      </w:r>
      <w:proofErr w:type="spellStart"/>
      <w:r w:rsidRPr="007F5C3A">
        <w:rPr>
          <w:sz w:val="2"/>
          <w:szCs w:val="2"/>
        </w:rPr>
        <w:t>nitrofurananyl</w:t>
      </w:r>
      <w:proofErr w:type="spellEnd"/>
      <w:r w:rsidRPr="007F5C3A">
        <w:rPr>
          <w:sz w:val="2"/>
          <w:szCs w:val="2"/>
        </w:rPr>
        <w:t>)azo]-; or 4-[(4-Nitro-1,2,5-oxadiazol-3-yl)azo]-1,2,5-oxadiazol-3-amine) (CAS 155438-11-2); (14) GUDN (</w:t>
      </w:r>
      <w:proofErr w:type="spellStart"/>
      <w:r w:rsidRPr="007F5C3A">
        <w:rPr>
          <w:sz w:val="2"/>
          <w:szCs w:val="2"/>
        </w:rPr>
        <w:t>Guanylurea</w:t>
      </w:r>
      <w:proofErr w:type="spellEnd"/>
      <w:r w:rsidRPr="007F5C3A">
        <w:rPr>
          <w:sz w:val="2"/>
          <w:szCs w:val="2"/>
        </w:rPr>
        <w:t xml:space="preserve"> dinitramide) FOX-12 (CAS 217464-38-5); (15) HMX and derivatives, as follows: (</w:t>
      </w:r>
      <w:proofErr w:type="spellStart"/>
      <w:r w:rsidRPr="007F5C3A">
        <w:rPr>
          <w:sz w:val="2"/>
          <w:szCs w:val="2"/>
        </w:rPr>
        <w:t>i</w:t>
      </w:r>
      <w:proofErr w:type="spellEnd"/>
      <w:r w:rsidRPr="007F5C3A">
        <w:rPr>
          <w:sz w:val="2"/>
          <w:szCs w:val="2"/>
        </w:rPr>
        <w:t>) HMX (</w:t>
      </w:r>
      <w:proofErr w:type="spellStart"/>
      <w:r w:rsidRPr="007F5C3A">
        <w:rPr>
          <w:sz w:val="2"/>
          <w:szCs w:val="2"/>
        </w:rPr>
        <w:t>Cyclotetramethylenetetranitramine</w:t>
      </w:r>
      <w:proofErr w:type="spellEnd"/>
      <w:r w:rsidRPr="007F5C3A">
        <w:rPr>
          <w:sz w:val="2"/>
          <w:szCs w:val="2"/>
        </w:rPr>
        <w:t xml:space="preserve">; octahydro-1,3,5,7-tetranitro-1,3,5,7-tetrazine; 1,3,5,7-tetranitro-1,3,5,7-tetraza-cyclooctane; octogen, </w:t>
      </w:r>
      <w:proofErr w:type="spellStart"/>
      <w:r w:rsidRPr="007F5C3A">
        <w:rPr>
          <w:sz w:val="2"/>
          <w:szCs w:val="2"/>
        </w:rPr>
        <w:t>octogene</w:t>
      </w:r>
      <w:proofErr w:type="spellEnd"/>
      <w:r w:rsidRPr="007F5C3A">
        <w:rPr>
          <w:sz w:val="2"/>
          <w:szCs w:val="2"/>
        </w:rPr>
        <w:t xml:space="preserve">) (CAS 2691-41-0) (MT); (ii) </w:t>
      </w:r>
      <w:proofErr w:type="spellStart"/>
      <w:r w:rsidRPr="007F5C3A">
        <w:rPr>
          <w:sz w:val="2"/>
          <w:szCs w:val="2"/>
        </w:rPr>
        <w:t>Difluoroaminated</w:t>
      </w:r>
      <w:proofErr w:type="spellEnd"/>
      <w:r w:rsidRPr="007F5C3A">
        <w:rPr>
          <w:sz w:val="2"/>
          <w:szCs w:val="2"/>
        </w:rPr>
        <w:t xml:space="preserve"> analogs of HMX; or (iii) K-55 (2,4,6,8-tetranitro-2,4,6,8-tetraazabicyclo [3,3,0]-octanone-3, </w:t>
      </w:r>
      <w:proofErr w:type="spellStart"/>
      <w:r w:rsidRPr="007F5C3A">
        <w:rPr>
          <w:sz w:val="2"/>
          <w:szCs w:val="2"/>
        </w:rPr>
        <w:t>tetranitrosemiglycouril</w:t>
      </w:r>
      <w:proofErr w:type="spellEnd"/>
      <w:r w:rsidRPr="007F5C3A">
        <w:rPr>
          <w:sz w:val="2"/>
          <w:szCs w:val="2"/>
        </w:rPr>
        <w:t>, or keto-bicyclic HMX) (CAS 130256-72-3); (16) HNAD (</w:t>
      </w:r>
      <w:proofErr w:type="spellStart"/>
      <w:r w:rsidRPr="007F5C3A">
        <w:rPr>
          <w:sz w:val="2"/>
          <w:szCs w:val="2"/>
        </w:rPr>
        <w:t>hexanitroadamantane</w:t>
      </w:r>
      <w:proofErr w:type="spellEnd"/>
      <w:r w:rsidRPr="007F5C3A">
        <w:rPr>
          <w:sz w:val="2"/>
          <w:szCs w:val="2"/>
        </w:rPr>
        <w:t>) (CAS 143850-71-9); (17) HNS (</w:t>
      </w:r>
      <w:proofErr w:type="spellStart"/>
      <w:r w:rsidRPr="007F5C3A">
        <w:rPr>
          <w:sz w:val="2"/>
          <w:szCs w:val="2"/>
        </w:rPr>
        <w:t>hexanitrostilbene</w:t>
      </w:r>
      <w:proofErr w:type="spellEnd"/>
      <w:r w:rsidRPr="007F5C3A">
        <w:rPr>
          <w:sz w:val="2"/>
          <w:szCs w:val="2"/>
        </w:rPr>
        <w:t xml:space="preserve">) (CAS 20062-22-0); (18) </w:t>
      </w:r>
      <w:proofErr w:type="spellStart"/>
      <w:r w:rsidRPr="007F5C3A">
        <w:rPr>
          <w:sz w:val="2"/>
          <w:szCs w:val="2"/>
        </w:rPr>
        <w:t>Imidazoles</w:t>
      </w:r>
      <w:proofErr w:type="spellEnd"/>
      <w:r w:rsidRPr="007F5C3A">
        <w:rPr>
          <w:sz w:val="2"/>
          <w:szCs w:val="2"/>
        </w:rPr>
        <w:t>, as follows: (</w:t>
      </w:r>
      <w:proofErr w:type="spellStart"/>
      <w:r w:rsidRPr="007F5C3A">
        <w:rPr>
          <w:sz w:val="2"/>
          <w:szCs w:val="2"/>
        </w:rPr>
        <w:t>i</w:t>
      </w:r>
      <w:proofErr w:type="spellEnd"/>
      <w:r w:rsidRPr="007F5C3A">
        <w:rPr>
          <w:sz w:val="2"/>
          <w:szCs w:val="2"/>
        </w:rPr>
        <w:t>) BNNII (Octohydro-2,5-bis(</w:t>
      </w:r>
      <w:proofErr w:type="spellStart"/>
      <w:r w:rsidRPr="007F5C3A">
        <w:rPr>
          <w:sz w:val="2"/>
          <w:szCs w:val="2"/>
        </w:rPr>
        <w:t>nitroimino</w:t>
      </w:r>
      <w:proofErr w:type="spellEnd"/>
      <w:r w:rsidRPr="007F5C3A">
        <w:rPr>
          <w:sz w:val="2"/>
          <w:szCs w:val="2"/>
        </w:rPr>
        <w:t xml:space="preserve">) </w:t>
      </w:r>
      <w:proofErr w:type="spellStart"/>
      <w:r w:rsidRPr="007F5C3A">
        <w:rPr>
          <w:sz w:val="2"/>
          <w:szCs w:val="2"/>
        </w:rPr>
        <w:t>imidazo</w:t>
      </w:r>
      <w:proofErr w:type="spellEnd"/>
      <w:r w:rsidRPr="007F5C3A">
        <w:rPr>
          <w:sz w:val="2"/>
          <w:szCs w:val="2"/>
        </w:rPr>
        <w:t xml:space="preserve"> [4,5-d]imidazole); (ii) DNI (2,4-dinitroimidazole) (CAS 5213-49-0); (iii) FDIA (1-fluoro-2,4-dinitroimidazole); (iv) NTDNIA (N-(2-nitrotriazolo)-2,4-dinitro-imidazole); or (v) PTIA (1-picryl-2,4,5-trinitroimidazole); (19) NTNMH (1-(2-nitrotriazolo)-2-dinitromethylene hydrazine); (20) NTO (ONTA or 3-nitro-1,2,4-triazol-5-one) (CAS 932-64-9); (21) </w:t>
      </w:r>
      <w:proofErr w:type="spellStart"/>
      <w:r w:rsidRPr="007F5C3A">
        <w:rPr>
          <w:sz w:val="2"/>
          <w:szCs w:val="2"/>
        </w:rPr>
        <w:t>Polynitrocubanes</w:t>
      </w:r>
      <w:proofErr w:type="spellEnd"/>
      <w:r w:rsidRPr="007F5C3A">
        <w:rPr>
          <w:sz w:val="2"/>
          <w:szCs w:val="2"/>
        </w:rPr>
        <w:t xml:space="preserve"> with more than four nitro groups; (22) PYX (2,6-Bis(</w:t>
      </w:r>
      <w:proofErr w:type="spellStart"/>
      <w:r w:rsidRPr="007F5C3A">
        <w:rPr>
          <w:sz w:val="2"/>
          <w:szCs w:val="2"/>
        </w:rPr>
        <w:t>picrylamino</w:t>
      </w:r>
      <w:proofErr w:type="spellEnd"/>
      <w:r w:rsidRPr="007F5C3A">
        <w:rPr>
          <w:sz w:val="2"/>
          <w:szCs w:val="2"/>
        </w:rPr>
        <w:t>)-3,5-dinitropyridine) (CAS 38082-89-2); (23) RDX and derivatives, as follows: (</w:t>
      </w:r>
      <w:proofErr w:type="spellStart"/>
      <w:r w:rsidRPr="007F5C3A">
        <w:rPr>
          <w:sz w:val="2"/>
          <w:szCs w:val="2"/>
        </w:rPr>
        <w:t>i</w:t>
      </w:r>
      <w:proofErr w:type="spellEnd"/>
      <w:r w:rsidRPr="007F5C3A">
        <w:rPr>
          <w:sz w:val="2"/>
          <w:szCs w:val="2"/>
        </w:rPr>
        <w:t xml:space="preserve">) RDX (cyclotrimethylenetrinitramine), cyclonite, T4, hexahydro-1,3,5-trinitro-1,3,5-triazine, 1,3,5-trinitro-1,3,5-triaza-cyclohexane, hexogen, or </w:t>
      </w:r>
      <w:proofErr w:type="spellStart"/>
      <w:r w:rsidRPr="007F5C3A">
        <w:rPr>
          <w:sz w:val="2"/>
          <w:szCs w:val="2"/>
        </w:rPr>
        <w:t>hexogene</w:t>
      </w:r>
      <w:proofErr w:type="spellEnd"/>
      <w:r w:rsidRPr="007F5C3A">
        <w:rPr>
          <w:sz w:val="2"/>
          <w:szCs w:val="2"/>
        </w:rPr>
        <w:t xml:space="preserve">) (CAS 121-82-4) (MT); (ii) Keto-RDX (K-6 or 2,4,6-trinitro-2,4,6-triazacyclohexanone) (CAS 115029-35-1); or (iii) </w:t>
      </w:r>
      <w:proofErr w:type="spellStart"/>
      <w:r w:rsidRPr="007F5C3A">
        <w:rPr>
          <w:sz w:val="2"/>
          <w:szCs w:val="2"/>
        </w:rPr>
        <w:t>Difluoraminated</w:t>
      </w:r>
      <w:proofErr w:type="spellEnd"/>
      <w:r w:rsidRPr="007F5C3A">
        <w:rPr>
          <w:sz w:val="2"/>
          <w:szCs w:val="2"/>
        </w:rPr>
        <w:t xml:space="preserve"> derivative of RDX; 1,3-Dinitro-5,5-bis(</w:t>
      </w:r>
      <w:proofErr w:type="spellStart"/>
      <w:r w:rsidRPr="007F5C3A">
        <w:rPr>
          <w:sz w:val="2"/>
          <w:szCs w:val="2"/>
        </w:rPr>
        <w:t>difluoramino</w:t>
      </w:r>
      <w:proofErr w:type="spellEnd"/>
      <w:r w:rsidRPr="007F5C3A">
        <w:rPr>
          <w:sz w:val="2"/>
          <w:szCs w:val="2"/>
        </w:rPr>
        <w:t>)1,3-diazahexane (CAS No. 193021-34-0); (24) TAGN (</w:t>
      </w:r>
      <w:proofErr w:type="spellStart"/>
      <w:r w:rsidRPr="007F5C3A">
        <w:rPr>
          <w:sz w:val="2"/>
          <w:szCs w:val="2"/>
        </w:rPr>
        <w:t>Triaminoguanidinenitrate</w:t>
      </w:r>
      <w:proofErr w:type="spellEnd"/>
      <w:r w:rsidRPr="007F5C3A">
        <w:rPr>
          <w:sz w:val="2"/>
          <w:szCs w:val="2"/>
        </w:rPr>
        <w:t>) (CAS 4000-16-2); (25) TATB (</w:t>
      </w:r>
      <w:proofErr w:type="spellStart"/>
      <w:r w:rsidRPr="007F5C3A">
        <w:rPr>
          <w:sz w:val="2"/>
          <w:szCs w:val="2"/>
        </w:rPr>
        <w:t>Triaminotrinitrobenzene</w:t>
      </w:r>
      <w:proofErr w:type="spellEnd"/>
      <w:r w:rsidRPr="007F5C3A">
        <w:rPr>
          <w:sz w:val="2"/>
          <w:szCs w:val="2"/>
        </w:rPr>
        <w:t>) (CAS 3058-38-6); (26) TEDDZ (3,3,7,7-tetrakis(</w:t>
      </w:r>
      <w:proofErr w:type="spellStart"/>
      <w:r w:rsidRPr="007F5C3A">
        <w:rPr>
          <w:sz w:val="2"/>
          <w:szCs w:val="2"/>
        </w:rPr>
        <w:t>difluoroamine</w:t>
      </w:r>
      <w:proofErr w:type="spellEnd"/>
      <w:r w:rsidRPr="007F5C3A">
        <w:rPr>
          <w:sz w:val="2"/>
          <w:szCs w:val="2"/>
        </w:rPr>
        <w:t>) octahydro-1,5-dinitro-1,5-diazocine; (27) Tetrazines, as follows: (</w:t>
      </w:r>
      <w:proofErr w:type="spellStart"/>
      <w:r w:rsidRPr="007F5C3A">
        <w:rPr>
          <w:sz w:val="2"/>
          <w:szCs w:val="2"/>
        </w:rPr>
        <w:t>i</w:t>
      </w:r>
      <w:proofErr w:type="spellEnd"/>
      <w:r w:rsidRPr="007F5C3A">
        <w:rPr>
          <w:sz w:val="2"/>
          <w:szCs w:val="2"/>
        </w:rPr>
        <w:t>) BTAT (Bis(2,2,2-trinitroethyl)-3,6-diaminotetrazine); or (ii) LAX-112 (3,6-diamino-1,2,4,5-tetrazine-1,4-dioxide); (28) Tetrazoles, as follows: (</w:t>
      </w:r>
      <w:proofErr w:type="spellStart"/>
      <w:r w:rsidRPr="007F5C3A">
        <w:rPr>
          <w:sz w:val="2"/>
          <w:szCs w:val="2"/>
        </w:rPr>
        <w:t>i</w:t>
      </w:r>
      <w:proofErr w:type="spellEnd"/>
      <w:r w:rsidRPr="007F5C3A">
        <w:rPr>
          <w:sz w:val="2"/>
          <w:szCs w:val="2"/>
        </w:rPr>
        <w:t>) NTAT (</w:t>
      </w:r>
      <w:proofErr w:type="spellStart"/>
      <w:r w:rsidRPr="007F5C3A">
        <w:rPr>
          <w:sz w:val="2"/>
          <w:szCs w:val="2"/>
        </w:rPr>
        <w:t>nitrotriazolaminotetrazole</w:t>
      </w:r>
      <w:proofErr w:type="spellEnd"/>
      <w:r w:rsidRPr="007F5C3A">
        <w:rPr>
          <w:sz w:val="2"/>
          <w:szCs w:val="2"/>
        </w:rPr>
        <w:t>); or (ii) NTNT (1-N-(2-nitrotriazolo)-4-nitrotetrazole); (29) Tetryl (</w:t>
      </w:r>
      <w:proofErr w:type="spellStart"/>
      <w:r w:rsidRPr="007F5C3A">
        <w:rPr>
          <w:sz w:val="2"/>
          <w:szCs w:val="2"/>
        </w:rPr>
        <w:t>trinitrophenylmethylnitramine</w:t>
      </w:r>
      <w:proofErr w:type="spellEnd"/>
      <w:r w:rsidRPr="007F5C3A">
        <w:rPr>
          <w:sz w:val="2"/>
          <w:szCs w:val="2"/>
        </w:rPr>
        <w:t xml:space="preserve">) (CAS 479-45-8); (30) TEX (4,10-Dinitro-2,6,8,12-tetraoxa-4,10-diazaisowurtzitane); (31) TNAD (1,4,5,8-tetranitro-1,4,5,8-tetraazadecalin) (CAS 135877-16-6); (32) TNAZ (1,3,3-trinitroazetidine) (CAS 97645-24-4); (33) TNGU (SORGUYL or </w:t>
      </w:r>
      <w:proofErr w:type="spellStart"/>
      <w:r w:rsidRPr="007F5C3A">
        <w:rPr>
          <w:sz w:val="2"/>
          <w:szCs w:val="2"/>
        </w:rPr>
        <w:t>tetranitroglycoluril</w:t>
      </w:r>
      <w:proofErr w:type="spellEnd"/>
      <w:r w:rsidRPr="007F5C3A">
        <w:rPr>
          <w:sz w:val="2"/>
          <w:szCs w:val="2"/>
        </w:rPr>
        <w:t>) (CAS 55510-03-7); (34) TNP (1,4,5,8-tetranitro-pyridazino [4,5-d] pyridazine) (CAS 229176-04-9); (35) Triazines, as follows: (</w:t>
      </w:r>
      <w:proofErr w:type="spellStart"/>
      <w:r w:rsidRPr="007F5C3A">
        <w:rPr>
          <w:sz w:val="2"/>
          <w:szCs w:val="2"/>
        </w:rPr>
        <w:t>i</w:t>
      </w:r>
      <w:proofErr w:type="spellEnd"/>
      <w:r w:rsidRPr="007F5C3A">
        <w:rPr>
          <w:sz w:val="2"/>
          <w:szCs w:val="2"/>
        </w:rPr>
        <w:t>) DNAM (2-oxy-4,6-dinitroamino-s-triazine) (CAS 19899-80-0); or (ii) NNHT (2-nitroimino-5-nitro-hexahydro-1,3,5 triazine) (CAS 130400-13-4); (36) Triazoles, as follows: (</w:t>
      </w:r>
      <w:proofErr w:type="spellStart"/>
      <w:r w:rsidRPr="007F5C3A">
        <w:rPr>
          <w:sz w:val="2"/>
          <w:szCs w:val="2"/>
        </w:rPr>
        <w:t>i</w:t>
      </w:r>
      <w:proofErr w:type="spellEnd"/>
      <w:r w:rsidRPr="007F5C3A">
        <w:rPr>
          <w:sz w:val="2"/>
          <w:szCs w:val="2"/>
        </w:rPr>
        <w:t>) 5-azido-2-nitrotriazole; (ii) ADHTDN (4-amino-3,5-dihydrazino-1,2,4-triazole dinitramide) (CAS 1614-08-0); (iii) ADNT (1-amino-3,5-dinitro-1,2,4-triazole); (iv) BDNTA (Bis(</w:t>
      </w:r>
      <w:proofErr w:type="spellStart"/>
      <w:r w:rsidRPr="007F5C3A">
        <w:rPr>
          <w:sz w:val="2"/>
          <w:szCs w:val="2"/>
        </w:rPr>
        <w:t>dinitrotriazole</w:t>
      </w:r>
      <w:proofErr w:type="spellEnd"/>
      <w:r w:rsidRPr="007F5C3A">
        <w:rPr>
          <w:sz w:val="2"/>
          <w:szCs w:val="2"/>
        </w:rPr>
        <w:t>)amine); (v) DBT (3,3′-dinitro-5,5-bi-1,2,4-triazole) (CAS 30003-46-4); (vi) DNBT (</w:t>
      </w:r>
      <w:proofErr w:type="spellStart"/>
      <w:r w:rsidRPr="007F5C3A">
        <w:rPr>
          <w:sz w:val="2"/>
          <w:szCs w:val="2"/>
        </w:rPr>
        <w:t>dinitrobistriazole</w:t>
      </w:r>
      <w:proofErr w:type="spellEnd"/>
      <w:r w:rsidRPr="007F5C3A">
        <w:rPr>
          <w:sz w:val="2"/>
          <w:szCs w:val="2"/>
        </w:rPr>
        <w:t>) (CAS 70890-46-9); (vii) NTDNT (1-N-(2-nitrotriazolo) 3,5-dinitro-triazole); (viii) PDNT (1-picryl-3,5-dinitrotriazole); or (ix) TACOT (</w:t>
      </w:r>
      <w:proofErr w:type="spellStart"/>
      <w:r w:rsidRPr="007F5C3A">
        <w:rPr>
          <w:sz w:val="2"/>
          <w:szCs w:val="2"/>
        </w:rPr>
        <w:t>tetranitrobenzotriazolobenzotriazole</w:t>
      </w:r>
      <w:proofErr w:type="spellEnd"/>
      <w:r w:rsidRPr="007F5C3A">
        <w:rPr>
          <w:sz w:val="2"/>
          <w:szCs w:val="2"/>
        </w:rPr>
        <w:t xml:space="preserve">) (CAS 25243-36-1); (37) Energetic ionic materials melting between 343 K (70 °C) and 373 K (100 °C) and with detonation velocity exceeding 6800 m/s or detonation pressure exceeding 18 </w:t>
      </w:r>
      <w:proofErr w:type="spellStart"/>
      <w:r w:rsidRPr="007F5C3A">
        <w:rPr>
          <w:sz w:val="2"/>
          <w:szCs w:val="2"/>
        </w:rPr>
        <w:t>GPa</w:t>
      </w:r>
      <w:proofErr w:type="spellEnd"/>
      <w:r w:rsidRPr="007F5C3A">
        <w:rPr>
          <w:sz w:val="2"/>
          <w:szCs w:val="2"/>
        </w:rPr>
        <w:t xml:space="preserve"> (180 </w:t>
      </w:r>
      <w:proofErr w:type="spellStart"/>
      <w:r w:rsidRPr="007F5C3A">
        <w:rPr>
          <w:sz w:val="2"/>
          <w:szCs w:val="2"/>
        </w:rPr>
        <w:t>kbar</w:t>
      </w:r>
      <w:proofErr w:type="spellEnd"/>
      <w:r w:rsidRPr="007F5C3A">
        <w:rPr>
          <w:sz w:val="2"/>
          <w:szCs w:val="2"/>
        </w:rPr>
        <w:t xml:space="preserve">); or (38) Explosives, not otherwise enumerated in this paragraph or on the CCL in ECCN 1C608, with a detonation velocity exceeding 8700 m/s at maximum density or a detonation pressure exceeding 34 </w:t>
      </w:r>
      <w:proofErr w:type="spellStart"/>
      <w:r w:rsidRPr="007F5C3A">
        <w:rPr>
          <w:sz w:val="2"/>
          <w:szCs w:val="2"/>
        </w:rPr>
        <w:t>Gpa</w:t>
      </w:r>
      <w:proofErr w:type="spellEnd"/>
      <w:r w:rsidRPr="007F5C3A">
        <w:rPr>
          <w:sz w:val="2"/>
          <w:szCs w:val="2"/>
        </w:rPr>
        <w:t xml:space="preserve"> (340 </w:t>
      </w:r>
      <w:proofErr w:type="spellStart"/>
      <w:r w:rsidRPr="007F5C3A">
        <w:rPr>
          <w:sz w:val="2"/>
          <w:szCs w:val="2"/>
        </w:rPr>
        <w:t>kbar</w:t>
      </w:r>
      <w:proofErr w:type="spellEnd"/>
      <w:r w:rsidRPr="007F5C3A">
        <w:rPr>
          <w:sz w:val="2"/>
          <w:szCs w:val="2"/>
        </w:rPr>
        <w:t>). *(b) Propellants, as follows (MT for composite and composite modified double-base propellants): (1) Any solid propellant with a theoretical specific impulse (see paragraph (k)(4) of this category) greater than: (</w:t>
      </w:r>
      <w:proofErr w:type="spellStart"/>
      <w:r w:rsidRPr="007F5C3A">
        <w:rPr>
          <w:sz w:val="2"/>
          <w:szCs w:val="2"/>
        </w:rPr>
        <w:t>i</w:t>
      </w:r>
      <w:proofErr w:type="spellEnd"/>
      <w:r w:rsidRPr="007F5C3A">
        <w:rPr>
          <w:sz w:val="2"/>
          <w:szCs w:val="2"/>
        </w:rPr>
        <w:t xml:space="preserve">) 240 seconds for non-metallized, non-halogenated propellant; (ii) 250 seconds for non-metallized, halogenated propellant; or (iii) 260 seconds for metallized propellant; (2) Propellants having a force constant of more than 1,200 kJ/Kg; (3) Propellants that can sustain a steady-state burning rate more than 38 mm/s under standard conditions (as measured in the form of an inhibited single strand) of 6.89 </w:t>
      </w:r>
      <w:proofErr w:type="spellStart"/>
      <w:r w:rsidRPr="007F5C3A">
        <w:rPr>
          <w:sz w:val="2"/>
          <w:szCs w:val="2"/>
        </w:rPr>
        <w:t>Mpa</w:t>
      </w:r>
      <w:proofErr w:type="spellEnd"/>
      <w:r w:rsidRPr="007F5C3A">
        <w:rPr>
          <w:sz w:val="2"/>
          <w:szCs w:val="2"/>
        </w:rPr>
        <w:t xml:space="preserve"> (68.9 bar) pressure and 294K (21 °C); (4) Elastomer-modified cast double-based propellants with extensibility at maximum stress greater than 5% at 233 K (−40 °C); or (5) Other composite and composite modified double-base propellants. (c) Pyrotechnics, fuels and related substances, and mixtures thereof, as follows: (1) Alane (aluminum hydride) (CAS 7784-21-6); (2) </w:t>
      </w:r>
      <w:proofErr w:type="spellStart"/>
      <w:r w:rsidRPr="007F5C3A">
        <w:rPr>
          <w:sz w:val="2"/>
          <w:szCs w:val="2"/>
        </w:rPr>
        <w:t>Carboranes</w:t>
      </w:r>
      <w:proofErr w:type="spellEnd"/>
      <w:r w:rsidRPr="007F5C3A">
        <w:rPr>
          <w:sz w:val="2"/>
          <w:szCs w:val="2"/>
        </w:rPr>
        <w:t xml:space="preserve">; </w:t>
      </w:r>
      <w:proofErr w:type="spellStart"/>
      <w:r w:rsidRPr="007F5C3A">
        <w:rPr>
          <w:sz w:val="2"/>
          <w:szCs w:val="2"/>
        </w:rPr>
        <w:t>decaborane</w:t>
      </w:r>
      <w:proofErr w:type="spellEnd"/>
      <w:r w:rsidRPr="007F5C3A">
        <w:rPr>
          <w:sz w:val="2"/>
          <w:szCs w:val="2"/>
        </w:rPr>
        <w:t xml:space="preserve"> (CAS 17702-41-9); pentaborane and derivatives thereof (MT); (3) Liquid high energy density fuels, as follows (MT): (</w:t>
      </w:r>
      <w:proofErr w:type="spellStart"/>
      <w:r w:rsidRPr="007F5C3A">
        <w:rPr>
          <w:sz w:val="2"/>
          <w:szCs w:val="2"/>
        </w:rPr>
        <w:t>i</w:t>
      </w:r>
      <w:proofErr w:type="spellEnd"/>
      <w:r w:rsidRPr="007F5C3A">
        <w:rPr>
          <w:sz w:val="2"/>
          <w:szCs w:val="2"/>
        </w:rPr>
        <w:t xml:space="preserve">) Mixed fuels that incorporate both solid and liquid fuels, such as boron slurry, having a mass-based energy density of 40 MJ/kg or greater; or (ii) Other high energy density fuels and fuel additives (e.g., </w:t>
      </w:r>
      <w:proofErr w:type="spellStart"/>
      <w:r w:rsidRPr="007F5C3A">
        <w:rPr>
          <w:sz w:val="2"/>
          <w:szCs w:val="2"/>
        </w:rPr>
        <w:t>cubane</w:t>
      </w:r>
      <w:proofErr w:type="spellEnd"/>
      <w:r w:rsidRPr="007F5C3A">
        <w:rPr>
          <w:sz w:val="2"/>
          <w:szCs w:val="2"/>
        </w:rPr>
        <w:t>, ionic solutions, JP-7, JP-10) having a volume-based energy density of 37.5 GJ per cubic meter or greater, measured at 20 °C and one atmosphere (101.325 kPa) pressure; Note to paragraph (c)(3)(ii): JP-4, JP-8, fossil refined fuels or biofuels, or fuels for engines certified for use in civil aviation are not included. (4) Metal fuels, and fuel or pyrotechnic mixtures in particle form whether spherical, atomized, spheroidal, flaked, or ground, manufactured from material consisting of 99% or more of any of the following: (</w:t>
      </w:r>
      <w:proofErr w:type="spellStart"/>
      <w:r w:rsidRPr="007F5C3A">
        <w:rPr>
          <w:sz w:val="2"/>
          <w:szCs w:val="2"/>
        </w:rPr>
        <w:t>i</w:t>
      </w:r>
      <w:proofErr w:type="spellEnd"/>
      <w:r w:rsidRPr="007F5C3A">
        <w:rPr>
          <w:sz w:val="2"/>
          <w:szCs w:val="2"/>
        </w:rPr>
        <w:t>) Metals, and mixtures thereof, as follows: (A) Beryllium (CAS 7440-41-7) in particle sizes of less than 60 micrometers (MT); or (B) Iron powder (CAS 7439-89-6) with particle size of 3 micrometers or less produced by reduction of iron oxide with hydrogen; (ii) Fuel mixtures or pyrotechnic mixtures, which contain any of the following: (A) Boron (CAS 7440-42-8) or boron carbide (CAS 12069-32-8) fuels of 85% purity or higher and particle sizes of less than 60 micrometers; or (B) Zirconium (CAS 7440-67-7), magnesium (CAS 7439-95-4), or alloys of these in particle sizes of less than 60 micrometers; (iii) Explosives and fuels containing the metals or alloys listed in paragraphs (c)(4)(</w:t>
      </w:r>
      <w:proofErr w:type="spellStart"/>
      <w:r w:rsidRPr="007F5C3A">
        <w:rPr>
          <w:sz w:val="2"/>
          <w:szCs w:val="2"/>
        </w:rPr>
        <w:t>i</w:t>
      </w:r>
      <w:proofErr w:type="spellEnd"/>
      <w:r w:rsidRPr="007F5C3A">
        <w:rPr>
          <w:sz w:val="2"/>
          <w:szCs w:val="2"/>
        </w:rPr>
        <w:t>) and (c)(4)(ii) of this category whether or not the metals or alloys are encapsulated in aluminum, magnesium, zirconium, or beryllium; (5) Fuel, pyrotechnic, or energetic mixtures having any nanosized aluminum, beryllium, boron, zirconium, magnesium, or titanium, as follows: (</w:t>
      </w:r>
      <w:proofErr w:type="spellStart"/>
      <w:r w:rsidRPr="007F5C3A">
        <w:rPr>
          <w:sz w:val="2"/>
          <w:szCs w:val="2"/>
        </w:rPr>
        <w:t>i</w:t>
      </w:r>
      <w:proofErr w:type="spellEnd"/>
      <w:r w:rsidRPr="007F5C3A">
        <w:rPr>
          <w:sz w:val="2"/>
          <w:szCs w:val="2"/>
        </w:rPr>
        <w:t>) Having particle size less than 200 nm in any direction; and (ii) Having 60% or higher purity; (6) Pyrotechnic and pyrophoric materials, as follows: (</w:t>
      </w:r>
      <w:proofErr w:type="spellStart"/>
      <w:r w:rsidRPr="007F5C3A">
        <w:rPr>
          <w:sz w:val="2"/>
          <w:szCs w:val="2"/>
        </w:rPr>
        <w:t>i</w:t>
      </w:r>
      <w:proofErr w:type="spellEnd"/>
      <w:r w:rsidRPr="007F5C3A">
        <w:rPr>
          <w:sz w:val="2"/>
          <w:szCs w:val="2"/>
        </w:rPr>
        <w:t xml:space="preserve">) Pyrotechnic or pyrophoric materials specifically formulated to enhance or control the production of radiated energy in any part of the IR spectrum; or (ii) Mixtures of magnesium, polytetrafluoroethylene and the copolymer vinylidene difluoride and hexafluoropropylene (MT); (7) Titanium </w:t>
      </w:r>
      <w:proofErr w:type="spellStart"/>
      <w:r w:rsidRPr="007F5C3A">
        <w:rPr>
          <w:sz w:val="2"/>
          <w:szCs w:val="2"/>
        </w:rPr>
        <w:t>subhydride</w:t>
      </w:r>
      <w:proofErr w:type="spellEnd"/>
      <w:r w:rsidRPr="007F5C3A">
        <w:rPr>
          <w:sz w:val="2"/>
          <w:szCs w:val="2"/>
        </w:rPr>
        <w:t xml:space="preserve"> (</w:t>
      </w:r>
      <w:proofErr w:type="spellStart"/>
      <w:r w:rsidRPr="007F5C3A">
        <w:rPr>
          <w:sz w:val="2"/>
          <w:szCs w:val="2"/>
        </w:rPr>
        <w:t>TiHn</w:t>
      </w:r>
      <w:proofErr w:type="spellEnd"/>
      <w:r w:rsidRPr="007F5C3A">
        <w:rPr>
          <w:sz w:val="2"/>
          <w:szCs w:val="2"/>
        </w:rPr>
        <w:t>) of stoichiometry equivalent to n = 0.65-1.68; or (8) Hydrocarbon fuels specially formulated for use in flame throwers or incendiary munitions containing metal stearates (e.g., octal) or palmitates, and M1, M2, and M3 thickeners. (d) Oxidizers, as follows: (1) ADN (ammonium dinitramide or SR-12) (CAS 140456-78-6) (MT); (2) AP (ammonium perchlorate) (CAS 7790-98-9) (MT); (3) BDNPN (bis(2,2-dinitropropyl)nitrate) (CAS 28464-24-6); (4) DNAD (1,3-dinitro-1,3-diazetidine) (CAS 78246-06-7); (5) HAN (Hydroxylammonium nitrate) (CAS 13465-08-2); (6) HAP (hydroxylammonium perchlorate) (CAS 15588-62-2); (7) HNF (Hydrazinium nitroformate) (CAS 20773-28-8) (MT); (8) Hydrazine nitrate (CAS 37836-27-4) (MT); (9) Hydrazine perchlorate (CAS 27978-54-7) (MT); (10) Inhibited red fuming nitric acid (IRFNA) (CAS 8007-58-7) and liquid oxidizers comprised of or containing IRFNA or oxygen difluoride (MT for liquid oxidizers comprised of IRFNA); or (11) Perchlorates, chlorates, and chromates composited with powdered metal or other high energy fuel components controlled under this category (MT). *(e) Binders, and mixtures thereof, as follows: (1) AMMO (</w:t>
      </w:r>
      <w:proofErr w:type="spellStart"/>
      <w:r w:rsidRPr="007F5C3A">
        <w:rPr>
          <w:sz w:val="2"/>
          <w:szCs w:val="2"/>
        </w:rPr>
        <w:t>azidomethylmethyloxetane</w:t>
      </w:r>
      <w:proofErr w:type="spellEnd"/>
      <w:r w:rsidRPr="007F5C3A">
        <w:rPr>
          <w:sz w:val="2"/>
          <w:szCs w:val="2"/>
        </w:rPr>
        <w:t xml:space="preserve"> and its polymers) (CAS 90683-29-7); (2) BAMO-3-3 (bis(azidomethyl)oxetane and its polymers) (CAS 17607-20-4); (3) BTTN (</w:t>
      </w:r>
      <w:proofErr w:type="spellStart"/>
      <w:r w:rsidRPr="007F5C3A">
        <w:rPr>
          <w:sz w:val="2"/>
          <w:szCs w:val="2"/>
        </w:rPr>
        <w:t>butanetriol</w:t>
      </w:r>
      <w:proofErr w:type="spellEnd"/>
      <w:r w:rsidRPr="007F5C3A">
        <w:rPr>
          <w:sz w:val="2"/>
          <w:szCs w:val="2"/>
        </w:rPr>
        <w:t xml:space="preserve"> trinitrate) (CAS 6659-60-5) (MT); (4) FAMAO (3-difluoroaminomethyl-3-azidomethyloxetane) and its polymers; (5) FEFO (bis(2-fluoro-2,2-dinitroethyl)formal) (CAS 17003-79-1); (6) GAP (glycidyl </w:t>
      </w:r>
      <w:proofErr w:type="spellStart"/>
      <w:r w:rsidRPr="007F5C3A">
        <w:rPr>
          <w:sz w:val="2"/>
          <w:szCs w:val="2"/>
        </w:rPr>
        <w:t>azide</w:t>
      </w:r>
      <w:proofErr w:type="spellEnd"/>
      <w:r w:rsidRPr="007F5C3A">
        <w:rPr>
          <w:sz w:val="2"/>
          <w:szCs w:val="2"/>
        </w:rPr>
        <w:t xml:space="preserve"> polymer) (CAS 143178-24-9) and its derivatives (MT for GAP); (7) HTPB (hydroxyl-terminated polybutadiene) with a hydroxyl functionality equal to or greater than 2.2 and less than or equal to 2.4, a hydroxyl value of less than 0.77 </w:t>
      </w:r>
      <w:proofErr w:type="spellStart"/>
      <w:r w:rsidRPr="007F5C3A">
        <w:rPr>
          <w:sz w:val="2"/>
          <w:szCs w:val="2"/>
        </w:rPr>
        <w:t>meq</w:t>
      </w:r>
      <w:proofErr w:type="spellEnd"/>
      <w:r w:rsidRPr="007F5C3A">
        <w:rPr>
          <w:sz w:val="2"/>
          <w:szCs w:val="2"/>
        </w:rPr>
        <w:t>/g, and a viscosity at 30 °C of less than 47 poise (CAS 69102-90-5) (MT); (8) 4,5 diazidomethyl-2-methyl-1,2,3-triazole (iso-DAMTR) (MT); (9) NENAS (</w:t>
      </w:r>
      <w:proofErr w:type="spellStart"/>
      <w:r w:rsidRPr="007F5C3A">
        <w:rPr>
          <w:sz w:val="2"/>
          <w:szCs w:val="2"/>
        </w:rPr>
        <w:t>nitratoethylnitramine</w:t>
      </w:r>
      <w:proofErr w:type="spellEnd"/>
      <w:r w:rsidRPr="007F5C3A">
        <w:rPr>
          <w:sz w:val="2"/>
          <w:szCs w:val="2"/>
        </w:rPr>
        <w:t xml:space="preserve"> compounds), as follows: (</w:t>
      </w:r>
      <w:proofErr w:type="spellStart"/>
      <w:r w:rsidRPr="007F5C3A">
        <w:rPr>
          <w:sz w:val="2"/>
          <w:szCs w:val="2"/>
        </w:rPr>
        <w:t>i</w:t>
      </w:r>
      <w:proofErr w:type="spellEnd"/>
      <w:r w:rsidRPr="007F5C3A">
        <w:rPr>
          <w:sz w:val="2"/>
          <w:szCs w:val="2"/>
        </w:rPr>
        <w:t>) N-Methyl 2-nitratoethylnitramine (Methyl-NENA) (CAS 17096-47-8) (MT); (ii) N-Ethyl 2-nitratoethylnitramine (Ethyl-NENA) (CAS 85068-73-1) (MT); (iii) N-Propyl 2-nitratoethylnitramine (CAS 82486-83-7); (iv) N-Butyl-2-nitratoethylnitramine (</w:t>
      </w:r>
      <w:proofErr w:type="spellStart"/>
      <w:r w:rsidRPr="007F5C3A">
        <w:rPr>
          <w:sz w:val="2"/>
          <w:szCs w:val="2"/>
        </w:rPr>
        <w:t>BuNENA</w:t>
      </w:r>
      <w:proofErr w:type="spellEnd"/>
      <w:r w:rsidRPr="007F5C3A">
        <w:rPr>
          <w:sz w:val="2"/>
          <w:szCs w:val="2"/>
        </w:rPr>
        <w:t xml:space="preserve">) (CAS 82486-82-6); or (v) N-Pentyl 2-nitratoethylnitramine (CAS 85954-06-9); (10) Poly-NIMMO (poly </w:t>
      </w:r>
      <w:proofErr w:type="spellStart"/>
      <w:r w:rsidRPr="007F5C3A">
        <w:rPr>
          <w:sz w:val="2"/>
          <w:szCs w:val="2"/>
        </w:rPr>
        <w:t>nitratomethylmethyoxetane</w:t>
      </w:r>
      <w:proofErr w:type="spellEnd"/>
      <w:r w:rsidRPr="007F5C3A">
        <w:rPr>
          <w:sz w:val="2"/>
          <w:szCs w:val="2"/>
        </w:rPr>
        <w:t xml:space="preserve">, poly-NMMO, (poly[3-nitratomethyl-3-methyl oxetane]) (CAS 84051-81-0); (11) PNO (Poly(3-nitratooxetane)); (12) TVOPA 1,2,3-Tris [1,2-bis(difluoroamino)ethoxy]propane; tris </w:t>
      </w:r>
      <w:proofErr w:type="spellStart"/>
      <w:r w:rsidRPr="007F5C3A">
        <w:rPr>
          <w:sz w:val="2"/>
          <w:szCs w:val="2"/>
        </w:rPr>
        <w:t>vinoxy</w:t>
      </w:r>
      <w:proofErr w:type="spellEnd"/>
      <w:r w:rsidRPr="007F5C3A">
        <w:rPr>
          <w:sz w:val="2"/>
          <w:szCs w:val="2"/>
        </w:rPr>
        <w:t xml:space="preserve"> propane adduct (CAS 53159-39-0); (13) </w:t>
      </w:r>
      <w:proofErr w:type="spellStart"/>
      <w:r w:rsidRPr="007F5C3A">
        <w:rPr>
          <w:sz w:val="2"/>
          <w:szCs w:val="2"/>
        </w:rPr>
        <w:t>Polynitrorthocarbonates</w:t>
      </w:r>
      <w:proofErr w:type="spellEnd"/>
      <w:r w:rsidRPr="007F5C3A">
        <w:rPr>
          <w:sz w:val="2"/>
          <w:szCs w:val="2"/>
        </w:rPr>
        <w:t>; (14) FPF-1 (poly-2,2,3,3,4,4-hexafluoro pentane-1,5-diolformal) (CAS 376-90-9); (15) FPF-3 (poly-2,4,4,5,5,6,6-heptafluoro-2-trifluoromethyl-3-oxaheptane-1,7-diolformal); (16) PGN (</w:t>
      </w:r>
      <w:proofErr w:type="spellStart"/>
      <w:r w:rsidRPr="007F5C3A">
        <w:rPr>
          <w:sz w:val="2"/>
          <w:szCs w:val="2"/>
        </w:rPr>
        <w:t>Polyglycidyl</w:t>
      </w:r>
      <w:proofErr w:type="spellEnd"/>
      <w:r w:rsidRPr="007F5C3A">
        <w:rPr>
          <w:sz w:val="2"/>
          <w:szCs w:val="2"/>
        </w:rPr>
        <w:t xml:space="preserve"> nitrate or poly(</w:t>
      </w:r>
      <w:proofErr w:type="spellStart"/>
      <w:r w:rsidRPr="007F5C3A">
        <w:rPr>
          <w:sz w:val="2"/>
          <w:szCs w:val="2"/>
        </w:rPr>
        <w:t>nitratomethyloxirane</w:t>
      </w:r>
      <w:proofErr w:type="spellEnd"/>
      <w:r w:rsidRPr="007F5C3A">
        <w:rPr>
          <w:sz w:val="2"/>
          <w:szCs w:val="2"/>
        </w:rPr>
        <w:t>); poly-GLYN); (CAS 27814-48-8); (17) N-methyl-p-nitroaniline (MT); (18) Low (less than 10,000) molecular weight, alcohol-functionalized, poly(epichlorohydrin); poly(</w:t>
      </w:r>
      <w:proofErr w:type="spellStart"/>
      <w:r w:rsidRPr="007F5C3A">
        <w:rPr>
          <w:sz w:val="2"/>
          <w:szCs w:val="2"/>
        </w:rPr>
        <w:t>epichlorohydrindiol</w:t>
      </w:r>
      <w:proofErr w:type="spellEnd"/>
      <w:r w:rsidRPr="007F5C3A">
        <w:rPr>
          <w:sz w:val="2"/>
          <w:szCs w:val="2"/>
        </w:rPr>
        <w:t xml:space="preserve">); and </w:t>
      </w:r>
      <w:proofErr w:type="spellStart"/>
      <w:r w:rsidRPr="007F5C3A">
        <w:rPr>
          <w:sz w:val="2"/>
          <w:szCs w:val="2"/>
        </w:rPr>
        <w:t>triol</w:t>
      </w:r>
      <w:proofErr w:type="spellEnd"/>
      <w:r w:rsidRPr="007F5C3A">
        <w:rPr>
          <w:sz w:val="2"/>
          <w:szCs w:val="2"/>
        </w:rPr>
        <w:t xml:space="preserve">; or (19) </w:t>
      </w:r>
      <w:proofErr w:type="spellStart"/>
      <w:r w:rsidRPr="007F5C3A">
        <w:rPr>
          <w:sz w:val="2"/>
          <w:szCs w:val="2"/>
        </w:rPr>
        <w:t>Dinitropropyl</w:t>
      </w:r>
      <w:proofErr w:type="spellEnd"/>
      <w:r w:rsidRPr="007F5C3A">
        <w:rPr>
          <w:sz w:val="2"/>
          <w:szCs w:val="2"/>
        </w:rPr>
        <w:t xml:space="preserve"> based plasticizers, as follows (MT): (</w:t>
      </w:r>
      <w:proofErr w:type="spellStart"/>
      <w:r w:rsidRPr="007F5C3A">
        <w:rPr>
          <w:sz w:val="2"/>
          <w:szCs w:val="2"/>
        </w:rPr>
        <w:t>i</w:t>
      </w:r>
      <w:proofErr w:type="spellEnd"/>
      <w:r w:rsidRPr="007F5C3A">
        <w:rPr>
          <w:sz w:val="2"/>
          <w:szCs w:val="2"/>
        </w:rPr>
        <w:t>) BDNPA (bis (2,2-dinitropropyl) acetal) (CAS 5108-69-0); or (ii) BDNPF (bis (2,2-dinitropropyl) formal) (CAS 5917-61-3). (f) Additives, as follows: (1) Basic copper salicylate (CAS 62320-94-9); (2) BHEGA (Bis-(2-hydroxyethyl)</w:t>
      </w:r>
      <w:proofErr w:type="spellStart"/>
      <w:r w:rsidRPr="007F5C3A">
        <w:rPr>
          <w:sz w:val="2"/>
          <w:szCs w:val="2"/>
        </w:rPr>
        <w:t>glycolamide</w:t>
      </w:r>
      <w:proofErr w:type="spellEnd"/>
      <w:r w:rsidRPr="007F5C3A">
        <w:rPr>
          <w:sz w:val="2"/>
          <w:szCs w:val="2"/>
        </w:rPr>
        <w:t>) (CAS 17409-41-5); (3) BNO (</w:t>
      </w:r>
      <w:proofErr w:type="spellStart"/>
      <w:r w:rsidRPr="007F5C3A">
        <w:rPr>
          <w:sz w:val="2"/>
          <w:szCs w:val="2"/>
        </w:rPr>
        <w:t>Butadienenitrile</w:t>
      </w:r>
      <w:proofErr w:type="spellEnd"/>
      <w:r w:rsidRPr="007F5C3A">
        <w:rPr>
          <w:sz w:val="2"/>
          <w:szCs w:val="2"/>
        </w:rPr>
        <w:t xml:space="preserve"> oxide); (4) Ferrocene derivatives, as follows (MT): (</w:t>
      </w:r>
      <w:proofErr w:type="spellStart"/>
      <w:r w:rsidRPr="007F5C3A">
        <w:rPr>
          <w:sz w:val="2"/>
          <w:szCs w:val="2"/>
        </w:rPr>
        <w:t>i</w:t>
      </w:r>
      <w:proofErr w:type="spellEnd"/>
      <w:r w:rsidRPr="007F5C3A">
        <w:rPr>
          <w:sz w:val="2"/>
          <w:szCs w:val="2"/>
        </w:rPr>
        <w:t xml:space="preserve">) </w:t>
      </w:r>
      <w:proofErr w:type="spellStart"/>
      <w:r w:rsidRPr="007F5C3A">
        <w:rPr>
          <w:sz w:val="2"/>
          <w:szCs w:val="2"/>
        </w:rPr>
        <w:t>Butacene</w:t>
      </w:r>
      <w:proofErr w:type="spellEnd"/>
      <w:r w:rsidRPr="007F5C3A">
        <w:rPr>
          <w:sz w:val="2"/>
          <w:szCs w:val="2"/>
        </w:rPr>
        <w:t xml:space="preserve"> (CAS 125856-62-4); (ii) </w:t>
      </w:r>
      <w:proofErr w:type="spellStart"/>
      <w:r w:rsidRPr="007F5C3A">
        <w:rPr>
          <w:sz w:val="2"/>
          <w:szCs w:val="2"/>
        </w:rPr>
        <w:t>Catocene</w:t>
      </w:r>
      <w:proofErr w:type="spellEnd"/>
      <w:r w:rsidRPr="007F5C3A">
        <w:rPr>
          <w:sz w:val="2"/>
          <w:szCs w:val="2"/>
        </w:rPr>
        <w:t xml:space="preserve"> (2,2-Bis-ethylferrocenylpropane) (CAS 37206-42-1); (iii) Ferrocene carboxylic acids and ferrocene carboxylic acid esters; (iv) n-</w:t>
      </w:r>
      <w:proofErr w:type="spellStart"/>
      <w:r w:rsidRPr="007F5C3A">
        <w:rPr>
          <w:sz w:val="2"/>
          <w:szCs w:val="2"/>
        </w:rPr>
        <w:t>butylferrocene</w:t>
      </w:r>
      <w:proofErr w:type="spellEnd"/>
      <w:r w:rsidRPr="007F5C3A">
        <w:rPr>
          <w:sz w:val="2"/>
          <w:szCs w:val="2"/>
        </w:rPr>
        <w:t xml:space="preserve"> (CAS 31904-29-7); (v) </w:t>
      </w:r>
      <w:proofErr w:type="spellStart"/>
      <w:r w:rsidRPr="007F5C3A">
        <w:rPr>
          <w:sz w:val="2"/>
          <w:szCs w:val="2"/>
        </w:rPr>
        <w:t>Ethylferrocene</w:t>
      </w:r>
      <w:proofErr w:type="spellEnd"/>
      <w:r w:rsidRPr="007F5C3A">
        <w:rPr>
          <w:sz w:val="2"/>
          <w:szCs w:val="2"/>
        </w:rPr>
        <w:t xml:space="preserve"> (CAS 1273-89-8); (vi) </w:t>
      </w:r>
      <w:proofErr w:type="spellStart"/>
      <w:r w:rsidRPr="007F5C3A">
        <w:rPr>
          <w:sz w:val="2"/>
          <w:szCs w:val="2"/>
        </w:rPr>
        <w:t>Propylferrocene</w:t>
      </w:r>
      <w:proofErr w:type="spellEnd"/>
      <w:r w:rsidRPr="007F5C3A">
        <w:rPr>
          <w:sz w:val="2"/>
          <w:szCs w:val="2"/>
        </w:rPr>
        <w:t xml:space="preserve">; (vii) </w:t>
      </w:r>
      <w:proofErr w:type="spellStart"/>
      <w:r w:rsidRPr="007F5C3A">
        <w:rPr>
          <w:sz w:val="2"/>
          <w:szCs w:val="2"/>
        </w:rPr>
        <w:t>Pentylferrocene</w:t>
      </w:r>
      <w:proofErr w:type="spellEnd"/>
      <w:r w:rsidRPr="007F5C3A">
        <w:rPr>
          <w:sz w:val="2"/>
          <w:szCs w:val="2"/>
        </w:rPr>
        <w:t xml:space="preserve"> (CAS 1274-00-6); (viii) </w:t>
      </w:r>
      <w:proofErr w:type="spellStart"/>
      <w:r w:rsidRPr="007F5C3A">
        <w:rPr>
          <w:sz w:val="2"/>
          <w:szCs w:val="2"/>
        </w:rPr>
        <w:t>Dicyclopentylferrocene</w:t>
      </w:r>
      <w:proofErr w:type="spellEnd"/>
      <w:r w:rsidRPr="007F5C3A">
        <w:rPr>
          <w:sz w:val="2"/>
          <w:szCs w:val="2"/>
        </w:rPr>
        <w:t xml:space="preserve">; (ix) </w:t>
      </w:r>
      <w:proofErr w:type="spellStart"/>
      <w:r w:rsidRPr="007F5C3A">
        <w:rPr>
          <w:sz w:val="2"/>
          <w:szCs w:val="2"/>
        </w:rPr>
        <w:t>Dicyclohexylferrocene</w:t>
      </w:r>
      <w:proofErr w:type="spellEnd"/>
      <w:r w:rsidRPr="007F5C3A">
        <w:rPr>
          <w:sz w:val="2"/>
          <w:szCs w:val="2"/>
        </w:rPr>
        <w:t xml:space="preserve">; (x) </w:t>
      </w:r>
      <w:proofErr w:type="spellStart"/>
      <w:r w:rsidRPr="007F5C3A">
        <w:rPr>
          <w:sz w:val="2"/>
          <w:szCs w:val="2"/>
        </w:rPr>
        <w:t>Diethylferrocene</w:t>
      </w:r>
      <w:proofErr w:type="spellEnd"/>
      <w:r w:rsidRPr="007F5C3A">
        <w:rPr>
          <w:sz w:val="2"/>
          <w:szCs w:val="2"/>
        </w:rPr>
        <w:t xml:space="preserve"> (CAS 173-97-8); (xi) </w:t>
      </w:r>
      <w:proofErr w:type="spellStart"/>
      <w:r w:rsidRPr="007F5C3A">
        <w:rPr>
          <w:sz w:val="2"/>
          <w:szCs w:val="2"/>
        </w:rPr>
        <w:t>Dipropylferrocene</w:t>
      </w:r>
      <w:proofErr w:type="spellEnd"/>
      <w:r w:rsidRPr="007F5C3A">
        <w:rPr>
          <w:sz w:val="2"/>
          <w:szCs w:val="2"/>
        </w:rPr>
        <w:t xml:space="preserve">; (xii) </w:t>
      </w:r>
      <w:proofErr w:type="spellStart"/>
      <w:r w:rsidRPr="007F5C3A">
        <w:rPr>
          <w:sz w:val="2"/>
          <w:szCs w:val="2"/>
        </w:rPr>
        <w:t>Dibutylferrocene</w:t>
      </w:r>
      <w:proofErr w:type="spellEnd"/>
      <w:r w:rsidRPr="007F5C3A">
        <w:rPr>
          <w:sz w:val="2"/>
          <w:szCs w:val="2"/>
        </w:rPr>
        <w:t xml:space="preserve"> (CAS 1274-08-4); (xiii) </w:t>
      </w:r>
      <w:proofErr w:type="spellStart"/>
      <w:r w:rsidRPr="007F5C3A">
        <w:rPr>
          <w:sz w:val="2"/>
          <w:szCs w:val="2"/>
        </w:rPr>
        <w:t>Dihexylferrocene</w:t>
      </w:r>
      <w:proofErr w:type="spellEnd"/>
      <w:r w:rsidRPr="007F5C3A">
        <w:rPr>
          <w:sz w:val="2"/>
          <w:szCs w:val="2"/>
        </w:rPr>
        <w:t xml:space="preserve"> (CAS 93894-59-8); (xiv) Acetylferrocene (CAS 1271-55-2)/1,1′-diacetyl ferrocene (CAS 1273-94-5); or (xv) Other ferrocene derivatives that do not contain a six carbon aromatic functional group attached to the ferrocene molecule (MT if usable as rocket propellant burning rate modifier); (5) Lead beta-</w:t>
      </w:r>
      <w:proofErr w:type="spellStart"/>
      <w:r w:rsidRPr="007F5C3A">
        <w:rPr>
          <w:sz w:val="2"/>
          <w:szCs w:val="2"/>
        </w:rPr>
        <w:t>resorcylate</w:t>
      </w:r>
      <w:proofErr w:type="spellEnd"/>
      <w:r w:rsidRPr="007F5C3A">
        <w:rPr>
          <w:sz w:val="2"/>
          <w:szCs w:val="2"/>
        </w:rPr>
        <w:t xml:space="preserve"> (CAS 20936-32-7); (6) Lead citrate (CAS 14450-60-3); (7) Lead-copper chelates of beta-</w:t>
      </w:r>
      <w:proofErr w:type="spellStart"/>
      <w:r w:rsidRPr="007F5C3A">
        <w:rPr>
          <w:sz w:val="2"/>
          <w:szCs w:val="2"/>
        </w:rPr>
        <w:t>resorcylate</w:t>
      </w:r>
      <w:proofErr w:type="spellEnd"/>
      <w:r w:rsidRPr="007F5C3A">
        <w:rPr>
          <w:sz w:val="2"/>
          <w:szCs w:val="2"/>
        </w:rPr>
        <w:t xml:space="preserve"> or salicylates (CAS 68411-07-4); (8) Lead maleate (CAS 19136-34-6); (9) Lead salicylate (CAS 15748-73-9); (10) Lead stannate (CAS 12036-31-6); (11) MAPO (tris-1-(2-methyl) </w:t>
      </w:r>
      <w:proofErr w:type="spellStart"/>
      <w:r w:rsidRPr="007F5C3A">
        <w:rPr>
          <w:sz w:val="2"/>
          <w:szCs w:val="2"/>
        </w:rPr>
        <w:t>aziridinylphosphine</w:t>
      </w:r>
      <w:proofErr w:type="spellEnd"/>
      <w:r w:rsidRPr="007F5C3A">
        <w:rPr>
          <w:sz w:val="2"/>
          <w:szCs w:val="2"/>
        </w:rPr>
        <w:t xml:space="preserve"> oxide) (CAS 57-39-6); BOBBA-8 (bis(2-methyl </w:t>
      </w:r>
      <w:proofErr w:type="spellStart"/>
      <w:r w:rsidRPr="007F5C3A">
        <w:rPr>
          <w:sz w:val="2"/>
          <w:szCs w:val="2"/>
        </w:rPr>
        <w:t>aziridinyl</w:t>
      </w:r>
      <w:proofErr w:type="spellEnd"/>
      <w:r w:rsidRPr="007F5C3A">
        <w:rPr>
          <w:sz w:val="2"/>
          <w:szCs w:val="2"/>
        </w:rPr>
        <w:t xml:space="preserve">)-2-(2-hydroxypropanoxy) </w:t>
      </w:r>
      <w:proofErr w:type="spellStart"/>
      <w:r w:rsidRPr="007F5C3A">
        <w:rPr>
          <w:sz w:val="2"/>
          <w:szCs w:val="2"/>
        </w:rPr>
        <w:t>propylamino</w:t>
      </w:r>
      <w:proofErr w:type="spellEnd"/>
      <w:r w:rsidRPr="007F5C3A">
        <w:rPr>
          <w:sz w:val="2"/>
          <w:szCs w:val="2"/>
        </w:rPr>
        <w:t xml:space="preserve"> phosphine oxide); and other MAPO derivatives (MT for MAPO); (12) Methyl BAPO (Bis(2-methyl </w:t>
      </w:r>
      <w:proofErr w:type="spellStart"/>
      <w:r w:rsidRPr="007F5C3A">
        <w:rPr>
          <w:sz w:val="2"/>
          <w:szCs w:val="2"/>
        </w:rPr>
        <w:t>aziridinyl</w:t>
      </w:r>
      <w:proofErr w:type="spellEnd"/>
      <w:r w:rsidRPr="007F5C3A">
        <w:rPr>
          <w:sz w:val="2"/>
          <w:szCs w:val="2"/>
        </w:rPr>
        <w:t>)</w:t>
      </w:r>
      <w:proofErr w:type="spellStart"/>
      <w:r w:rsidRPr="007F5C3A">
        <w:rPr>
          <w:sz w:val="2"/>
          <w:szCs w:val="2"/>
        </w:rPr>
        <w:t>methylaminophosphine</w:t>
      </w:r>
      <w:proofErr w:type="spellEnd"/>
      <w:r w:rsidRPr="007F5C3A">
        <w:rPr>
          <w:sz w:val="2"/>
          <w:szCs w:val="2"/>
        </w:rPr>
        <w:t xml:space="preserve"> oxide) (CAS 85068-72-0); (13) 3-Nitraza-1,5-pentane diisocyanate (CAS 7406-61-9); (14) Organo-metallic coupling agents, as follows: (</w:t>
      </w:r>
      <w:proofErr w:type="spellStart"/>
      <w:r w:rsidRPr="007F5C3A">
        <w:rPr>
          <w:sz w:val="2"/>
          <w:szCs w:val="2"/>
        </w:rPr>
        <w:t>i</w:t>
      </w:r>
      <w:proofErr w:type="spellEnd"/>
      <w:r w:rsidRPr="007F5C3A">
        <w:rPr>
          <w:sz w:val="2"/>
          <w:szCs w:val="2"/>
        </w:rPr>
        <w:t xml:space="preserve">) Neopentyl[diallyl]oxy, tri [dioctyl] </w:t>
      </w:r>
      <w:proofErr w:type="spellStart"/>
      <w:r w:rsidRPr="007F5C3A">
        <w:rPr>
          <w:sz w:val="2"/>
          <w:szCs w:val="2"/>
        </w:rPr>
        <w:t>phosphatotitanate</w:t>
      </w:r>
      <w:proofErr w:type="spellEnd"/>
      <w:r w:rsidRPr="007F5C3A">
        <w:rPr>
          <w:sz w:val="2"/>
          <w:szCs w:val="2"/>
        </w:rPr>
        <w:t xml:space="preserve"> (CAS 103850-22-2); also known as titanium IV, 2,2[bis 2-propenolato-methyl, </w:t>
      </w:r>
      <w:proofErr w:type="spellStart"/>
      <w:r w:rsidRPr="007F5C3A">
        <w:rPr>
          <w:sz w:val="2"/>
          <w:szCs w:val="2"/>
        </w:rPr>
        <w:t>butanolato</w:t>
      </w:r>
      <w:proofErr w:type="spellEnd"/>
      <w:r w:rsidRPr="007F5C3A">
        <w:rPr>
          <w:sz w:val="2"/>
          <w:szCs w:val="2"/>
        </w:rPr>
        <w:t xml:space="preserve">, tris (dioctyl) </w:t>
      </w:r>
      <w:proofErr w:type="spellStart"/>
      <w:r w:rsidRPr="007F5C3A">
        <w:rPr>
          <w:sz w:val="2"/>
          <w:szCs w:val="2"/>
        </w:rPr>
        <w:t>phosphato</w:t>
      </w:r>
      <w:proofErr w:type="spellEnd"/>
      <w:r w:rsidRPr="007F5C3A">
        <w:rPr>
          <w:sz w:val="2"/>
          <w:szCs w:val="2"/>
        </w:rPr>
        <w:t>] (CAS 110438-25-0), or LICA 12 (CAS 103850-22-2); (ii) Titanium IV, [(2-propenolato-1) methyl, n-</w:t>
      </w:r>
      <w:proofErr w:type="spellStart"/>
      <w:r w:rsidRPr="007F5C3A">
        <w:rPr>
          <w:sz w:val="2"/>
          <w:szCs w:val="2"/>
        </w:rPr>
        <w:t>propanolatomethyl</w:t>
      </w:r>
      <w:proofErr w:type="spellEnd"/>
      <w:r w:rsidRPr="007F5C3A">
        <w:rPr>
          <w:sz w:val="2"/>
          <w:szCs w:val="2"/>
        </w:rPr>
        <w:t xml:space="preserve">] butanolato-1, tris(dioctyl)pyrophosphate, or KR3538; or (iii) Titanium IV, [(2-propenolato-1)methyl, </w:t>
      </w:r>
      <w:proofErr w:type="spellStart"/>
      <w:r w:rsidRPr="007F5C3A">
        <w:rPr>
          <w:sz w:val="2"/>
          <w:szCs w:val="2"/>
        </w:rPr>
        <w:t>propanolatomethyl</w:t>
      </w:r>
      <w:proofErr w:type="spellEnd"/>
      <w:r w:rsidRPr="007F5C3A">
        <w:rPr>
          <w:sz w:val="2"/>
          <w:szCs w:val="2"/>
        </w:rPr>
        <w:t>] butanolato-1, tris(dioctyl) phosphate; (15) PCDE (</w:t>
      </w:r>
      <w:proofErr w:type="spellStart"/>
      <w:r w:rsidRPr="007F5C3A">
        <w:rPr>
          <w:sz w:val="2"/>
          <w:szCs w:val="2"/>
        </w:rPr>
        <w:t>Polycyanodifluoroaminoethylene</w:t>
      </w:r>
      <w:proofErr w:type="spellEnd"/>
      <w:r w:rsidRPr="007F5C3A">
        <w:rPr>
          <w:sz w:val="2"/>
          <w:szCs w:val="2"/>
        </w:rPr>
        <w:t xml:space="preserve"> oxide); (16) Certain bonding agents, as follows (MT): (</w:t>
      </w:r>
      <w:proofErr w:type="spellStart"/>
      <w:r w:rsidRPr="007F5C3A">
        <w:rPr>
          <w:sz w:val="2"/>
          <w:szCs w:val="2"/>
        </w:rPr>
        <w:t>i</w:t>
      </w:r>
      <w:proofErr w:type="spellEnd"/>
      <w:r w:rsidRPr="007F5C3A">
        <w:rPr>
          <w:sz w:val="2"/>
          <w:szCs w:val="2"/>
        </w:rPr>
        <w:t xml:space="preserve">) 1,1R,1S-trimesoyl-tris(2-ethylaziridine) (HX-868, BITA) (CAS 7722-73-8); or (ii) Polyfunctional aziridine amides with isophthalic, </w:t>
      </w:r>
      <w:proofErr w:type="spellStart"/>
      <w:r w:rsidRPr="007F5C3A">
        <w:rPr>
          <w:sz w:val="2"/>
          <w:szCs w:val="2"/>
        </w:rPr>
        <w:t>trimesic</w:t>
      </w:r>
      <w:proofErr w:type="spellEnd"/>
      <w:r w:rsidRPr="007F5C3A">
        <w:rPr>
          <w:sz w:val="2"/>
          <w:szCs w:val="2"/>
        </w:rPr>
        <w:t xml:space="preserve">, </w:t>
      </w:r>
      <w:proofErr w:type="spellStart"/>
      <w:r w:rsidRPr="007F5C3A">
        <w:rPr>
          <w:sz w:val="2"/>
          <w:szCs w:val="2"/>
        </w:rPr>
        <w:t>isocyanuric</w:t>
      </w:r>
      <w:proofErr w:type="spellEnd"/>
      <w:r w:rsidRPr="007F5C3A">
        <w:rPr>
          <w:sz w:val="2"/>
          <w:szCs w:val="2"/>
        </w:rPr>
        <w:t xml:space="preserve">, or </w:t>
      </w:r>
      <w:proofErr w:type="spellStart"/>
      <w:r w:rsidRPr="007F5C3A">
        <w:rPr>
          <w:sz w:val="2"/>
          <w:szCs w:val="2"/>
        </w:rPr>
        <w:t>trimethyladipic</w:t>
      </w:r>
      <w:proofErr w:type="spellEnd"/>
      <w:r w:rsidRPr="007F5C3A">
        <w:rPr>
          <w:sz w:val="2"/>
          <w:szCs w:val="2"/>
        </w:rPr>
        <w:t xml:space="preserve"> backbone also having a 2-methyl or 2-ethyl aziridine group; Note to paragraph (f)(16)(ii): Included are (1) 1,1H-Isophthaloyl-bis(2-methylaziridine) (HX-752) (CAS 7652-64-4); (2) 2,4,6-tris(2-ethyl-1-aziridinyl)-1,3,5-triazine (HX-874) (CAS 18924-91-9); and (3) 1,1′-trimethyladipoylbis(2-ethylaziridine) (HX-877) (CAS 71463-62-2). (17) Superfine iron oxide (Fe2O3, hematite) with a specific surface area more than 250 m2/g and an average particle size of 0.003 micrometers or less (CAS 1309-37-1); (18) TEPAN (HX-879) (</w:t>
      </w:r>
      <w:proofErr w:type="spellStart"/>
      <w:r w:rsidRPr="007F5C3A">
        <w:rPr>
          <w:sz w:val="2"/>
          <w:szCs w:val="2"/>
        </w:rPr>
        <w:t>tetraethylenepentaamineacrylonitrile</w:t>
      </w:r>
      <w:proofErr w:type="spellEnd"/>
      <w:r w:rsidRPr="007F5C3A">
        <w:rPr>
          <w:sz w:val="2"/>
          <w:szCs w:val="2"/>
        </w:rPr>
        <w:t>) (CAS 68412-45-3); cyanoethylated polyamines and their salts (MT for TEPAN (HX-879)); (19) TEPANOL (HX-878) (</w:t>
      </w:r>
      <w:proofErr w:type="spellStart"/>
      <w:r w:rsidRPr="007F5C3A">
        <w:rPr>
          <w:sz w:val="2"/>
          <w:szCs w:val="2"/>
        </w:rPr>
        <w:t>tetraethy-lenepentaamineacrylonitrileglycidol</w:t>
      </w:r>
      <w:proofErr w:type="spellEnd"/>
      <w:r w:rsidRPr="007F5C3A">
        <w:rPr>
          <w:sz w:val="2"/>
          <w:szCs w:val="2"/>
        </w:rPr>
        <w:t>) (CAS 68412-46-4); cyanoethylated polyamines adducted with glycidol and their salts (MT for TEPANOL (HX-878)); (20) TPB (triphenyl bismuth) (CAS 603-33-8) (MT); or (21) Tris (</w:t>
      </w:r>
      <w:proofErr w:type="spellStart"/>
      <w:r w:rsidRPr="007F5C3A">
        <w:rPr>
          <w:sz w:val="2"/>
          <w:szCs w:val="2"/>
        </w:rPr>
        <w:t>ethoxyphenyl</w:t>
      </w:r>
      <w:proofErr w:type="spellEnd"/>
      <w:r w:rsidRPr="007F5C3A">
        <w:rPr>
          <w:sz w:val="2"/>
          <w:szCs w:val="2"/>
        </w:rPr>
        <w:t xml:space="preserve">) bismuth (TEPB) (CAS 90591-48-3). (g) Precursors, as follows: (1) BCMO (3,3-bis(chloromethyl)oxetane) (CAS 78-71-7); (2) DADN (1,5-diacetyl-3,7-dinitro-1, 3, 5, 7-tetraazacyclooctane); (3) </w:t>
      </w:r>
      <w:proofErr w:type="spellStart"/>
      <w:r w:rsidRPr="007F5C3A">
        <w:rPr>
          <w:sz w:val="2"/>
          <w:szCs w:val="2"/>
        </w:rPr>
        <w:t>Dinitroazetidine</w:t>
      </w:r>
      <w:proofErr w:type="spellEnd"/>
      <w:r w:rsidRPr="007F5C3A">
        <w:rPr>
          <w:sz w:val="2"/>
          <w:szCs w:val="2"/>
        </w:rPr>
        <w:t xml:space="preserve">-t-butyl salt (CAS 125735-38-8); (4) CL-20 precursors (any molecule containing </w:t>
      </w:r>
      <w:proofErr w:type="spellStart"/>
      <w:r w:rsidRPr="007F5C3A">
        <w:rPr>
          <w:sz w:val="2"/>
          <w:szCs w:val="2"/>
        </w:rPr>
        <w:t>hexaazaisowurtzitane</w:t>
      </w:r>
      <w:proofErr w:type="spellEnd"/>
      <w:r w:rsidRPr="007F5C3A">
        <w:rPr>
          <w:sz w:val="2"/>
          <w:szCs w:val="2"/>
        </w:rPr>
        <w:t>) (e.g., HBIW (</w:t>
      </w:r>
      <w:proofErr w:type="spellStart"/>
      <w:r w:rsidRPr="007F5C3A">
        <w:rPr>
          <w:sz w:val="2"/>
          <w:szCs w:val="2"/>
        </w:rPr>
        <w:t>hexabenzylhexaazaisowurtzitane</w:t>
      </w:r>
      <w:proofErr w:type="spellEnd"/>
      <w:r w:rsidRPr="007F5C3A">
        <w:rPr>
          <w:sz w:val="2"/>
          <w:szCs w:val="2"/>
        </w:rPr>
        <w:t>), TAIW (</w:t>
      </w:r>
      <w:proofErr w:type="spellStart"/>
      <w:r w:rsidRPr="007F5C3A">
        <w:rPr>
          <w:sz w:val="2"/>
          <w:szCs w:val="2"/>
        </w:rPr>
        <w:t>tetraacetyldibenzylhexa-azaisowurtzitane</w:t>
      </w:r>
      <w:proofErr w:type="spellEnd"/>
      <w:r w:rsidRPr="007F5C3A">
        <w:rPr>
          <w:sz w:val="2"/>
          <w:szCs w:val="2"/>
        </w:rPr>
        <w:t xml:space="preserve">)); (5) TAT (1, 3, 5, 7-tetraacetyl-1, 3, 5, 7-tetraazacyclooctane) (CAS 41378-98-7); (6) </w:t>
      </w:r>
      <w:proofErr w:type="spellStart"/>
      <w:r w:rsidRPr="007F5C3A">
        <w:rPr>
          <w:sz w:val="2"/>
          <w:szCs w:val="2"/>
        </w:rPr>
        <w:t>Tetraazadecalin</w:t>
      </w:r>
      <w:proofErr w:type="spellEnd"/>
      <w:r w:rsidRPr="007F5C3A">
        <w:rPr>
          <w:sz w:val="2"/>
          <w:szCs w:val="2"/>
        </w:rPr>
        <w:t xml:space="preserve"> (CAS 5409-42-7); (7) 1,3,5-trichlorobenzene (CAS 108-70-3); or (8) 1,2,4-trihydroxybutane (1,2,4-butanetriol) (CAS 3068-00-6). *(h) Any explosive, propellant, pyrotechnic, fuel, oxidizer, binder, additive, or precursor that (MT for articles designated as such): (1) Is classified; or (2) Is being developed using classified information (see §120.10(a)(2) of this subchapter). Note to paragraph (h): “Classified” means classified pursuant to Executive Order 13526, or predecessor order, and a security classification guide developed pursuant thereto or equivalent, or to the corresponding classification rules of another government or international organization. (</w:t>
      </w:r>
      <w:proofErr w:type="spellStart"/>
      <w:r w:rsidRPr="007F5C3A">
        <w:rPr>
          <w:sz w:val="2"/>
          <w:szCs w:val="2"/>
        </w:rPr>
        <w:t>i</w:t>
      </w:r>
      <w:proofErr w:type="spellEnd"/>
      <w:r w:rsidRPr="007F5C3A">
        <w:rPr>
          <w:sz w:val="2"/>
          <w:szCs w:val="2"/>
        </w:rPr>
        <w:t>) Developmental explosives, propellants, pyrotechnics, fuels, oxidizers, binders, additives, or precursors therefor funded by the Department of Defense via contract or other funding authorization. Note 1 to paragraph (</w:t>
      </w:r>
      <w:proofErr w:type="spellStart"/>
      <w:r w:rsidRPr="007F5C3A">
        <w:rPr>
          <w:sz w:val="2"/>
          <w:szCs w:val="2"/>
        </w:rPr>
        <w:t>i</w:t>
      </w:r>
      <w:proofErr w:type="spellEnd"/>
      <w:r w:rsidRPr="007F5C3A">
        <w:rPr>
          <w:sz w:val="2"/>
          <w:szCs w:val="2"/>
        </w:rPr>
        <w:t>): This paragraph does not control explosives, propellants, pyrotechnics, fuels, oxidizers, binders, additives, or precursors therefor (a) in production, (b) determined to be subject to the EAR via a commodity jurisdiction determination (see§120.4 of this subchapter), or (c) identified in the relevant Department of Defense contract or other funding authorization as being developed for both civil and military applications. Note 2 to paragraph (</w:t>
      </w:r>
      <w:proofErr w:type="spellStart"/>
      <w:r w:rsidRPr="007F5C3A">
        <w:rPr>
          <w:sz w:val="2"/>
          <w:szCs w:val="2"/>
        </w:rPr>
        <w:t>i</w:t>
      </w:r>
      <w:proofErr w:type="spellEnd"/>
      <w:r w:rsidRPr="007F5C3A">
        <w:rPr>
          <w:sz w:val="2"/>
          <w:szCs w:val="2"/>
        </w:rPr>
        <w:t>): Note 1 does not apply to defense articles enumerated on the U.S. Munitions List, whether in production or development. Note 3 to paragraph (</w:t>
      </w:r>
      <w:proofErr w:type="spellStart"/>
      <w:r w:rsidRPr="007F5C3A">
        <w:rPr>
          <w:sz w:val="2"/>
          <w:szCs w:val="2"/>
        </w:rPr>
        <w:t>i</w:t>
      </w:r>
      <w:proofErr w:type="spellEnd"/>
      <w:r w:rsidRPr="007F5C3A">
        <w:rPr>
          <w:sz w:val="2"/>
          <w:szCs w:val="2"/>
        </w:rPr>
        <w:t>): This paragraph is applicable only to those contracts and funding authorizations that are dated January 5, 2015, or later. (j) Technical data (as defined in §120.10 of this subchapter) and defense services (as defined in §120.9 of this subchapter) directly related to the defense articles described in paragraphs (a) through (</w:t>
      </w:r>
      <w:proofErr w:type="spellStart"/>
      <w:r w:rsidRPr="007F5C3A">
        <w:rPr>
          <w:sz w:val="2"/>
          <w:szCs w:val="2"/>
        </w:rPr>
        <w:t>i</w:t>
      </w:r>
      <w:proofErr w:type="spellEnd"/>
      <w:r w:rsidRPr="007F5C3A">
        <w:rPr>
          <w:sz w:val="2"/>
          <w:szCs w:val="2"/>
        </w:rPr>
        <w:t>) of this category (see also §123.20 of this subchapter) (MT for articles designated as such). (k) The following interpretations explain and amplify the terms used in this category and elsewhere in this subchapter: (1) USML Category V contains explosives, energetic materials, propellants, and pyrotechnics and specially formulated fuels for aircraft, missile, and naval applications. Explosives are solid, liquid, or gaseous substances or mixtures of substances, which, in their primary, booster, or main charges in warheads, demolition, or other military applications, are required to detonate. (2) The resulting product of the combination or conversion of any substance controlled by this category into an item not controlled will no longer be controlled by this category provided the controlled item cannot easily be recovered through dissolution, melting, sieving, etc. As an example, beryllium converted to a near net shape using hot isostatic processes will result in an uncontrolled part. A cured thermoset containing beryllium powder is not controlled unless meeting an explosive or propellant control. The mixture of beryllium powder in a cured thermoset shape is not controlled by this category. The mixture of controlled beryllium powder mixed with a typical propellant binder will remain controlled by this category. The addition of dry silica powder to dry beryllium powder will remain controlled. (3) Paragraph (c)(4)(ii)(A) of this category does not apply to boron and boron carbide enriched with boron-10 (20% or more of total boron-10 content). (4) Theoretical specific impulse (</w:t>
      </w:r>
      <w:proofErr w:type="spellStart"/>
      <w:r w:rsidRPr="007F5C3A">
        <w:rPr>
          <w:sz w:val="2"/>
          <w:szCs w:val="2"/>
        </w:rPr>
        <w:t>Isp</w:t>
      </w:r>
      <w:proofErr w:type="spellEnd"/>
      <w:r w:rsidRPr="007F5C3A">
        <w:rPr>
          <w:sz w:val="2"/>
          <w:szCs w:val="2"/>
        </w:rPr>
        <w:t>) is calculated using standard conditions (1000 psi chamber pressure expanded to 14.7 psi) and measured in units of pound-force-seconds per pound-mass (lbf-s/</w:t>
      </w:r>
      <w:proofErr w:type="spellStart"/>
      <w:r w:rsidRPr="007F5C3A">
        <w:rPr>
          <w:sz w:val="2"/>
          <w:szCs w:val="2"/>
        </w:rPr>
        <w:t>lbm</w:t>
      </w:r>
      <w:proofErr w:type="spellEnd"/>
      <w:r w:rsidRPr="007F5C3A">
        <w:rPr>
          <w:sz w:val="2"/>
          <w:szCs w:val="2"/>
        </w:rPr>
        <w:t>) or simplified to seconds (s). Calculations will be based on shifting equilibrium. (5) Particle size is the mean particle diameter on a weight basis. Best industrial practices will be used in determining particle size and the controls may not be undermined by addition of larger or smaller sized material to shift the mean diameter. (l)-(w) [Reserved] (x) Commodities, software, and technical data subject to the EAR (see §120.42 of this subchapter) used in or with defense articles. Note to paragraph (x): Use of this paragraph is limited to license applications for defense articles where the purchase documentation includes commodities, software, or technical data subject to the EAR (see §123.1(b) of this subchapter). Note 1 to USML Category V: To assist the exporter, an item has been categorized by the most common use. Also, where appropriate, references have been provided to the related controlled precursors. Note 2 to USML Category V: Chemical Abstract Service (CAS) registry numbers do not cover all the substances and mixtures controlled by this category. The numbers are provided as examples to assist government agencies in the license review process and exporters when completing their license application and export documentation. Note 3 to USML Category V: Items controlled in this Category, except for materials described in paragraph (c)(6), (h), or (</w:t>
      </w:r>
      <w:proofErr w:type="spellStart"/>
      <w:r w:rsidRPr="007F5C3A">
        <w:rPr>
          <w:sz w:val="2"/>
          <w:szCs w:val="2"/>
        </w:rPr>
        <w:t>i</w:t>
      </w:r>
      <w:proofErr w:type="spellEnd"/>
      <w:r w:rsidRPr="007F5C3A">
        <w:rPr>
          <w:sz w:val="2"/>
          <w:szCs w:val="2"/>
        </w:rPr>
        <w:t>), are licensed by the Department of Commerce when incorporated into an item subject to the EAR and classified under ECCN 1C608. Category VI—Surface Vessels of War and Special Naval Equipment *(a) Warships and other combatant vessels (i.e., battleships, aircraft carriers, destroyers, frigates, cruisers, corvettes, littoral combat ships, mine sweepers, mine hunters, mine countermeasure ships, dock landing ships, amphibious assault ships), Coast Guard Cutters (with or equivalent to those with U.S. designations WHEC, WMEC, WMSL, or WPB for the purpose of this subchapter), or foreign-origin vessels specially designed to provide functions equivalent to those of the vessels listed above; (b) Other vessels not controlled in paragraph (a) of this category, as follows: (1) High-speed air cushion vessels for transporting cargo and personnel, ship-to-shore and across a beach, with a payload over 25 tons; (2) Surface vessels integrated with nuclear propulsion plants or specially designed to support naval nuclear propulsion plants; (3) Vessels armed or specially designed to be used as a platform to deliver munitions or otherwise destroy or incapacitate targets (e.g., firing lasers, launching torpedoes, rockets, or missiles, or firing munitions greater than .50 caliber); or (4) Vessels incorporating any mission systems controlled under this subchapter. Note to paragraph (b)(4): “Mission systems” are defined as “systems” (see §120.45(g) of this subchapter) that are defense articles that perform specific military functions such as by providing military communication, electronic warfare, target designation, surveillance, target detection, or sensor capabilities. Note to paragraphs (a) and (b): Vessels specially designed for military use that are not identified in paragraph (a) or (b) of this category are subject to the EAR under ECCN 8A609, including any demilitarized vessels, regardless of origin or designation, manufactured prior to 1950 and unmodified since 1949. Vessels with modifications made to incorporate safety features required by law, are cosmetic (e.g., different paint), or that add parts or components otherwise available prior to 1950 are considered “unmodified” for the purposes of this paragraph. (c) Developmental vessels, and specially designed parts, components, accessories, and attachments therefor, funded by the Department of Defense via contract or other funding authorization. Note 1 to paragraph (c): This paragraph does not control vessels, and specially designed parts, components, accessories, and attachments therefor, (a) in production, (b) determined to be subject to the EAR via a commodity jurisdiction determination (see§120.4 of this subchapter), or (c) identified in the relevant Department of Defense contract or other funding authorization as being developed for both civil and military applications. Note 2 to paragraph (c): Note 1 does not apply to defense articles enumerated on the U.S. Munitions List, whether in production or development. Note 3 to paragraph (c): This provision is applicable to those contracts and funding authorizations that are dated July 8, 2014, or later. (d) [Reserved] *(e) Naval nuclear propulsion plants and prototypes, and special facilities for construction, support, and maintenance therefor (see §123.20 of this subchapter). (f) Vessel and naval equipment, parts, components, accessories, attachments, associated equipment, and systems, as follows: (1) Hulls or superstructures, including support structures therefor, that: (</w:t>
      </w:r>
      <w:proofErr w:type="spellStart"/>
      <w:r w:rsidRPr="007F5C3A">
        <w:rPr>
          <w:sz w:val="2"/>
          <w:szCs w:val="2"/>
        </w:rPr>
        <w:t>i</w:t>
      </w:r>
      <w:proofErr w:type="spellEnd"/>
      <w:r w:rsidRPr="007F5C3A">
        <w:rPr>
          <w:sz w:val="2"/>
          <w:szCs w:val="2"/>
        </w:rPr>
        <w:t>) Are specially designed for any vessels controlled in paragraph (a) of this category; (ii) Have armor, active protection systems, or developmental armor systems; or (iii) Are specially designed to survive 12.5% or greater damage across the length as measured between perpendiculars; (2) Systems that manage, store, create, distribute, conserve, and transfer energy, and specially designed parts and components therefor, that have: (</w:t>
      </w:r>
      <w:proofErr w:type="spellStart"/>
      <w:r w:rsidRPr="007F5C3A">
        <w:rPr>
          <w:sz w:val="2"/>
          <w:szCs w:val="2"/>
        </w:rPr>
        <w:t>i</w:t>
      </w:r>
      <w:proofErr w:type="spellEnd"/>
      <w:r w:rsidRPr="007F5C3A">
        <w:rPr>
          <w:sz w:val="2"/>
          <w:szCs w:val="2"/>
        </w:rPr>
        <w:t>) Storage exceeding 30MJ; (ii) A discharge rate less than 3 seconds; and (iii) A cycle time under 45 seconds; (3) Shipborne auxiliary systems for chemical, biological, radiological, and nuclear (CBRN) compartmentalization, over-pressurization and filtration systems, and specially designed parts and components therefor; *(4) Control and monitoring systems for autonomous unmanned vessels capable of on-board, autonomous perception and decision-making necessary for the vessel to navigate while avoiding fixed and moving hazards, and obeying rules-of-the road without human intervention; *(5) Any machinery, device, component, or equipment, including production, testing and inspection equipment, and tooling, specially designed for plants or facilities controlled in paragraph (e) of this section (see §123.20 of this subchapter); (6) Parts, components, accessories, attachments, and equipment specially designed for integration of articles controlled by USML Categories II, IV, or XVIII or catapults for launching aircraft or arresting gear for recovering aircraft (MT for launcher mechanisms specially designed for rockets, space launch vehicles, or missiles capable of achieving a range greater than or equal to 300 km); Note to paragraph (f)(6): “Range” is the maximum distance that the specified rocket system is capable of traveling in the mode of stable flight as measured by the projection of its trajectory over the surface of the Earth. The maximum capability based on the design characteristics of the system, when fully loaded with fuel or propellant, will be taken into consideration in determining range. The range for rocket systems will be determined independently of any external factors such as operational restrictions, limitations imposed by telemetry, data links, or other external constraints. For rocket systems, the range will be determined using the trajectory that maximizes range, assuming International Civil Aviation Organization (ICAO) standard atmosphere with zero wind. (7) Shipborne active protection systems (i.e., defensive systems that actively detect and track incoming threats and launch a ballistic, explosive, energy, or electromagnetic countermeasure(s) to neutralize the threat prior to contact with a vessel) and specially designed parts and components therefor; (8) Minesweeping and mine hunting equipment (including mine countermeasures equipment deployed by aircraft), and specially designed parts and components therefor; or *(9) Any part, component, accessory, attachment, equipment, or system that: (</w:t>
      </w:r>
      <w:proofErr w:type="spellStart"/>
      <w:r w:rsidRPr="007F5C3A">
        <w:rPr>
          <w:sz w:val="2"/>
          <w:szCs w:val="2"/>
        </w:rPr>
        <w:t>i</w:t>
      </w:r>
      <w:proofErr w:type="spellEnd"/>
      <w:r w:rsidRPr="007F5C3A">
        <w:rPr>
          <w:sz w:val="2"/>
          <w:szCs w:val="2"/>
        </w:rPr>
        <w:t>) Is classified; (ii) Contains classified software directly related to defense articles in this subchapter or 600 series items subject to the EAR; or (iii) Is being developed using classified information. “Classified” means classified pursuant to Executive Order 13526, or predecessor order, and a security classification guide developed pursuant thereto or equivalent, or to the corresponding classification rules of another government or international organization. Note 1 to paragraph (f): Parts, components, accessories, attachments, associated equipment, and systems specially designed for vessels described in this category but not listed in paragraph (f) are subject to the EAR under ECCN 8A609. Note 2 to paragraph (f): For controls related to ship signature management, see USML Category XIII. (g) Technical data (see §120.10 of this subchapter) and defense services (see §120.9 of this subchapter) directly related to the defense articles described in paragraphs (a) through (f) of this category and classified technical data directly related to items controlled in ECCNs 8A609, 8B609, 8C609, and 8D609 and defense services using the classified technical data. (MT for technical data and defense services related to articles designated as such.) (See §125.4 of this subchapter for exemptions.) (h)-(w) [Reserved] (x) Commodities, software, and technical data subject to the EAR (see §120.42 of this subchapter) used in or with defense articles. Note to paragraph (x): Use of this paragraph is limited to license applications for defense articles where the purchase documentation includes commodities, software, or technical data subject to the EAR (see §123.1(b) of this subchapter). Category VII—Ground Vehicles *(a) Armored combat ground vehicles as follows: (1) Tanks; or (2) Infantry fighting vehicles. *(b) Ground vehicles (not enumerated in paragraph (a) of this category) and trailers that are armed or are specially designed to be used as a firing or launch platform to deliver munitions or otherwise destroy or incapacitate targets (e.g., firing lasers, launching rockets, firing missiles, firing mortars, firing artillery rounds, or firing other ammunition greater than .50 caliber) (MT if specially designed for rockets, space launch vehicles, missiles, drones, or unmanned aerial vehicles capable of delivering a payload of at least 500 kg to a range of at least 300 km). (c) Ground vehicles and trailers equipped with any mission systems controlled under this subchapter (MT if specially designed for rockets, space launch vehicles, missiles, drones, or unmanned aerial vehicles capable of delivering a payload of at least 500 kg to a range of at least 300 km). Note to paragraph (c): “Mission systems” are defined as “systems” (see §120.45(g) of this subchapter) that are defense articles that perform specific military functions, such as by providing military communication, target designation, surveillance, target detection, or sensor capabilities. Note to paragraphs (b) and (c): “Payload” is the total mass that can be carried or delivered by the specified rocket, space launch vehicle, missile, drone, or unmanned aerial vehicle that is not used to maintain flight. For definition of “range” as it pertains to aircraft systems, see note to paragraph (a) USML Category VIII. For definition of “range” as it pertains to rocket systems, see note to paragraph (f)(6) of USML Category VI. (d) [Reserved] *(e) Armored support vehicles capable of off-road or amphibious use specially designed to transport or deploy personnel or materiel, or to move with other vehicles over land in close support of combat vehicles or troops (e.g., personnel carriers, resupply vehicles, combat engineer vehicles, recovery vehicles, reconnaissance vehicles, bridge launching vehicles, ambulances, and command and control vehicles). (f) [Reserved] (g) Ground vehicle parts, components, accessories, attachments, associated equipment, and systems as follows: (1) Armored hulls, armored turrets, and turret rings; (2) Active protection systems (i.e., defensive systems that actively detect and track incoming threats and launch a ballistic, explosive, energy, or electromagnetic countermeasure(s) to neutralize the threat prior to contact with a vehicle) and specially designed parts and components therefor; (3) Composite armor parts and components specially designed for the vehicles in this category; (4) Spaced armor components and parts, including slat armor parts and components specially designed for the vehicles in this category; (5) Reactive armor parts and components; (6) Electromagnetic armor parts and components, including pulsed power specially designed parts and components therefor; Note to paragraphs (g)(3)-(6): See USML Category XIII(m)(1)-(4) for interpretations which explain and amplify terms used in these paragraphs. (7) Built in test equipment (BITE) to evaluate the condition of weapons or other mission systems for vehicles identified in this category, excluding equipment that provides diagnostics solely for a subsystem or component involved in the basic operation of the vehicle; (8) Gun mount, stabilization, turret drive, and automatic elevating systems, and specially designed parts and components therefor; (9) Self-launching bridge components rated class 60 or above for deployment by vehicles in this category; (10) Suspension components as follows: (</w:t>
      </w:r>
      <w:proofErr w:type="spellStart"/>
      <w:r w:rsidRPr="007F5C3A">
        <w:rPr>
          <w:sz w:val="2"/>
          <w:szCs w:val="2"/>
        </w:rPr>
        <w:t>i</w:t>
      </w:r>
      <w:proofErr w:type="spellEnd"/>
      <w:r w:rsidRPr="007F5C3A">
        <w:rPr>
          <w:sz w:val="2"/>
          <w:szCs w:val="2"/>
        </w:rPr>
        <w:t>) Rotary shock absorbers specially designed for the vehicles weighing more than 30 tons in this category; or (ii) Torsion bars specially designed for the vehicles weighing more than 50 tons in this category; (11) Kits specially designed to convert a vehicle in this category into either an unmanned or a driver-optional vehicle. For a kit to be controlled by this paragraph, it must, at a minimum, include equipment for: (</w:t>
      </w:r>
      <w:proofErr w:type="spellStart"/>
      <w:r w:rsidRPr="007F5C3A">
        <w:rPr>
          <w:sz w:val="2"/>
          <w:szCs w:val="2"/>
        </w:rPr>
        <w:t>i</w:t>
      </w:r>
      <w:proofErr w:type="spellEnd"/>
      <w:r w:rsidRPr="007F5C3A">
        <w:rPr>
          <w:sz w:val="2"/>
          <w:szCs w:val="2"/>
        </w:rPr>
        <w:t>) Remote or autonomous steering; (ii) Acceleration and braking; and (iii) A control system; (12) Fire control computers, mission computers, vehicle management computers, integrated core processers, stores management systems, armaments control processors, vehicle-weapon interface units and computers; (13) Test or calibration equipment for the mission systems of the vehicles in this category, except those enumerated elsewhere; or *(14) Any part, component, accessory, attachment, equipment, or system that (MT for those articles designated as such): (</w:t>
      </w:r>
      <w:proofErr w:type="spellStart"/>
      <w:r w:rsidRPr="007F5C3A">
        <w:rPr>
          <w:sz w:val="2"/>
          <w:szCs w:val="2"/>
        </w:rPr>
        <w:t>i</w:t>
      </w:r>
      <w:proofErr w:type="spellEnd"/>
      <w:r w:rsidRPr="007F5C3A">
        <w:rPr>
          <w:sz w:val="2"/>
          <w:szCs w:val="2"/>
        </w:rPr>
        <w:t>) Is classified; (ii) Contains classified software directly related to defense articles in this subchapter or 600 series items subject to the EAR; or (iii) Is being developed using classified information. “Classified” means classified pursuant to Executive Order 13526, or predecessor order, and a security classification guide developed pursuant thereto or equivalent, or to the corresponding classification rules of another government or international organization. Note to paragraph (g): Parts, components, accessories, attachments, associated equipment, and systems specially designed for vehicles in this category but not listed in paragraph (g) are subject to the EAR under ECCN 0A606. (h) Technical data (see §120.10 of this subchapter) and defense services (see §120.9 of this subchapter) directly related to the defense articles described in paragraphs (a) through (g) of this category and classified technical data directly related to items controlled in ECCNs 0A606, 0B606, 0C606, and 0D606 and defense services using the classified technical data. (See §125.4 of this subchapter for exemptions.) (MT for technical data and defense services related to articles designated as such.) (</w:t>
      </w:r>
      <w:proofErr w:type="spellStart"/>
      <w:r w:rsidRPr="007F5C3A">
        <w:rPr>
          <w:sz w:val="2"/>
          <w:szCs w:val="2"/>
        </w:rPr>
        <w:t>i</w:t>
      </w:r>
      <w:proofErr w:type="spellEnd"/>
      <w:r w:rsidRPr="007F5C3A">
        <w:rPr>
          <w:sz w:val="2"/>
          <w:szCs w:val="2"/>
        </w:rPr>
        <w:t>)-(w) [Reserved] (x) Commodities, software, and technical data subject to the EAR (see §120.42 of this subchapter) used in or with defense articles. Note to paragraph (x): Use of this paragraph is limited to license applications for defense articles where the purchase documentation includes commodities, software, or technical data subject to the EAR (see §123.1(b) of this subchapter). Note 1 to Category VII: Ground vehicles specially designed for military applications that are not identified in this category are subject to the EAR under ECCN 0A606, including any unarmed ground vehicles, regardless of origin or designation, manufactured prior to 1956 and unmodified since 1955. Ground vehicles with modifications made to incorporate safety features required by law, are cosmetic (e.g., different paint, repositioning of bolt holes), or that add parts or components otherwise available prior to 1956 are considered “unmodified” for the purposes of this paragraph. ECCN 0A606 also includes unarmed vehicles derived from otherwise EAR99 civilian vehicles that have been modified or otherwise fitted with materials to provide ballistic protection, including protection to level III (National Institute of Justice Standard 0108.01, September 1985) or better and that do not have reactive or electromagnetic armor. Note 2 to Category VII: Armored ground vehicles are (</w:t>
      </w:r>
      <w:proofErr w:type="spellStart"/>
      <w:r w:rsidRPr="007F5C3A">
        <w:rPr>
          <w:sz w:val="2"/>
          <w:szCs w:val="2"/>
        </w:rPr>
        <w:t>i</w:t>
      </w:r>
      <w:proofErr w:type="spellEnd"/>
      <w:r w:rsidRPr="007F5C3A">
        <w:rPr>
          <w:sz w:val="2"/>
          <w:szCs w:val="2"/>
        </w:rPr>
        <w:t>) ground vehicles that have integrated, fully armored hulls or cabs, or (ii) ground vehicles on which add-on armor has been installed to provide ballistic protection to level III (National Institute of Justice Standard 0108.01, September 1985) or better. Armored support vehicles do not include those that are merely capable of being equipped with add-on armor. Note 3 to Category VII: Ground vehicles include any vehicle meeting the definitions or control parameters regardless of the surface (e.g., highway, off-road, rail) upon which the vehicle is designed to operate. Category VIII—Aircraft and Related Articles (a) Aircraft, whether manned, unmanned, remotely piloted, or optionally piloted, as follows (MT if the aircraft, excluding manned aircraft, has a range equal to or greater than 300 km): *(1) Bombers; *(2) Fighters, fighter bombers, and fixed-wing attack aircraft; *(3) Turbofan- or turbojet-powered trainers used to train pilots for fighter, attack, or bomber aircraft; *(4) Attack helicopters; *(5) Unmanned aerial vehicles (UAVs) specially designed to incorporate a defense article; *(6) [Reserved] *(7) Aircraft specially designed to incorporate a defense article for the purpose of performing an intelligence, surveillance, and reconnaissance function; *(8) Aircraft specially designed to incorporate a defense article for the purpose of performing an electronic warfare function; airborne warning and control aircraft; or aircraft specially designed to incorporate a defense article for the purpose of performing a command, control, and communications function; (9) Aircraft specially designed to incorporate a defense article for the purpose of performing an air refueling function; (10) Target drones; (11) [Reserved] (12) Aircraft capable of being refueled in-flight including hover-in-flight refueling (HIFR); (13) [Reserved] (14) Aircraft with a roll-on/roll-off ramp, capable of airlifting payloads over 35,000 lbs. to ranges over 2,000 nm without being refueled in-flight, and landing onto short or unimproved airfields, other than L-100 and LM-100J aircraft; *(15) Aircraft not enumerated in paragraphs (a)(1) through (a)(14) as follows: (</w:t>
      </w:r>
      <w:proofErr w:type="spellStart"/>
      <w:r w:rsidRPr="007F5C3A">
        <w:rPr>
          <w:sz w:val="2"/>
          <w:szCs w:val="2"/>
        </w:rPr>
        <w:t>i</w:t>
      </w:r>
      <w:proofErr w:type="spellEnd"/>
      <w:r w:rsidRPr="007F5C3A">
        <w:rPr>
          <w:sz w:val="2"/>
          <w:szCs w:val="2"/>
        </w:rPr>
        <w:t>) U.S.-origin aircraft that bear an original military designation of A, B, E, F, K, M, P, R, or S; or (ii) Foreign-origin aircraft specially designed to provide functions equivalent to those of the aircraft listed in paragraph (a)(15)(</w:t>
      </w:r>
      <w:proofErr w:type="spellStart"/>
      <w:r w:rsidRPr="007F5C3A">
        <w:rPr>
          <w:sz w:val="2"/>
          <w:szCs w:val="2"/>
        </w:rPr>
        <w:t>i</w:t>
      </w:r>
      <w:proofErr w:type="spellEnd"/>
      <w:r w:rsidRPr="007F5C3A">
        <w:rPr>
          <w:sz w:val="2"/>
          <w:szCs w:val="2"/>
        </w:rPr>
        <w:t>) of this category; or (16) Aircraft that are armed or are specially designed to be used as a platform to deliver munitions or otherwise destroy targets (e.g., firing lasers, launching rockets, firing missiles, dropping bombs, or strafing); Note 1 to paragraph (a): Aircraft specially designed for military applications that are not identified in paragraph (a) of this section are subject to the EAR and classified as ECCN 9A610, including any model of unarmed military aircraft manufactured prior to 1956, regardless of origin or designation, and unmodified since manufacture. Aircraft with modifications made to incorporate safety of flight features or other FAA or NTSB modifications such as transponders and air data recorders are considered “unmodified” for the purposes of this paragraph. Note 2 to paragraph (a): “Range” is the maximum distance that the specified aircraft system is capable of traveling in the mode of stable flight as measured by the projection of its trajectory over the surface of the Earth. The maximum capability based on the design characteristics of the system, when fully loaded with fuel or propellant, will be taken into consideration in determining range. The range for aircraft systems will be determined independently of any external factors such as operational restrictions, limitations imposed by telemetry, data links, or other external constraints. For aircraft systems, the range will be determined for a one-way distance using the most fuel-efficient flight profile (e.g., cruise speed and altitude), assuming International Civil Aviation Organization (ICAO) standard atmosphere with zero wind, but with no fuel reserve. (b)-(c) [Reserved] (d) Launching and recovery equipment specially designed to allow an aircraft described in paragraph (a) of this category to take off or land on a vessel described in Category VI paragraphs (a) through (c) (MT if the launching and recovery equipment is for an aircraft, excluding manned aircraft, that has a range equal to or greater than 300 km). Note to paragraph (d): For the definition of “range,” see note to paragraph (a) of this category. (e) [Reserved] (f) Developmental aircraft funded by the Department of Defense via contract or other funding authorization, and specially designed parts, components, accessories, and attachments therefor. Note 1 to paragraph (f): This paragraph does not control aircraft and specially designed parts, components, accessories, and attachments therefor (a) in production; (b) determined to be subject to the EAR via a commodity jurisdiction determination (see §120.4 of this subchapter), or (c) identified in the relevant Department of Defense contract or other funding authorization as being developed for both civil and military applications. Note 2 to paragraph (f): Note 1 does not apply to defense articles enumerated on the U.S. Munitions List, whether in production or development. Note 3 to paragraph (f): This paragraph is applicable only to those contracts, other funding authorizations, or modifications initiating development of a new defense article that are dated April 16, 2014, or later. (g) [Reserved] (h) Parts, components, accessories, attachments, associated equipment and systems, as follows: (1) Parts, components, accessories, and attachments specially designed for the following U.S.-origin aircraft: The B-1B, B-2, B-21, F-15SE, F/A-18 E/F, EA-18G, F-22, F-35, and future variants thereof; or the F-117 or U.S. Government technology demonstrators. Parts, components, accessories, and attachments of the F-15SE and F/A-18 E/F that are common to earlier models of these aircraft, unless listed in paragraph (h) of this category, are subject to the EAR; Note to paragraph (h)(1): This paragraph does not control parts, components, accessories, and attachments that are common to aircraft described in paragraph (a) of this category but not identified in paragraph (h)(1), and those identified in paragraph (h)(1). For example, when applying §120.41(b)(3), a part common to only the F-16 and F-35 is not specially designed for purposes of this paragraph. A part common to only the F-22 and F-35—two aircraft models identified in paragraph (h)(1)—is specially designed for purposes of this paragraph, unless one of the other paragraphs is applicable under §120.41(b) of this subchapter. (2) Rotorcraft gearboxes with internal pitch line velocities exceeding 20,000 feet per minute and able to operate 30 minutes with loss of lubrication without an emergency or auxiliary lubrication system, and specially designed parts and components therefor; Note to paragraph (h)(2): Loss of lubrication means a situation where oil/lubrication is mostly or completely lost from a transmission/gearbox such that only a residual coating remains due to the lubrication system failure. (3) Tail boom folding systems, stabilator folding systems or automatic rotor blade folding systems, and specially designed parts and components therefor; (4) Wing folding systems, and specially designed parts and components therefor, for: (</w:t>
      </w:r>
      <w:proofErr w:type="spellStart"/>
      <w:r w:rsidRPr="007F5C3A">
        <w:rPr>
          <w:sz w:val="2"/>
          <w:szCs w:val="2"/>
        </w:rPr>
        <w:t>i</w:t>
      </w:r>
      <w:proofErr w:type="spellEnd"/>
      <w:r w:rsidRPr="007F5C3A">
        <w:rPr>
          <w:sz w:val="2"/>
          <w:szCs w:val="2"/>
        </w:rPr>
        <w:t>) Aircraft powered by power plants controlled under USML Category IV(d); or (ii) Aircraft with any of the following characteristics and powered by gas turbine engines: (A) The portion of the wing outboard of the wing fold is required for sustained flight; (B) Fuel can be stored outboard of the wing fold; (C) Control surfaces are outboard of the wing fold; (D) Hard points are outboard of the wing fold; (E) Hard points inboard of the wing fold allow for in-flight ejection; or (F) The aircraft is designed to withstand maximum vertical maneuvering accelerations greater than +3.5g/−1.5g. (5) On-aircraft arresting gear (e.g., tail hooks and drag chutes) and specially designed parts and components therefor; (6) Bomb racks, missile or rocket launchers, missile rails, weapon pylons, pylon-to-launcher adapters, unmanned aerial vehicle (UAV) airborne launching systems, external stores support systems for ordnance or weapons, and specially designed parts and components therefor (MT if the bomb rack, missile launcher, missile rail, weapon pylon, pylon-to-launcher adapter, UAV airborne launching system, or external stores support system is for an aircraft, excluding manned aircraft, or missile that has a “range” equal to or greater than 300 km); (7) Damage or failure-adaptive flight control systems, that do not consist solely of redundant internal circuitry, specially designed for aircraft controlled in this category; (8) Threat-adaptive autonomous flight control systems, where a “threat-adaptive autonomous flight control system” is a flight control system that, without input from the operator or pilot, adjusts the aircraft control or flight path to minimize risk caused by hostile threats; (9) Non-surface-based flight control systems and effectors (e.g., thrust vectoring from gas ports other than main engine thrust vector); (10) Radar altimeters with output power management LPI (low probability of intercept) or signal modulation (i.e., frequency hopping, chirping, direct sequence-spectrum spreading) LPI capabilities (MT if for an aircraft, excluding manned aircraft, or missile that has a “range” equal to or greater than 300 km); (11) Air-to-air refueling systems and hover-in-flight refueling (HIFR) systems, and specially designed parts and components therefor; (12) Unmanned aerial vehicle (UAV) flight control systems and vehicle management systems with swarming capability (i.e. UAVs that operate autonomously (without human input) to interact with each other to avoid collisions, fly in formations, and are capable of adapting in real-time to changes in operational/threat environment, or, if weaponized, coordinate targeting) (MT if for an aircraft, excluding manned aircraft, or missile that has a “range” equal to or greater than 300 km); (13) [Reserved] (14) Lift fans, clutches, and roll posts for short take-off, vertical landing (STOVL) aircraft and specially designed parts and components for such lift fans and roll posts; (15) Integrated helmets incorporating optical sights or slewing devices, which include the ability to aim, launch, track, or manage munitions (e.g., Helmet Mounted Cueing Systems, Joint Helmet Mounted Cueing Systems (JHMCS), Helmet Mounted Displays, Display and Sight Helmets (DASH)), and specially designed parts, components, accessories, and attachments therefor; (16) Fire control computers, stores management systems, armaments control processors, and aircraft-weapon interface units and computers (e.g., AGM-88 HARM Aircraft Launcher Interface Computer (ALIC)); (17) Mission computers, vehicle management computers, and integrated core processers specially designed for aircraft controlled in this category; (18) Drive systems, flight control systems, and parts and components therefor, specially designed to function after impact of a 7.62mm or larger projectile; (19) Thrust reversers specially designed to be deployed in flight for aircraft controlled in this category; *(20) Any part, component, accessory, attachment, equipment, or system that: (</w:t>
      </w:r>
      <w:proofErr w:type="spellStart"/>
      <w:r w:rsidRPr="007F5C3A">
        <w:rPr>
          <w:sz w:val="2"/>
          <w:szCs w:val="2"/>
        </w:rPr>
        <w:t>i</w:t>
      </w:r>
      <w:proofErr w:type="spellEnd"/>
      <w:r w:rsidRPr="007F5C3A">
        <w:rPr>
          <w:sz w:val="2"/>
          <w:szCs w:val="2"/>
        </w:rPr>
        <w:t xml:space="preserve">) Is classified; (ii) Contains classified software directly related to defense articles in this subchapter or 600 series items subject to the EAR; or (iii) Is being developed using classified information. Note to paragraph (h)(20): Classified means classified pursuant to Executive Order 13526, or predecessor order, and a security classification guide developed pursuant thereto or equivalent, or to the corresponding classification rules of another government or international organization; (21)-(26) [Reserved] (27) Variable speed gearboxes, where a “variable speed gearbox” has the ability to vary the gearbox output speed by mechanical means within the gearbox while the gearbox input speed from the engine or other source is constant, and is capable of varying output speed by 20% or greater and providing power to rotors, proprotors, propellers, propfans, or </w:t>
      </w:r>
      <w:proofErr w:type="spellStart"/>
      <w:r w:rsidRPr="007F5C3A">
        <w:rPr>
          <w:sz w:val="2"/>
          <w:szCs w:val="2"/>
        </w:rPr>
        <w:t>liftfans</w:t>
      </w:r>
      <w:proofErr w:type="spellEnd"/>
      <w:r w:rsidRPr="007F5C3A">
        <w:rPr>
          <w:sz w:val="2"/>
          <w:szCs w:val="2"/>
        </w:rPr>
        <w:t>; and specially designed parts and components therefor; (28) Electrical power or thermal management systems specially designed for an engine controlled in Category XIX and having any of the following: (</w:t>
      </w:r>
      <w:proofErr w:type="spellStart"/>
      <w:r w:rsidRPr="007F5C3A">
        <w:rPr>
          <w:sz w:val="2"/>
          <w:szCs w:val="2"/>
        </w:rPr>
        <w:t>i</w:t>
      </w:r>
      <w:proofErr w:type="spellEnd"/>
      <w:r w:rsidRPr="007F5C3A">
        <w:rPr>
          <w:sz w:val="2"/>
          <w:szCs w:val="2"/>
        </w:rPr>
        <w:t>) Electrical power generators that provide greater than 300kW of electrical power (per generator) with gravimetric power densities exceeding 2kW/pound (excluding the mass of the controller for the purpose of calculating the gravimetric power density); (ii) Heat exchangers that exchange 60 kW/K-m3 or 1 kW/K of heat or greater into the gas turbine engine flow path; or (iii) Direct-cooling thermal electronic package heat exchangers that transfer 20kW of heat or greater at 100W/cm2 or greater. (29) Any of the following equipment if specially designed for a defense article described in paragraph (h)(1): (</w:t>
      </w:r>
      <w:proofErr w:type="spellStart"/>
      <w:r w:rsidRPr="007F5C3A">
        <w:rPr>
          <w:sz w:val="2"/>
          <w:szCs w:val="2"/>
        </w:rPr>
        <w:t>i</w:t>
      </w:r>
      <w:proofErr w:type="spellEnd"/>
      <w:r w:rsidRPr="007F5C3A">
        <w:rPr>
          <w:sz w:val="2"/>
          <w:szCs w:val="2"/>
        </w:rPr>
        <w:t>) Scale test models; (ii) Full scale iron bird ground rigs used to test major aircraft systems; or (iii) Jigs, locating fixtures, templates, gauges, molds, dies, or caul plates. (</w:t>
      </w:r>
      <w:proofErr w:type="spellStart"/>
      <w:r w:rsidRPr="007F5C3A">
        <w:rPr>
          <w:sz w:val="2"/>
          <w:szCs w:val="2"/>
        </w:rPr>
        <w:t>i</w:t>
      </w:r>
      <w:proofErr w:type="spellEnd"/>
      <w:r w:rsidRPr="007F5C3A">
        <w:rPr>
          <w:sz w:val="2"/>
          <w:szCs w:val="2"/>
        </w:rPr>
        <w:t>) Technical data (see §120.10 of this subchapter) and defense services (see §120.9 of this subchapter) directly related to the defense articles described in paragraphs (a) through (h) of this category and classified technical data directly related to items controlled in ECCNs 9A610, 9B610, 9C610, and 9D610 and defense services using classified technical data. (See §125.4 of this subchapter for exemptions.) (MT for technical data and defense services related to articles designated as such.) (j)-(w) [Reserved] (x) Commodities, software, and technology subject to the EAR (see §120.42 of this subchapter) used in or with defense articles controlled in this category. Note to paragraph (x): Use of this paragraph is limited to license applications for defense articles controlled in this category where the purchase documentation includes commodities, software, or technology subject to the EAR (see §123.1(b) of this subchapter). Note: Parts, components, accessories, and attachments in paragraphs (h)(3)-(5), (7), (14), (17), or (19) are licensed by the Department of Commerce when incorporated in an aircraft subject to the EAR and classified under ECCN 9A610. Replacement systems, parts, components, accessories and attachments are subject to the controls of the ITAR. Category IX—Military Training Equipment and Training (a) Training equipment, as follows: (1) Ground, surface, submersible, space, or towed airborne targets that: (</w:t>
      </w:r>
      <w:proofErr w:type="spellStart"/>
      <w:r w:rsidRPr="007F5C3A">
        <w:rPr>
          <w:sz w:val="2"/>
          <w:szCs w:val="2"/>
        </w:rPr>
        <w:t>i</w:t>
      </w:r>
      <w:proofErr w:type="spellEnd"/>
      <w:r w:rsidRPr="007F5C3A">
        <w:rPr>
          <w:sz w:val="2"/>
          <w:szCs w:val="2"/>
        </w:rPr>
        <w:t>) Have an infrared, radar, acoustic, magnetic, or thermal signature that mimic a specific defense article, specific other item, or specific person; or (ii) Are instrumented to provide hit/miss performance information for defense articles controlled in this subchapter; Note to paragraph (a)(1): Target drones are controlled in USML Category VIII(a). (2) Devices that are mockups of articles enumerated in this subchapter used for maintenance training or disposal training for ordnance enumerated in this subchapter, that reveal technical data or contain parts, components, accessories, or attachments controlled in this subchapter; (3) Air combat maneuvering instrumentation and ground stations therefor; (4) Physiological flight trainers for fighter aircraft or attack helicopters; (5) Radar trainers specially designed for training on radar controlled by USML Category XI; (6) Training devices specially designed to be attached to a crew station, mission system, or weapon of an article controlled in this subchapter; Note to paragraph (a)(6): This paragraph includes stimulators that are built-in or add-on devices that cause the actual equipment to act as a trainer. (7) Anti-submarine warfare trainers; (8) Missile launch trainers; (9) Radar target generators; (10) Infrared scene generators; or *(11) Any training device that: (</w:t>
      </w:r>
      <w:proofErr w:type="spellStart"/>
      <w:r w:rsidRPr="007F5C3A">
        <w:rPr>
          <w:sz w:val="2"/>
          <w:szCs w:val="2"/>
        </w:rPr>
        <w:t>i</w:t>
      </w:r>
      <w:proofErr w:type="spellEnd"/>
      <w:r w:rsidRPr="007F5C3A">
        <w:rPr>
          <w:sz w:val="2"/>
          <w:szCs w:val="2"/>
        </w:rPr>
        <w:t>) Is classified; (ii) Contains classified software directly related to defense articles in this subchapter or 600 series items subject to the EAR; or (iii) Is being developed using classified information. Note to paragraph (a)(11): “Classified” means classified pursuant to Executive Order 13526, or predecessor order, and a security classification guide developed pursuant thereto or equivalent, or to the corresponding classification rules of another government or international organization.” Note to paragraph (a): Training equipment does not include combat games without item signatures or tactics, techniques, and procedures covered by this subchapter. (b) Simulators, as follows: (1) System specific simulators that replicate the operation of an individual crew station, a mission system, or a weapon of an end-item that is controlled in this subchapter; (2)-(3) [Reserved] (4) Software and associated databases not elsewhere enumerated in this subchapter that can be used to model or simulate the following: (</w:t>
      </w:r>
      <w:proofErr w:type="spellStart"/>
      <w:r w:rsidRPr="007F5C3A">
        <w:rPr>
          <w:sz w:val="2"/>
          <w:szCs w:val="2"/>
        </w:rPr>
        <w:t>i</w:t>
      </w:r>
      <w:proofErr w:type="spellEnd"/>
      <w:r w:rsidRPr="007F5C3A">
        <w:rPr>
          <w:sz w:val="2"/>
          <w:szCs w:val="2"/>
        </w:rPr>
        <w:t>) Trainers enumerated in paragraph (a) of this category; (ii) Battle management; (iii) Military test scenarios/models; or (iv) Effects of weapons enumerated in this subchapter; or *(5) Simulators that: (</w:t>
      </w:r>
      <w:proofErr w:type="spellStart"/>
      <w:r w:rsidRPr="007F5C3A">
        <w:rPr>
          <w:sz w:val="2"/>
          <w:szCs w:val="2"/>
        </w:rPr>
        <w:t>i</w:t>
      </w:r>
      <w:proofErr w:type="spellEnd"/>
      <w:r w:rsidRPr="007F5C3A">
        <w:rPr>
          <w:sz w:val="2"/>
          <w:szCs w:val="2"/>
        </w:rPr>
        <w:t xml:space="preserve">) Are classified; (ii) Contain classified software directly related to defense articles in this subchapter or 600 series items subject to the EAR; or (iii) Are being developed using classified information. Note to paragraph (b)(5): “Classified” means classified pursuant to Executive Order 13526, or predecessor order, and a security classification guide developed pursuant thereto or equivalent, or to the corresponding classification rules of another government or international organization. (c)-(d) [Reserved] (e) Technical data (see §120.10 of this subchapter) and defense services (see §120.9 of this subchapter): (1) Directly related to the defense articles enumerated in paragraphs (a) and (b) of this category; (2) Directly related to the software and associated databases enumerated in paragraph (b)(4) of this category even if no defense articles are used or transferred; or (3) Military training (see, §120.9(a)(3) of this subchapter) not directly related to defense articles or technical data enumerated in this subchapter. (f)-(w) [Reserved] (x) Commodities, software, and technical data subject to the EAR (see §120.42 of this subchapter) used in or with defense articles. Note to paragraph (x): Use of this paragraph is limited to license applications for defense articles where the purchase documentation includes commodities, software, or technical data subject to the EAR (see §123.1(b) of this subchapter). Note to USML Category IX: Parts, components, accessories, or attachments of a simulator in this category that are common to the simulated system or simulated end-item are controlled under the same USML category or CCL ECCN as the parts, components, accessories, and attachments of the simulated system or simulated end-item. Category X—Personal Protective Equipment (a) Personal protective equipment, as follows: (1) Body armor providing a protection level equal to or greater than NIJ Type IV; Note 1 to paragraph (a)(1): For body armor providing a level of protection of Type I, Type II, Type IIA, Type IIIA, or Type III, </w:t>
      </w:r>
      <w:proofErr w:type="spellStart"/>
      <w:r w:rsidRPr="007F5C3A">
        <w:rPr>
          <w:sz w:val="2"/>
          <w:szCs w:val="2"/>
        </w:rPr>
        <w:t>seeECCNs</w:t>
      </w:r>
      <w:proofErr w:type="spellEnd"/>
      <w:r w:rsidRPr="007F5C3A">
        <w:rPr>
          <w:sz w:val="2"/>
          <w:szCs w:val="2"/>
        </w:rPr>
        <w:t xml:space="preserve"> 1A005 and 1A613. Note 2 to paragraph (a)(1): See USML Category XIII(e) for controls on related materials. (2) Personal protective clothing, equipment, or face paints specially designed to protect against or reduce detection by radar, IR, or other sensors at wavelengths greater than 900 nanometers; Note to paragraph (a)(2): See USML Category XIII(j) for controls on related materials. (3)-(4) [Reserved] (5) Integrated helmets, not specified in USML Category VIII(h)(15) or USML Category XII, incorporating optical sights or slewing devices, which include the ability to aim, launch, track, or manage munitions; (6) Helmets and helmet shells providing a protection level equal to or greater than NIJ Type IV; (7) Goggles, spectacles, visors, vision blocks, canopies, or filters for optical sights or viewers, employing other than common broadband absorptive dyes or UV inhibitors as a means of protection (e.g., narrow band filters/dyes or broadband limiters/coatings with high visible transparency), having an optical density greater than 3, and that protect against: (</w:t>
      </w:r>
      <w:proofErr w:type="spellStart"/>
      <w:r w:rsidRPr="007F5C3A">
        <w:rPr>
          <w:sz w:val="2"/>
          <w:szCs w:val="2"/>
        </w:rPr>
        <w:t>i</w:t>
      </w:r>
      <w:proofErr w:type="spellEnd"/>
      <w:r w:rsidRPr="007F5C3A">
        <w:rPr>
          <w:sz w:val="2"/>
          <w:szCs w:val="2"/>
        </w:rPr>
        <w:t>) Multiple visible (in-band) laser wavelengths; (ii) Thermal flashes associated with nuclear detonations; or (iii) Near infrared or ultraviolet (out-of-band) laser wavelengths; or Note 1 to paragraph (a)(7): See paragraphs (d)(2) and (3) of this category for controls on related parts, components, and materials. Note 2 to paragraph (a)(7): See USML Category XII for sensor protection equipment. (8) Developmental personal protective equipment and specially designed parts, components, accessories, and attachments therefor, developed for the U.S. Department of Defense via contract or other funding authorization. Note 1 to paragraph (a)(8): This paragraph does not control personal protective equipment and specially designed parts, components, accessories, and attachments (a) in production, (b) determined to be subject to the EAR via a commodity jurisdiction determination (see §120.4 of this subchapter), or (c) identified in the relevant Department of Defense contract or other funding authorization as being developed for both civil and military applications. Note 2 to paragraph (a)(8): Note 1 does not apply to defense articles enumerated on the USML, whether in production or development. Note 3 to paragraph (a)(8): This paragraph is applicable only to those contracts and funding authorizations that are dated January 5, 2015, or later. (b)-(c) [Reserved] (d) Parts, components, assemblies, accessories, attachments, and associated equipment for the personal protective equipment controlled in this category, as follows: (1) Ceramic or composite plates that provide protection equal to or greater than NIJ Type IV; (2) Lenses, substrates, or filters “specially designed” for the articles covered in paragraph (a)(7) of this category; (3) Materials and coatings specially designed for the articles covered in paragraph (a)(7) of this category with optical density greater than 3, as follows: (</w:t>
      </w:r>
      <w:proofErr w:type="spellStart"/>
      <w:r w:rsidRPr="007F5C3A">
        <w:rPr>
          <w:sz w:val="2"/>
          <w:szCs w:val="2"/>
        </w:rPr>
        <w:t>i</w:t>
      </w:r>
      <w:proofErr w:type="spellEnd"/>
      <w:r w:rsidRPr="007F5C3A">
        <w:rPr>
          <w:sz w:val="2"/>
          <w:szCs w:val="2"/>
        </w:rPr>
        <w:t>) Narrowband absorbing dyes; (ii) Broadband optical switches or limiters (i.e., nonlinear material, tunable or switchable agile filters, optical power limiters, near infrared interference based filters); or (iii) Narrowband interference based notch filters (i.e., multi-layer dielectric coatings, rugate, holograms or hybrid (</w:t>
      </w:r>
      <w:proofErr w:type="spellStart"/>
      <w:r w:rsidRPr="007F5C3A">
        <w:rPr>
          <w:sz w:val="2"/>
          <w:szCs w:val="2"/>
        </w:rPr>
        <w:t>i.e.,interference</w:t>
      </w:r>
      <w:proofErr w:type="spellEnd"/>
      <w:r w:rsidRPr="007F5C3A">
        <w:rPr>
          <w:sz w:val="2"/>
          <w:szCs w:val="2"/>
        </w:rPr>
        <w:t xml:space="preserve"> with dye)) protecting against multiple laser wavelength and having high visible band transparency; or *(4) Any component, part, accessory, attachment, equipment, or system that: (</w:t>
      </w:r>
      <w:proofErr w:type="spellStart"/>
      <w:r w:rsidRPr="007F5C3A">
        <w:rPr>
          <w:sz w:val="2"/>
          <w:szCs w:val="2"/>
        </w:rPr>
        <w:t>i</w:t>
      </w:r>
      <w:proofErr w:type="spellEnd"/>
      <w:r w:rsidRPr="007F5C3A">
        <w:rPr>
          <w:sz w:val="2"/>
          <w:szCs w:val="2"/>
        </w:rPr>
        <w:t>) Is classified; (ii) Contains classified software directly related to defense articles in this subchapter or 600 series items subject to the EAR; or (iii) Is being developed using classified information. Note to paragraph (d)(4): “Classified” means classified pursuant to Executive Order 13526, or predecessor order, and a security classification guide developed pursuant thereto or equivalent, or to the corresponding classification rules of another government or international government. Note to paragraphs (a) and (d): See National Institute of Justice Classification, NIJ Standard-0101.06, or national equivalents, for a description of level of protection for armor. (e) Technical data (see §120.10 of this subchapter) and defense services (see §120.9 of this subchapter) directly related to the defense articles described in paragraphs (a) through (d) of this category. (f)-(w) [Reserved] (x) Commodities, software, and technical data subject to the EAR (see §120.42 of this subchapter) used in or with defense articles. Note to paragraph (x): Use of this paragraph is limited to license applications for defense articles where the purchase documentation includes commodities, software, or technical data subject to the EAR (see §123.1(b) of this subchapter). Category XI—Military Electronics (a) Electronic equipment and systems not included in Category XII of the U.S. Munitions List, as follows: *(1) Underwater hardware, equipment, or systems, as follows: (</w:t>
      </w:r>
      <w:proofErr w:type="spellStart"/>
      <w:r w:rsidRPr="007F5C3A">
        <w:rPr>
          <w:sz w:val="2"/>
          <w:szCs w:val="2"/>
        </w:rPr>
        <w:t>i</w:t>
      </w:r>
      <w:proofErr w:type="spellEnd"/>
      <w:r w:rsidRPr="007F5C3A">
        <w:rPr>
          <w:sz w:val="2"/>
          <w:szCs w:val="2"/>
        </w:rPr>
        <w:t xml:space="preserve">) Active or passive acoustic array sensing systems or acoustic array equipment capable of real-time processing that survey or detect, and also track, localize (i.e., determine range and bearing), classify, or identify, surface vessels, submarines, other undersea vehicles, torpedoes, or mines, having any of the following: (A) Multi-static capability; (B) Operating frequency less than 20 kHz; or (C) Operating bandwidth greater than 10 kHz; (ii) Underwater single acoustic sensor system that distinguishes non-biologic </w:t>
      </w:r>
      <w:proofErr w:type="spellStart"/>
      <w:r w:rsidRPr="007F5C3A">
        <w:rPr>
          <w:sz w:val="2"/>
          <w:szCs w:val="2"/>
        </w:rPr>
        <w:t>tonals</w:t>
      </w:r>
      <w:proofErr w:type="spellEnd"/>
      <w:r w:rsidRPr="007F5C3A">
        <w:rPr>
          <w:sz w:val="2"/>
          <w:szCs w:val="2"/>
        </w:rPr>
        <w:t xml:space="preserve"> and locates the origin of the sound; Note to paragraph(a)(1)(ii): The term </w:t>
      </w:r>
      <w:proofErr w:type="spellStart"/>
      <w:r w:rsidRPr="007F5C3A">
        <w:rPr>
          <w:sz w:val="2"/>
          <w:szCs w:val="2"/>
        </w:rPr>
        <w:t>tonals</w:t>
      </w:r>
      <w:proofErr w:type="spellEnd"/>
      <w:r w:rsidRPr="007F5C3A">
        <w:rPr>
          <w:sz w:val="2"/>
          <w:szCs w:val="2"/>
        </w:rPr>
        <w:t xml:space="preserve"> implies discrete frequencies in the broadband and narrowband spectra, emanating from man-made objects. (iii) Non-acoustic systems that survey or detect, and also track, localize (i.e., determine range and bearing), classify, or identify, surface vessels, submarines, other undersea vehicles, torpedoes, or mines; (iv) Acoustic modems, networks, and communications equipment with real-time adaptive compensation or employing Low Probability of Intercept (LPI); Note to paragraph (a)(1)(iv): Adaptive compensation is the capability of an underwater modem to assess the water conditions to select the best algorithm to receive and transmit data. (v) Low Frequency/Very Low Frequency (LF/VLF) electronic modems, routers, interfaces, and communications equipment, specially designed for submarine communications; or (vi) Autonomous systems and equipment that enable cooperative sensing and engagement by fixed (bottom mounted/seabed) or mobile Autonomous Underwater Vehicles (AUVs); *(2) Underwater acoustic countermeasures or counter-countermeasures systems or equipment; *(3) Radar systems and equipment, as follows: (</w:t>
      </w:r>
      <w:proofErr w:type="spellStart"/>
      <w:r w:rsidRPr="007F5C3A">
        <w:rPr>
          <w:sz w:val="2"/>
          <w:szCs w:val="2"/>
        </w:rPr>
        <w:t>i</w:t>
      </w:r>
      <w:proofErr w:type="spellEnd"/>
      <w:r w:rsidRPr="007F5C3A">
        <w:rPr>
          <w:sz w:val="2"/>
          <w:szCs w:val="2"/>
        </w:rPr>
        <w:t>) Airborne radar that maintains positional state of an object or objects of interest, other than weather phenomena, in a received radar signal through time; Note to paragraph (a)(3)(</w:t>
      </w:r>
      <w:proofErr w:type="spellStart"/>
      <w:r w:rsidRPr="007F5C3A">
        <w:rPr>
          <w:sz w:val="2"/>
          <w:szCs w:val="2"/>
        </w:rPr>
        <w:t>i</w:t>
      </w:r>
      <w:proofErr w:type="spellEnd"/>
      <w:r w:rsidRPr="007F5C3A">
        <w:rPr>
          <w:sz w:val="2"/>
          <w:szCs w:val="2"/>
        </w:rPr>
        <w:t>): This paragraph does not control radars that: (1) Are incapable of free space detection of 1 square meter Radar Cross Section (RCS) target beyond 8 nautical miles (</w:t>
      </w:r>
      <w:proofErr w:type="spellStart"/>
      <w:r w:rsidRPr="007F5C3A">
        <w:rPr>
          <w:sz w:val="2"/>
          <w:szCs w:val="2"/>
        </w:rPr>
        <w:t>nmi</w:t>
      </w:r>
      <w:proofErr w:type="spellEnd"/>
      <w:r w:rsidRPr="007F5C3A">
        <w:rPr>
          <w:sz w:val="2"/>
          <w:szCs w:val="2"/>
        </w:rPr>
        <w:t xml:space="preserve">); (2) contain a radar update rate of not more than 1Hz; and (3) employ a design determined to be subject to the EAR via a commodity jurisdiction determination (see §120.4 of this subchapter). (ii) Synthetic Aperture Radar (SAR) incorporating image resolution less than (better than) 0.3 m, or incorporating Coherent Change Detection (CCD) with geo-registration accuracy less than (better than) 0.3 m, not including concealed object detection equipment operating in the frequency range from 30 GHz to 3,000 GHz and having a spatial resolution of 0.1 milliradians up to and including 1 milliradians at a standoff distance of 100 m; (iii) Inverse Synthetic Aperture Radar (ISAR); (iv) Radar that geodetically-locates (i.e., geodetic latitude, geodetic longitude, and geodetic height) with a target location error 50 (TLE50) less than or equal to 10 m at ranges greater than 1 km; (v) Any Ocean Surveillance Radar with an average-power-aperture product of greater than 50 Wm2; (vi) Any ocean surveillance radar that transmits a waveform with an instantaneous bandwidth greater than 100 MHz and has an antenna rotation rate greater than 60 revolutions per minute (RPM); (vii) Air surveillance radar with free space detection of 1 square meter RCS target at 85 </w:t>
      </w:r>
      <w:proofErr w:type="spellStart"/>
      <w:r w:rsidRPr="007F5C3A">
        <w:rPr>
          <w:sz w:val="2"/>
          <w:szCs w:val="2"/>
        </w:rPr>
        <w:t>nmi</w:t>
      </w:r>
      <w:proofErr w:type="spellEnd"/>
      <w:r w:rsidRPr="007F5C3A">
        <w:rPr>
          <w:sz w:val="2"/>
          <w:szCs w:val="2"/>
        </w:rPr>
        <w:t xml:space="preserve"> or greater range, scaled to RCS values as RCS to the 1⁄4 power; (viii) Air surveillance radar with free space detection of 1 square meter RCS target at an altitude of 65,000 feet and an elevation angle greater than 20 degrees (i.e., counter-battery); (ix) Air surveillance radar with multiple elevation beams, phase or amplitude </w:t>
      </w:r>
      <w:proofErr w:type="spellStart"/>
      <w:r w:rsidRPr="007F5C3A">
        <w:rPr>
          <w:sz w:val="2"/>
          <w:szCs w:val="2"/>
        </w:rPr>
        <w:t>monopulse</w:t>
      </w:r>
      <w:proofErr w:type="spellEnd"/>
      <w:r w:rsidRPr="007F5C3A">
        <w:rPr>
          <w:sz w:val="2"/>
          <w:szCs w:val="2"/>
        </w:rPr>
        <w:t xml:space="preserve"> estimation, or 3D height-finding; (x) Air surveillance radar with a beam solid angle less than or equal to 16 degrees2 that performs free space tracking of 1 square meter RCS target at a range greater or equal to 25 </w:t>
      </w:r>
      <w:proofErr w:type="spellStart"/>
      <w:r w:rsidRPr="007F5C3A">
        <w:rPr>
          <w:sz w:val="2"/>
          <w:szCs w:val="2"/>
        </w:rPr>
        <w:t>nmi</w:t>
      </w:r>
      <w:proofErr w:type="spellEnd"/>
      <w:r w:rsidRPr="007F5C3A">
        <w:rPr>
          <w:sz w:val="2"/>
          <w:szCs w:val="2"/>
        </w:rPr>
        <w:t xml:space="preserve"> with revisit rate greater or equal to 1⁄3 Hz; (xi) Instrumentation radar for anechoic test facility or outdoor range that maintains positional state of an object of interest in a received radar signal through time or provides measurement of RCS of a static target less than or equal to minus 10dBsm, or RCS of a dynamic target; (xii) Radar incorporating pulsed operation with electronics steering of transmit beam in elevation and azimuth; Note to paragraph (a)(3)(xii): This paragraph does not control radars not otherwise controlled in this subchapter, operating with a peak transmit power less than or equal to 550 watts, and employing a design determined to be subject to the EAR via a commodity jurisdiction determination (see §120.4 of this subchapter). (xiii) Radar with mode(s) for ballistic tracking or ballistic extrapolation to source of launch or impact point of articles controlled in USML Categories III, IV, or XV; (xiv) Active protection radar and missile warning radar with mode(s) implemented for detection of incoming munitions; (xv) Over the horizon high frequency sky-wave (ionosphere) radar; (xvi) Radar that detects a moving object through a physical obstruction at distance greater than 0.2 m from the obstruction; (xvii) Radar having moving target indicator (MTI) or pulse-Doppler processing where any single Doppler filter provides a normalized clutter attenuation of greater than 60dB; Note to paragraph (a)(3)(xvii): Normalized clutter attenuation is defined as the reduction in the power level of received distributed clutter when normalized to the thermal noise level. (xviii) Radar having electronic protection or electronic counter-countermeasures (ECCM) other than manual gain control, automatic gain control, radio frequency selection, constant false alarm rate, and pulse repetition interval jitter; (xix) Radar employing electronic attack (EA) mode(s) using the radar transmitter and antenna; (xx) Radar employing electronic support (ES) mode(s) (i.e., the ability to use a radar system for ES purposes in one or more of the following: as a high-gain receiver, as a wide-bandwidth receiver, as a multi-beam receiver, or as part of a multi-point system); (xxi) Radar employing non-cooperative target recognition (NCTR) (i.e., the ability to recognize a specific platform type without cooperative action of the target platform); Note to paragraph (a)(3)(xxi): The definition of “type” in this paragraph is that provided in 14 CFR §1.1. (xxii) Radar employing automatic target recognition (ATR) (i.e., recognition of target using structural features (e.g., tank versus car) of the target with system resolution better than (less than) 0.3 m); (xxiii) Radar that sends interceptor guidance commands or provides illumination keyed to an interceptor seeker; (xxiv) Radar employing waveform generation for LPI other than frequency modulated continuous wave (FMCW) with linear ramp modulation; (xxv) Radar that sends and receives communications; (xxvi) Radar that tracks or discriminates ballistic missile warhead from debris or countermeasures; (xxvii) Bi-static/multi-static radar that exploits greater than 125 kHz bandwidth and is lower than 2 GHz center frequency to passively detect or track using radio frequency (RF) transmissions (e.g., commercial radio, television stations); (xxviii) Radar target generators, projectors, or simulators, specially designed for radars controlled by this category; or (xxix) Radar and laser radar systems specially designed for defense articles in paragraph (a)(1) of USML Category IV or paragraphs (a)(5), (a)(6), or (a)(13) of USML Category VIII (MT if specially designed for rockets, space launch vehicles, missiles, drones, or unmanned aerial vehicles capable of delivering a payload of at least 500 kg to a range of at least 300 km); Note 1 to paragraph (a)(3)(xxix): Laser radar systems embody specialized transmission, scanning, receiving, and signal processing techniques for utilization of lasers for echo ranging, direction finding, and discrimination of targets by location, radial speed, and body reflection characteristics. Note 2 to paragraph (a)(3)(xxix): For definition of “range” as it pertains to rocket systems, see note 1 to paragraph (a) of USML Category IV. “Payload” is the total mass that can be carried or delivered by the specified rocket, SLV, or missile that is not used to maintain flight. Note to paragraph (a)(3): This paragraph does not control: (a) Systems or equipment that require aircraft transponders in order to meet control parameters; (b) precision approach radar (PAR) equipment conforming to ICAO standards and employing electronically steerable linear (1- dimensional) arrays or mechanically positioned passive antennas; and (c) radio altimeter equipment conforming to FAA TSO C87. *(4) Electronic Combat (i.e., Electronic Warfare) systems and equipment, as follows: (</w:t>
      </w:r>
      <w:proofErr w:type="spellStart"/>
      <w:r w:rsidRPr="007F5C3A">
        <w:rPr>
          <w:sz w:val="2"/>
          <w:szCs w:val="2"/>
        </w:rPr>
        <w:t>i</w:t>
      </w:r>
      <w:proofErr w:type="spellEnd"/>
      <w:r w:rsidRPr="007F5C3A">
        <w:rPr>
          <w:sz w:val="2"/>
          <w:szCs w:val="2"/>
        </w:rPr>
        <w:t>) ES systems and equipment that search for, intercept and identify, or locate sources of intentional or unintentional electromagnetic energy specially designed to provide immediate threat detection, recognition, targeting, planning, or conduct of future operations; Note to paragraph (a)(4)(</w:t>
      </w:r>
      <w:proofErr w:type="spellStart"/>
      <w:r w:rsidRPr="007F5C3A">
        <w:rPr>
          <w:sz w:val="2"/>
          <w:szCs w:val="2"/>
        </w:rPr>
        <w:t>i</w:t>
      </w:r>
      <w:proofErr w:type="spellEnd"/>
      <w:r w:rsidRPr="007F5C3A">
        <w:rPr>
          <w:sz w:val="2"/>
          <w:szCs w:val="2"/>
        </w:rPr>
        <w:t>): ES provides tactical situational awareness, automatic cueing, targeting, electronic order of battle planning, electronic intelligence (ELINT), communication intelligence (COMINT), or signals intelligence (SIGINT). (ii) Systems and equipment that detect and automatically discriminate acoustic energy emanating from weapons fire (e.g., gunfire, artillery, rocket propelled grenades, or other projectiles), determining location or direction of weapons fire in less than two seconds from receipt of event signal, and able to operate on-the-move (e.g., operating on personnel, land vehicles, sea vessels, or aircraft while in motion); or (iii) Systems and equipment specially designed to introduce extraneous or erroneous signals into radar, infrared based seekers, electro-optic based seekers, radio communication receivers, navigation receivers, or that otherwise hinder the reception, operation, or effectiveness of adversary electronics (e.g., active or passive electronic attack, electronic countermeasure, electronic counter-countermeasure equipment, jamming, and counter jamming equipment); *(5) Command, control, and communications (C3); command, control, communications, and computers (C4); command, control, communications, computers, intelligence, surveillance, and reconnaissance (C4ISR); and identification systems or equipment, that: (</w:t>
      </w:r>
      <w:proofErr w:type="spellStart"/>
      <w:r w:rsidRPr="007F5C3A">
        <w:rPr>
          <w:sz w:val="2"/>
          <w:szCs w:val="2"/>
        </w:rPr>
        <w:t>i</w:t>
      </w:r>
      <w:proofErr w:type="spellEnd"/>
      <w:r w:rsidRPr="007F5C3A">
        <w:rPr>
          <w:sz w:val="2"/>
          <w:szCs w:val="2"/>
        </w:rPr>
        <w:t>) Are specially designed to integrate, incorporate, network, or employ defense articles that are controlled in paragraphs or subparagraphs of the categories of §121.1 of this part that do not use the term specially designed; (ii) Incorporate U.S. government identification friend or foe (IFF) Modes 4 or 5; (iii) Implement active or passive ECCM used to counter acts of communication disruption (e.g., radios that incorporate HAVE QUICK I/II, SINCGARS, SATURN); (iv) Specially designed, rated, certified, or otherwise specified or described to be in compliance with U.S. government NSTISSAM TEMPEST 1-92 standards or CNSSAM TEMPEST 01-02, to implement techniques to suppress compromising emanations of information bearing signals; or (v) Transmit voice or data signals specially designed to elude electromagnetic detection; (6) [Reserved] (7) Developmental electronic equipment or systems funded by the Department of Defense via contract or other funding authorization; Note 1 to paragraph (a)(7): This paragraph does not control electronic systems or equipment (a) in production, (b) determined to be subject to the EAR via a commodity jurisdiction determination (see §120.4 of this subchapter), or (c) identified in the relevant Department of Defense contract or other funding authorization as being developed for both civil and military applications. Note 2 to paragraph (a)(7): Note 1 does not apply to defense articles enumerated on the USML, whether in production or development. Note 3 to paragraph (a)(7): This paragraph is applicable only to those contracts and funding authorizations that are dated July 1, 2015, or later. (8) Unattended ground sensor (UGS) systems or equipment having all of the following: (</w:t>
      </w:r>
      <w:proofErr w:type="spellStart"/>
      <w:r w:rsidRPr="007F5C3A">
        <w:rPr>
          <w:sz w:val="2"/>
          <w:szCs w:val="2"/>
        </w:rPr>
        <w:t>i</w:t>
      </w:r>
      <w:proofErr w:type="spellEnd"/>
      <w:r w:rsidRPr="007F5C3A">
        <w:rPr>
          <w:sz w:val="2"/>
          <w:szCs w:val="2"/>
        </w:rPr>
        <w:t>) Automatic target detection; (ii) Automatic target tracking, classification, recognition, or identification; (iii) Self-forming or self-healing networks; and (iv) Self-localization for geo-locating targets; (9) Electronic sensor systems or equipment for non-acoustic antisubmarine warfare (ASW) or mine warfare (e.g., magnetic anomaly detectors (MAD), electric-field, electromagnetic induction); (10) Electronic sensor systems or equipment for detection of concealed weapons, having a standoff detection range of greater than 45 m for personnel or detection of vehicle-carried weapons, not including concealed object detection equipment operating in the frequency range from 30 GHz to 3,000 GHz and having a spatial resolution of 0.1 milliradians up to and including 1 milliradians at a standoff distance of 100 m; (11) Test sets specially designed for testing defense articles controlled in paragraphs (a)(3), (a)(4), (a)(5), or (b); or (12) Direction finding equipment for determining bearings to specific electromagnetic sources or terrain characteristics specially designed for defense articles in paragraph (a)(1) of USML Category IV or paragraphs (a)(5), (a)(6), or (a)(13) of USML Category VIII (MT if specially designed for rockets, SLVs, missiles, drones, or UAVs capable of delivering a payload of at least 500 kg to a range of at least 300 km. See note 2 to paragraph (a)(3)(xxix) of this category). Note 1 to paragraph (a): The term Low Probability of Intercept used in this paragraph and elsewhere in this category is defined as a class of measures that disguise, delay, or prevent the interception of acoustic or electromagnetic signals. LPI techniques can involve permutations of power management, energy management, frequency variability, out-of-receiver-frequency band, low-side lobe antenna, complex waveforms, and complex scanning. LPI is also referred to as Low Probability of Intercept, Low Probability of Detection, and Low Probability of Identification. Note 2 to paragraph (a): Paragraphs (a)(3)(xxix) and (a)(12) include terrain contour mapping equipment, scene mapping and correlation (both digital and analogue) equipment, Doppler navigation radar equipment, passive interferometer equipment, and imaging sensor equipment (both active and passive). *(b) Electronic systems, equipment or software, not elsewhere enumerated in this subchapter, specially designed for intelligence purposes that collect, survey, monitor, or exploit, or analyze and produce information from, the electromagnetic spectrum (regardless of transmission medium), or for counteracting such activities. (c) Parts, components, accessories, attachments, and associated equipment, as follows: (1) Application Specific Integrated Circuits (ASICs) and Programmable Logic Devices (PLD) programmed for defense articles in this subchapter; Note 1 to paragraph (c)(1):\ An ASIC is an integrated circuit developed and produced for a specific application or function regardless of number of customers. Note 2 to paragraph (c)(1): ASICs and PLDs programmed for 600 series items are controlled in ECCN 3A611.f. Note 3 to paragraph (c)(1): Unprogrammed PLDs are not controlled by this paragraph. (2) Printed Circuit Boards (PCBs) and populated circuit card assemblies for which the layout is specially designed for defense articles in this subchapter; Note to paragraph (c)(2): PCBs and populated circuit card assemblies for which the layout is specially designed for 600 series items are controlled in ECCN 3A611.g. (3) Multichip modules for which the pattern or layout is specially designed for defense articles in this subchapter; Note to paragraph (c)(3): Multichip modules for which the pattern or layout is specially designed for 600 series items are controlled in ECCN 3A611.h. (4) Transmit/receive modules, transmit/receive monolithic microwave integrated circuits (MMICs), transmit modules, and transmit MMICs having all of the following: (</w:t>
      </w:r>
      <w:proofErr w:type="spellStart"/>
      <w:r w:rsidRPr="007F5C3A">
        <w:rPr>
          <w:sz w:val="2"/>
          <w:szCs w:val="2"/>
        </w:rPr>
        <w:t>i</w:t>
      </w:r>
      <w:proofErr w:type="spellEnd"/>
      <w:r w:rsidRPr="007F5C3A">
        <w:rPr>
          <w:sz w:val="2"/>
          <w:szCs w:val="2"/>
        </w:rPr>
        <w:t xml:space="preserve">) A peak saturated power output (in watts), </w:t>
      </w:r>
      <w:proofErr w:type="spellStart"/>
      <w:r w:rsidRPr="007F5C3A">
        <w:rPr>
          <w:sz w:val="2"/>
          <w:szCs w:val="2"/>
        </w:rPr>
        <w:t>Psat</w:t>
      </w:r>
      <w:proofErr w:type="spellEnd"/>
      <w:r w:rsidRPr="007F5C3A">
        <w:rPr>
          <w:sz w:val="2"/>
          <w:szCs w:val="2"/>
        </w:rPr>
        <w:t>, greater than 505.62 divided by the maximum operating frequency (in GHz) squared [</w:t>
      </w:r>
      <w:proofErr w:type="spellStart"/>
      <w:r w:rsidRPr="007F5C3A">
        <w:rPr>
          <w:sz w:val="2"/>
          <w:szCs w:val="2"/>
        </w:rPr>
        <w:t>Psat</w:t>
      </w:r>
      <w:proofErr w:type="spellEnd"/>
      <w:r w:rsidRPr="007F5C3A">
        <w:rPr>
          <w:sz w:val="2"/>
          <w:szCs w:val="2"/>
        </w:rPr>
        <w:t xml:space="preserve"> &gt; 505.62 W * GHz2/fGHz2] for any channel; (ii) A fractional bandwidth of 5% or greater for any channel; (iii) Any planar side with length d (in cm) equal to or less than 15 divided by the lowest operating frequency in GHz [d ≤ 15cm * GHz/</w:t>
      </w:r>
      <w:proofErr w:type="spellStart"/>
      <w:r w:rsidRPr="007F5C3A">
        <w:rPr>
          <w:sz w:val="2"/>
          <w:szCs w:val="2"/>
        </w:rPr>
        <w:t>fGHz</w:t>
      </w:r>
      <w:proofErr w:type="spellEnd"/>
      <w:r w:rsidRPr="007F5C3A">
        <w:rPr>
          <w:sz w:val="2"/>
          <w:szCs w:val="2"/>
        </w:rPr>
        <w:t xml:space="preserve">]; and (iv) At least one electronically variable phase shifter per channel. Note 1 to paragraph (c)(4): A MMIC: (a) Is formed by means of diffusion processes, implantation processes, or deposition processes in or on a single semiconducting piece of material; (b) can be considered as indivisibly associated; (c) performs the function(s) of a circuit; and (d) operates at microwave frequencies (i.e., 300 MHz to 300 GHz). Note 2 to paragraph (c)(4): A transmit/receive module is a multifunction electronic assembly that provides bi-directional amplitude and phase control for transmission and reception of signals. Note 3 to paragraph (c)(4): A transmit module is an electronic assembly that provides amplitude and phase control for transmission of signals. Note 4 to paragraph (c)(4): A transmit/receive MMIC is a multifunction MMIC that provides bi-directional amplitude and phase control for transmission and reception of signals. Note 5 to paragraph (c)(4): A transmit MMIC is a MMIC that provides amplitude and phase control for transmission of signals. Note 6 to paragraph (c)(4): USML Category XI(c)(4) applies to transmit/receive modules and to transmit modules, with or without a heat sink. The value of length d in USML Category XI(c)(4)(iii) does not include any portion of the transmit/receive module or transmit module that functions as a heat sink. Note 7 to paragraph (c)(4): Transmit/receive modules, transmit modules, transmit/receive MMICs, and transmit MMICs may or may not have </w:t>
      </w:r>
      <w:proofErr w:type="spellStart"/>
      <w:r w:rsidRPr="007F5C3A">
        <w:rPr>
          <w:sz w:val="2"/>
          <w:szCs w:val="2"/>
        </w:rPr>
        <w:t>N</w:t>
      </w:r>
      <w:proofErr w:type="spellEnd"/>
      <w:r w:rsidRPr="007F5C3A">
        <w:rPr>
          <w:sz w:val="2"/>
          <w:szCs w:val="2"/>
        </w:rPr>
        <w:t xml:space="preserve"> integrated radiating antenna elements, where N is the number of transmit or transmit/receive channels. Note 8 to paragraph (c)(4): Fractional bandwidth is the bandwidth over which output power remains constant within 3 dB (without the adjustment of other operating parameters), divided by the center frequency, and multiplied by 100. Fractional bandwidth is expressed as a percentage. (5) High-energy storage capacitors with a repetition rate of 6 discharges or more per minute and full energy life greater than or equal to 10,000 discharges, at greater than 0.2 Amps per Joule peak current, that have any of the following: (</w:t>
      </w:r>
      <w:proofErr w:type="spellStart"/>
      <w:r w:rsidRPr="007F5C3A">
        <w:rPr>
          <w:sz w:val="2"/>
          <w:szCs w:val="2"/>
        </w:rPr>
        <w:t>i</w:t>
      </w:r>
      <w:proofErr w:type="spellEnd"/>
      <w:r w:rsidRPr="007F5C3A">
        <w:rPr>
          <w:sz w:val="2"/>
          <w:szCs w:val="2"/>
        </w:rPr>
        <w:t>) Volumetric energy density greater than or equal to 1.5 J/cc; or (ii) Mass energy density greater than or equal to 1.3 kJ/kg; (6) Radio frequency circulators of any dimension equal to or less than one quarter ( 1⁄4 ) wavelength of the highest operating frequency and isolation greater than 30 dB; (7) Polarimeter that detects and measures polarization of radio frequency signals within a single pulse; (8) Digital radio frequency memory (DRFM) with RF instantaneous input bandwidth greater than 400 MHz, and 4 bit or higher resolution whose output signal is a translation of the input signal (e.g., changes in magnitude, time, frequency) and specially designed parts and components therefor; (9) Vacuum electronic devices, as follows: (</w:t>
      </w:r>
      <w:proofErr w:type="spellStart"/>
      <w:r w:rsidRPr="007F5C3A">
        <w:rPr>
          <w:sz w:val="2"/>
          <w:szCs w:val="2"/>
        </w:rPr>
        <w:t>i</w:t>
      </w:r>
      <w:proofErr w:type="spellEnd"/>
      <w:r w:rsidRPr="007F5C3A">
        <w:rPr>
          <w:sz w:val="2"/>
          <w:szCs w:val="2"/>
        </w:rPr>
        <w:t>) Multiple electron beam or sheet electron beam devices rated for operation at frequencies of 16 GHz or above, and with a saturated power output greater than 10,000 W (70 dBm) or a maximum average power output greater than 3,000 W (65 dBm); or (ii) Cross-field amplifiers with a gain of 15 dB to 17 dB or a duty factor greater than 5%; (10) Antenna, and specially designed parts and components therefor, that: (</w:t>
      </w:r>
      <w:proofErr w:type="spellStart"/>
      <w:r w:rsidRPr="007F5C3A">
        <w:rPr>
          <w:sz w:val="2"/>
          <w:szCs w:val="2"/>
        </w:rPr>
        <w:t>i</w:t>
      </w:r>
      <w:proofErr w:type="spellEnd"/>
      <w:r w:rsidRPr="007F5C3A">
        <w:rPr>
          <w:sz w:val="2"/>
          <w:szCs w:val="2"/>
        </w:rPr>
        <w:t xml:space="preserve">) Employ four or more elements, electronically steer angular beams, independently steer angular nulls, create angular nulls with a null depth greater than 20 dB, and achieve a beam switching speed faster than 50 milliseconds; (ii) Form adaptive null attenuation greater than 35 dB with convergence time less than one second; (iii) Detect signals across multiple RF bands with matched left hand and right hand spiral antenna elements for determination of signal polarization; or (iv) Determine signal angle of arrival less than two degrees (e.g., interferometer antenna); Note to paragraph (c)(10): This category does not control Traffic Collision Avoidance Systems (TCAS) equipment conforming to FAA TSO C-119c. (11) </w:t>
      </w:r>
      <w:proofErr w:type="spellStart"/>
      <w:r w:rsidRPr="007F5C3A">
        <w:rPr>
          <w:sz w:val="2"/>
          <w:szCs w:val="2"/>
        </w:rPr>
        <w:t>Radomes</w:t>
      </w:r>
      <w:proofErr w:type="spellEnd"/>
      <w:r w:rsidRPr="007F5C3A">
        <w:rPr>
          <w:sz w:val="2"/>
          <w:szCs w:val="2"/>
        </w:rPr>
        <w:t xml:space="preserve"> or electromagnetic antenna windows that: (</w:t>
      </w:r>
      <w:proofErr w:type="spellStart"/>
      <w:r w:rsidRPr="007F5C3A">
        <w:rPr>
          <w:sz w:val="2"/>
          <w:szCs w:val="2"/>
        </w:rPr>
        <w:t>i</w:t>
      </w:r>
      <w:proofErr w:type="spellEnd"/>
      <w:r w:rsidRPr="007F5C3A">
        <w:rPr>
          <w:sz w:val="2"/>
          <w:szCs w:val="2"/>
        </w:rPr>
        <w:t>) Incorporate radio frequency selective surfaces; (ii) Operate in multiple non-adjacent frequency bands for radar applications; (iii) Incorporate a structure that is specially designed to provide ballistic protection from bullets, shrapnel, or blast; (iv) Have a melting point greater than 1,300 °C and maintain a dielectric constant less than 6 at temperatures greater than 500 °C; (v) Are manufactured from ceramic materials with a dielectric constant less than 6 at any frequency from 100 MHz to 100 GHz (MT if usable in rockets, SLVs, or missiles capable of achieving a range greater than or equal to 300 km; or if usable in drones or UAVs capable of delivering a payload of at least 500 kg to a range of at least 300 km. See note 2 to paragraph (a)(3)(xxix) of this category); (vi) Maintain structural integrity at stagnation pressures greater than 6,000 pounds per square foot; or (vii) Withstand combined thermal shock greater than 4.184 × 106 J/m2 accompanied by a peak overpressure of greater than 50 kPa (MT if usable in rockets, SLVs, missiles, drones, or UAVs capable of delivering a payload of at least 500 kg to a range of at least 300 km and usable in protecting against nuclear effects (e.g., Electromagnetic Pulse (EMP), X-rays, combined blast and thermal effects). See note 2 to paragraph (a)(3)(xxix) of this category); (12) Underwater sensors (acoustic vector sensors, hydrophones, or transducers) or projectors, specially designed for systems controlled by paragraphs (a)(1) and (a)(2) of this category, having any of the following: (</w:t>
      </w:r>
      <w:proofErr w:type="spellStart"/>
      <w:r w:rsidRPr="007F5C3A">
        <w:rPr>
          <w:sz w:val="2"/>
          <w:szCs w:val="2"/>
        </w:rPr>
        <w:t>i</w:t>
      </w:r>
      <w:proofErr w:type="spellEnd"/>
      <w:r w:rsidRPr="007F5C3A">
        <w:rPr>
          <w:sz w:val="2"/>
          <w:szCs w:val="2"/>
        </w:rPr>
        <w:t xml:space="preserve">) A transmitting frequency below 10 kHz for sonar systems; (ii) Sound pressure level exceeding 224 dB (reference 1 mPa at 1 m) for equipment with an operating frequency in the band from 10 kHz to 24 kHz inclusive; (iii) Sound pressure level exceeding 235 dB (reference 1 mPa at 1 m) for equipment with an operating frequency in the band between 24 kHz and 30 kHz; (iv) Forming beams of less than 1° on any axis and having an operating frequency of less than 100 kHz; (v) Designed to operate with an unambiguous display range exceeding 5,120 m; or (vi) Designed to withstand pressure during normal operation at depths exceeding 1,000 m and having transducers with any of the following: (A) Dynamic compensation for pressure; or (B) Incorporating other than lead </w:t>
      </w:r>
      <w:proofErr w:type="spellStart"/>
      <w:r w:rsidRPr="007F5C3A">
        <w:rPr>
          <w:sz w:val="2"/>
          <w:szCs w:val="2"/>
        </w:rPr>
        <w:t>zirconate</w:t>
      </w:r>
      <w:proofErr w:type="spellEnd"/>
      <w:r w:rsidRPr="007F5C3A">
        <w:rPr>
          <w:sz w:val="2"/>
          <w:szCs w:val="2"/>
        </w:rPr>
        <w:t xml:space="preserve"> </w:t>
      </w:r>
      <w:proofErr w:type="spellStart"/>
      <w:r w:rsidRPr="007F5C3A">
        <w:rPr>
          <w:sz w:val="2"/>
          <w:szCs w:val="2"/>
        </w:rPr>
        <w:t>titanate</w:t>
      </w:r>
      <w:proofErr w:type="spellEnd"/>
      <w:r w:rsidRPr="007F5C3A">
        <w:rPr>
          <w:sz w:val="2"/>
          <w:szCs w:val="2"/>
        </w:rPr>
        <w:t xml:space="preserve"> as the transduction element; (13) Parts or components containing piezoelectric materials which are specially designed for underwater hardware, equipment, or systems controlled by paragraph (c)(12) of this category; (14) Tuners specially designed for systems and equipment in paragraphs (a)(4) and (b) of this category; (15) Electronic assemblies and components, capable of operation at temperatures in excess of 125 °C and specially designed for UAVs or drones controlled by USML Category VIII, rockets, space launch vehicles (SLV), or missiles controlled by USML Category IV capable of achieving a range greater than or equal to 300 km (MT) (see Note 2 to paragraph (a)(3)(xxix) of this category); (16) Hybrid (combined analogue/digital) computers specially designed for modeling, simulation, or design integration of systems enumerated in paragraphs (a)(1), (d)(1), (d)(2), (h)(1), (h)(2), (h)(4), (h)(8), and (h)(9) of USML Category IV or paragraphs (a)(5), (a)(6), or (a)(13) of USML Category VIII (MT if for rockets, SLVs, missiles, drones, or UAVs capable of delivering a payload of at least 500 kg to a range of at least 300 km or their subsystems. See note 2 to paragraph (a)(3)(xxix) of this category); (17) Chaff and flare rounds specially designed for the systems and equipment described in paragraph (a)(4)(iii) of this category, and parts and components therefor containing materials controlled in USML Category V; (18) Parts, components, or accessories specially designed for an information assurance/information security system or radio controlled in this subchapter that modify its published properties (e.g., frequency range, algorithms, waveforms, CODECs, or modulation/demodulation schemes); or *(19) Any part, component, accessory, attachment, equipment, or system that (MT for those articles designated as such): (</w:t>
      </w:r>
      <w:proofErr w:type="spellStart"/>
      <w:r w:rsidRPr="007F5C3A">
        <w:rPr>
          <w:sz w:val="2"/>
          <w:szCs w:val="2"/>
        </w:rPr>
        <w:t>i</w:t>
      </w:r>
      <w:proofErr w:type="spellEnd"/>
      <w:r w:rsidRPr="007F5C3A">
        <w:rPr>
          <w:sz w:val="2"/>
          <w:szCs w:val="2"/>
        </w:rPr>
        <w:t>) Is classified; (ii) Contains classified software directly related to defense articles in this subchapter or 600 series items subject to the EAR; or (iii) Is being developed using classified information (see §120.10(a)(2) of this subchapter). Note to paragraph (c)(19): “Classified” means classified pursuant to Executive Order 13526, or predecessor order, and a security classification guide developed pursuant thereto or equivalent, or to the corresponding classification rules of another government or international organization. Note to paragraph (c)(19)(ii): Parts and components controlled by this paragraph are limited to those that store, process, or transmit classified software (see §121.8(f) of this subchapter). (d) Technical data (see §120.10 of this subchapter) and defense services (see §120.9 of this subchapter) directly related to the defense articles described in paragraphs (a) through (c) of this category and classified technical data directly related to items controlled in CCL ECCNs 3A611, 3B611, 3C611, and 3D611 and defense services using the classified technical data. (See §125.4 of this subchapter for exemptions.) (MT for technical data and defense services related to articles designated as such.) (e)-(w) [Reserved]; (x) Commodities, software, and technology subject to the EAR (see §120.42 of this subchapter) used in or with defense articles. Note to paragraph (x): Use of this paragraph is limited to license applications for defense articles where the purchase documentation includes commodities, software, or technology subject to the EAR (see §123.1(b) of this subchapter). Category XII—Fire Control, Laser, Imaging, and Guidance Equipment (a) Fire control, aiming, detection, guidance, and tracking systems, as follows: *(1) Fire control systems; *(2) Electronic or optical weapon positioning, laying, or spotting systems; *(3) Laser spot trackers or laser spot detection, location, or imaging systems, with an operational wavelength shorter than 400 nm or longer than 710 nm and that are for laser target designators or coded target markers controlled in paragraph (b)(1); Note to paragraph (a)(3): For controls on LIDAR, see paragraph (b)(6) of this category. *(4) Bomb sights or bombing computers; *(5) Electro-optical systems that automatically detect and locate ordnance launch, blast, or fire; *(6) Electro-optical ordnance guidance systems; *(7) Missile or ordnance electro-optical tracking systems; *(8) Remote wind-sensing systems specially designed for ballistic-corrected aiming; or (9) Helmet mounted display (HMD) systems or end items (e.g., Combat Vehicle Crew HMD, Mounted Warrior HMD, Integrated Helmet Assembly Subsystem, Drivers Head Tracked Vision System), other than such items controlled in Category VIII, that: (</w:t>
      </w:r>
      <w:proofErr w:type="spellStart"/>
      <w:r w:rsidRPr="007F5C3A">
        <w:rPr>
          <w:sz w:val="2"/>
          <w:szCs w:val="2"/>
        </w:rPr>
        <w:t>i</w:t>
      </w:r>
      <w:proofErr w:type="spellEnd"/>
      <w:r w:rsidRPr="007F5C3A">
        <w:rPr>
          <w:sz w:val="2"/>
          <w:szCs w:val="2"/>
        </w:rPr>
        <w:t>) Incorporate or interface (either via wired or wireless connection) with optical sights or slewing devices that aim, launch, track, or manage munitions; or (ii) Control infrared imaging systems or end items described in paragraphs (a) through (d) of this category. *(b) Laser systems and end items, as follows: (1) Laser target designators or coded target markers, that mediate the delivery of ordnance to a target; (2) Target illumination systems having a variable beam divergence and a laser output wavelength exceeding 710 nm, to artificially light an area to search, locate, or track a target; (3) Laser rangefinders having any of the following: (</w:t>
      </w:r>
      <w:proofErr w:type="spellStart"/>
      <w:r w:rsidRPr="007F5C3A">
        <w:rPr>
          <w:sz w:val="2"/>
          <w:szCs w:val="2"/>
        </w:rPr>
        <w:t>i</w:t>
      </w:r>
      <w:proofErr w:type="spellEnd"/>
      <w:r w:rsidRPr="007F5C3A">
        <w:rPr>
          <w:sz w:val="2"/>
          <w:szCs w:val="2"/>
        </w:rPr>
        <w:t>) Output wavelength of 1064 nm and any Q-switched pulse output; or (ii) Output wavelength exceeding 1064 nm and any of the following: (A) Single or multiple shot(s) within one second ranging capability of 3 km or greater against a standard 2.3 m x 2.3 m NATO target having 10% reflectivity and 23 km atmospheric visibility; or (B) Multiple shot ranging capability at 3 Hz or greater of 1 km or greater against a standard 2.3 m x 2.3 m NATO target having 10% reflectivity and 23 km atmospheric visibility; (4) Targeting systems and target location systems, incorporating or specially designed to incorporate both of the following: (</w:t>
      </w:r>
      <w:proofErr w:type="spellStart"/>
      <w:r w:rsidRPr="007F5C3A">
        <w:rPr>
          <w:sz w:val="2"/>
          <w:szCs w:val="2"/>
        </w:rPr>
        <w:t>i</w:t>
      </w:r>
      <w:proofErr w:type="spellEnd"/>
      <w:r w:rsidRPr="007F5C3A">
        <w:rPr>
          <w:sz w:val="2"/>
          <w:szCs w:val="2"/>
        </w:rPr>
        <w:t xml:space="preserve">) A laser rangefinder; and (ii) A defense article controlled in paragraph (d) of this category (MT if designed or modified for rockets, missiles, space launch vehicles (SLVs), drones, or unmanned aerial vehicle systems capable of delivering at least a 500 kg payload to a range of at least 300 km); (5) Systems specially designed to use laser energy with an output wavelength exceeding 710 nm for exploiting differential target-background </w:t>
      </w:r>
      <w:proofErr w:type="spellStart"/>
      <w:r w:rsidRPr="007F5C3A">
        <w:rPr>
          <w:sz w:val="2"/>
          <w:szCs w:val="2"/>
        </w:rPr>
        <w:t>retroreflectance</w:t>
      </w:r>
      <w:proofErr w:type="spellEnd"/>
      <w:r w:rsidRPr="007F5C3A">
        <w:rPr>
          <w:sz w:val="2"/>
          <w:szCs w:val="2"/>
        </w:rPr>
        <w:t xml:space="preserve"> in order to detect optical/electro-optical equipment (e.g., optical augmentation systems); (6) Light detection and ranging (LIDAR), laser detection and ranging (LADAR), or range-gated systems, specially designed for a military end user (MT if designed or modified for rockets, missiles, SLVs, drones, or unmanned aerial vehicle systems capable of delivering at least a 500 kg payload to a range of at least 300 km); or (7) Developmental lasers or laser systems funded by the Department of Defense via contract or other funding authorization. Note 1 to paragraph (b)(7): This paragraph does not control lasers or laser systems: (a) In production, (b) determined to be subject to the EAR via a Commodity Jurisdiction determination (see §120.4 of this subchapter), or (c) identified in the relevant Department of Defense contract or other funding authorization as being developed for both civil and military applications. Note 2 to paragraph (b)(7): Note 1 does not apply to defense articles enumerated on the U.S. Munitions List, whether in production or development. Note 3 to paragraph (b)(7): This provision is applicable to those contracts or other funding authorizations that are dated October 12, 2017 or later. *(c) Imaging systems or end items, as follows: (1) Binoculars, </w:t>
      </w:r>
      <w:proofErr w:type="spellStart"/>
      <w:r w:rsidRPr="007F5C3A">
        <w:rPr>
          <w:sz w:val="2"/>
          <w:szCs w:val="2"/>
        </w:rPr>
        <w:t>bioculars</w:t>
      </w:r>
      <w:proofErr w:type="spellEnd"/>
      <w:r w:rsidRPr="007F5C3A">
        <w:rPr>
          <w:sz w:val="2"/>
          <w:szCs w:val="2"/>
        </w:rPr>
        <w:t xml:space="preserve">, </w:t>
      </w:r>
      <w:proofErr w:type="spellStart"/>
      <w:r w:rsidRPr="007F5C3A">
        <w:rPr>
          <w:sz w:val="2"/>
          <w:szCs w:val="2"/>
        </w:rPr>
        <w:t>monoculars</w:t>
      </w:r>
      <w:proofErr w:type="spellEnd"/>
      <w:r w:rsidRPr="007F5C3A">
        <w:rPr>
          <w:sz w:val="2"/>
          <w:szCs w:val="2"/>
        </w:rPr>
        <w:t>, goggles, or head or helmet-mounted imaging systems (including video-based articles having a separate near-to-eye display), as follows: (</w:t>
      </w:r>
      <w:proofErr w:type="spellStart"/>
      <w:r w:rsidRPr="007F5C3A">
        <w:rPr>
          <w:sz w:val="2"/>
          <w:szCs w:val="2"/>
        </w:rPr>
        <w:t>i</w:t>
      </w:r>
      <w:proofErr w:type="spellEnd"/>
      <w:r w:rsidRPr="007F5C3A">
        <w:rPr>
          <w:sz w:val="2"/>
          <w:szCs w:val="2"/>
        </w:rPr>
        <w:t xml:space="preserve">) Employing an </w:t>
      </w:r>
      <w:proofErr w:type="spellStart"/>
      <w:r w:rsidRPr="007F5C3A">
        <w:rPr>
          <w:sz w:val="2"/>
          <w:szCs w:val="2"/>
        </w:rPr>
        <w:t>autogated</w:t>
      </w:r>
      <w:proofErr w:type="spellEnd"/>
      <w:r w:rsidRPr="007F5C3A">
        <w:rPr>
          <w:sz w:val="2"/>
          <w:szCs w:val="2"/>
        </w:rPr>
        <w:t xml:space="preserve"> third generation image intensifier tube or a higher generation image intensifier tube; (ii) Fusing output of an image intensifier tube and an infrared focal plane array having a peak response wavelength greater than 1,000 nm; or (iii) Having an infrared focal plane array or infrared imaging camera, and specially designed for a military end user; (2) Weapon sights (i.e., with a reticle) or aiming or imaging systems (e.g., clip-on), specially designed to mount to a weapon or to withstand weapon shock or recoil, with or without an integrated viewer or display, and also incorporating or specially designed to incorporate any of the following: (</w:t>
      </w:r>
      <w:proofErr w:type="spellStart"/>
      <w:r w:rsidRPr="007F5C3A">
        <w:rPr>
          <w:sz w:val="2"/>
          <w:szCs w:val="2"/>
        </w:rPr>
        <w:t>i</w:t>
      </w:r>
      <w:proofErr w:type="spellEnd"/>
      <w:r w:rsidRPr="007F5C3A">
        <w:rPr>
          <w:sz w:val="2"/>
          <w:szCs w:val="2"/>
        </w:rPr>
        <w:t>) An infrared focal plane array having a peak response wavelength exceeding 1,000 nm; (ii) Second generation with luminous sensitivity greater than 350 µA/</w:t>
      </w:r>
      <w:proofErr w:type="spellStart"/>
      <w:r w:rsidRPr="007F5C3A">
        <w:rPr>
          <w:sz w:val="2"/>
          <w:szCs w:val="2"/>
        </w:rPr>
        <w:t>lm</w:t>
      </w:r>
      <w:proofErr w:type="spellEnd"/>
      <w:r w:rsidRPr="007F5C3A">
        <w:rPr>
          <w:sz w:val="2"/>
          <w:szCs w:val="2"/>
        </w:rPr>
        <w:t>, third generation, or higher generation, image intensifier tubes; (iii) Ballistic computing electronics for adjusting the aim point display; or (iv) Infrared laser having a wavelength exceeding 710 nm; (3) Electro-optical reconnaissance, surveillance, target detection, or target acquisition systems, specially designed for articles in this subchapter or specially designed for a military end user (MT if for determining bearings to specific electromagnetic sources (direction finding equipment) or terrain characteristics and designed or modified for rockets, missiles, SLVs, drones, or unmanned aerial vehicle systems capable of delivering at least a 500 kg payload to a range of at least 300 km); (4) Infrared search and track (IRST) systems having one of the following: (</w:t>
      </w:r>
      <w:proofErr w:type="spellStart"/>
      <w:r w:rsidRPr="007F5C3A">
        <w:rPr>
          <w:sz w:val="2"/>
          <w:szCs w:val="2"/>
        </w:rPr>
        <w:t>i</w:t>
      </w:r>
      <w:proofErr w:type="spellEnd"/>
      <w:r w:rsidRPr="007F5C3A">
        <w:rPr>
          <w:sz w:val="2"/>
          <w:szCs w:val="2"/>
        </w:rPr>
        <w:t>) Airborne or naval systems, that: (A) Have range performance of 3 km or greater; (B) Incorporate or are specially designed to incorporate an infrared focal plane array or imaging camera, having a peak response wavelength exceeding 3 microns or greater; and (C) Maintain positional or angular state of a target through time; or (ii) Specially designed for a military end user; (5) Distributed aperture systems having a peak response wavelength exceeding 710 nm specially designed for articles in this subchapter or specially designed for a military end user; (6) Infrared imaging systems, as follows: (</w:t>
      </w:r>
      <w:proofErr w:type="spellStart"/>
      <w:r w:rsidRPr="007F5C3A">
        <w:rPr>
          <w:sz w:val="2"/>
          <w:szCs w:val="2"/>
        </w:rPr>
        <w:t>i</w:t>
      </w:r>
      <w:proofErr w:type="spellEnd"/>
      <w:r w:rsidRPr="007F5C3A">
        <w:rPr>
          <w:sz w:val="2"/>
          <w:szCs w:val="2"/>
        </w:rPr>
        <w:t xml:space="preserve">) Mobile reconnaissance, scout, or surveillance systems providing real-time target recognition at ranges greater than 3 km (e.g., LRAS, CIV, HTI, </w:t>
      </w:r>
      <w:proofErr w:type="spellStart"/>
      <w:r w:rsidRPr="007F5C3A">
        <w:rPr>
          <w:sz w:val="2"/>
          <w:szCs w:val="2"/>
        </w:rPr>
        <w:t>SeeSpot</w:t>
      </w:r>
      <w:proofErr w:type="spellEnd"/>
      <w:r w:rsidRPr="007F5C3A">
        <w:rPr>
          <w:sz w:val="2"/>
          <w:szCs w:val="2"/>
        </w:rPr>
        <w:t>, MMS); Note to paragraph (c)(6)(</w:t>
      </w:r>
      <w:proofErr w:type="spellStart"/>
      <w:r w:rsidRPr="007F5C3A">
        <w:rPr>
          <w:sz w:val="2"/>
          <w:szCs w:val="2"/>
        </w:rPr>
        <w:t>i</w:t>
      </w:r>
      <w:proofErr w:type="spellEnd"/>
      <w:r w:rsidRPr="007F5C3A">
        <w:rPr>
          <w:sz w:val="2"/>
          <w:szCs w:val="2"/>
        </w:rPr>
        <w:t>): Target is defined as a NATO standard tank target having a frontal cross-section of 2.3 x 2.3 meters, and a side cross-section of 2.3 x 6.4 meters. (ii) Airborne stabilized systems specially designed for military reconnaissance (e.g., DB-110, C-B4); (iii) Multispectral imaging systems that provide automated classification or identification of military or intelligence targets or characteristics; (iv) Automated missile detection or warning systems; (v) Systems hardened to withstand electromagnetic pulse (EMP), directed energy, chemical, biological, or radiological threats; (vi) Systems incorporating mechanism(s) to reduce the optical chain signature for optical augmentation; (vii) Persistent surveillance systems with a ground sample distance (GSD) of 0.5 m or better (smaller) at 10,000 ft or higher above ground level and a simultaneous coverage area of 3 km2 or greater; (viii) Gimbaled infrared systems, as follows: (A) Having a stabilization better (less) than 30 microradians RMS and a turret with a ball diameter of 15 inches or greater; or (B) Specially designed for articles in this subchapter or specially designed for a military end user; (7) Terahertz imaging systems as follows: (</w:t>
      </w:r>
      <w:proofErr w:type="spellStart"/>
      <w:r w:rsidRPr="007F5C3A">
        <w:rPr>
          <w:sz w:val="2"/>
          <w:szCs w:val="2"/>
        </w:rPr>
        <w:t>i</w:t>
      </w:r>
      <w:proofErr w:type="spellEnd"/>
      <w:r w:rsidRPr="007F5C3A">
        <w:rPr>
          <w:sz w:val="2"/>
          <w:szCs w:val="2"/>
        </w:rPr>
        <w:t>) Concealed object detection systems operating in the frequency range from 30 GHz to 3000 GHz, and having a resolution less (better) than 0.1 milliradians at a standoff range of 100 m; or (ii) Specially designed for a military end user; (8) Systems or equipment, incorporating an ultraviolet or infrared (IR) beacon or emitter, specially designed for Combat Identification; (9) Systems that project radiometrically calibrated scenes at a frame rate greater than 30 Hz directly into the entrance aperture of an electro-optical or infrared (EO/IR) sensor controlled in this subchapter within either the spectral band exceeding 10 nm but not exceeding 400 nm, or the spectral band exceeding 900 nm but not exceeding 30,000 nm; (10) Developmental electro-optical, infrared, or terahertz systems funded by the Department of Defense. Note 1 to paragraph (c)(10): This paragraph does not control electro-optical, infrared, or terahertz imaging systems: (a) In production, (b) determined to be subject to the EAR via a Commodity Jurisdiction determination (see §120.4 of this subchapter), or (c) identified in the relevant Department of Defense contract or other funding authorization as being developed for both civil and military applications. Note 2 to paragraph (c)(10): Note 1 does not apply to defense articles enumerated on the U.S. Munitions List, whether in production or development. Note 3 to paragraph (c)(10): This provision is applicable to those contracts or other funding authorizations that are dated October 12, 2017 or later. (d) Guidance and navigation systems or end items, as follows: (1) Guidance or navigation systems (e.g., inertial navigation systems, inertial reference units, attitude and heading reference systems) having any of the following: (</w:t>
      </w:r>
      <w:proofErr w:type="spellStart"/>
      <w:r w:rsidRPr="007F5C3A">
        <w:rPr>
          <w:sz w:val="2"/>
          <w:szCs w:val="2"/>
        </w:rPr>
        <w:t>i</w:t>
      </w:r>
      <w:proofErr w:type="spellEnd"/>
      <w:r w:rsidRPr="007F5C3A">
        <w:rPr>
          <w:sz w:val="2"/>
          <w:szCs w:val="2"/>
        </w:rPr>
        <w:t xml:space="preserve">) A circular error probability at fifty percent (CEP50) of position error rate less (better) than 0.28 nautical miles per hour, without the use of positional aiding references; (ii) A heading error or true north determination of less (better) than 0.28 </w:t>
      </w:r>
      <w:proofErr w:type="spellStart"/>
      <w:r w:rsidRPr="007F5C3A">
        <w:rPr>
          <w:sz w:val="2"/>
          <w:szCs w:val="2"/>
        </w:rPr>
        <w:t>mrad</w:t>
      </w:r>
      <w:proofErr w:type="spellEnd"/>
      <w:r w:rsidRPr="007F5C3A">
        <w:rPr>
          <w:sz w:val="2"/>
          <w:szCs w:val="2"/>
        </w:rPr>
        <w:t xml:space="preserve"> secant (latitude) (0.016043 degrees secant (latitude)), without the use of positional aiding references; (iii) A CEP50 of position error rate less than 0.2 nautical miles in an 8 hour period, without the use of positional aiding references; or (iv) Meeting or exceeding specified performance at linear acceleration levels exceeding 25g (MT if designed or modified for rockets, missiles, SLVs, drones, or unmanned aerial vehicle systems capable of a range greater than or equal to 300 km or incorporating accelerometers specified in paragraph (e)(11) or gyroscopes or angular rate sensors specified in paragraph (e)(12) of this category that are designated MT); Note 1 to paragraph (d)(1): For rocket, SLV, or missile flight control and guidance systems (including guidance sets), see Category IV(h). Note 2 to paragraph (d)(1): Inertial measurement units are described in paragraph (e) of this category. (2) Global Navigation Satellite System (GNSS) receiving equipment, as follows: (</w:t>
      </w:r>
      <w:proofErr w:type="spellStart"/>
      <w:r w:rsidRPr="007F5C3A">
        <w:rPr>
          <w:sz w:val="2"/>
          <w:szCs w:val="2"/>
        </w:rPr>
        <w:t>i</w:t>
      </w:r>
      <w:proofErr w:type="spellEnd"/>
      <w:r w:rsidRPr="007F5C3A">
        <w:rPr>
          <w:sz w:val="2"/>
          <w:szCs w:val="2"/>
        </w:rPr>
        <w:t xml:space="preserve">) GNSS receiving equipment specially designed for military applications (MT if designed or modified for airborne applications and capable of providing navigation information at speeds in excess of 600 m/s); (ii) Global Positioning System (GPS) receiving equipment specially designed for encryption or decryption (e.g., Y-Code, M-Code) of GPS precise positioning service (PPS) signals (MT if designed or modified for airborne applications); (iii) GNSS receiving equipment specially designed for use with an antenna described in Category XI(c)(10) (MT if designed or modified for airborne applications); or (iv) GNSS receiving equipment specially designed for use with rockets, missiles, SLVs, drones, or unmanned air vehicle systems capable of delivering at least a 500 kg payload to a range of at least 300 km (MT); Note to paragraph (d)(2)(iv): “Payload” is the total mass that can be carried or delivered by the specified rocket, missile, SLV, drone, or unmanned aerial vehicle that is not used to maintain flight. For definition of “range” as it pertains to rocket systems, see Note 1 to paragraph (a) of USML Category IV. For definition of “range” as it pertains to aircraft systems, see Note 2 to paragraph (a) of USML Category VIII. (3) GNSS anti-jam systems specially designed for use with an antenna described in Category XI(c)(10); (4) Mobile relative gravimeters having automatic motion compensation with an in-service accuracy of less (better) than 0.4 </w:t>
      </w:r>
      <w:proofErr w:type="spellStart"/>
      <w:r w:rsidRPr="007F5C3A">
        <w:rPr>
          <w:sz w:val="2"/>
          <w:szCs w:val="2"/>
        </w:rPr>
        <w:t>mGal</w:t>
      </w:r>
      <w:proofErr w:type="spellEnd"/>
      <w:r w:rsidRPr="007F5C3A">
        <w:rPr>
          <w:sz w:val="2"/>
          <w:szCs w:val="2"/>
        </w:rPr>
        <w:t xml:space="preserve"> (MT if designed or modified for airborne or marine use and having a time to steady-state registration of two minutes or less); (5) Mobile gravity gradiometers having an accuracy of less (better) than 10 Eotvos squared per radian per second for any component of the gravity gradient tensor, and having a spatial gravity wavelength resolution of 50 m or less (MT if designed or modified for airborne or marine use); Note to paragraph (d)(5): “Eotvos” is a unit of acceleration divided by distance that was used in conjunction with the older centimeter-gram-second system of units. The Eotvos is defined as 1⁄1,000,000,000 Galileo (Gal) per centimeter. (6) Developmental guidance or navigation systems funded by the Department of Defense (MT if designed or modified for rockets, missiles, SLVs, drones, or unmanned aerial vehicle systems capable of a range equal to or greater than 300 km). Note 1 to paragraph (d)(6): This paragraph does not control guidance or navigation systems: (a) in production, (b) determined to be subject to the EAR via a Commodity Jurisdiction determination (see §120.4 of this subchapter), or (c) identified in the relevant Department of Defense contract or other funding authorization as being developed for both civil and military applications. Note 2 to paragraph (d)(6): Note 1 does not apply to defense articles enumerated on the U.S. Munitions List, whether in production or development. Note 3 to paragraph (d)(6): This provision is applicable to those contracts or other funding authorizations that are dated October 12, 2017 or later. Note 4 to paragraph (d)(6): For definition of “range” as it pertains to rocket systems, see Note 1 to paragraph (a) of USML Category IV. For definition of “range” as it pertains to aircraft systems, see Note 2 to paragraph (a) of USML Category VIII. (e) Parts, components, accessories, or attachments, as follows: (1) Parts and components specially designed for articles described in paragraph (a)(1) or (a)(5) of this category; (2) Lasers specially designed for articles in this subchapter; (3) Laser stacked arrays specially designed for articles in this subchapter; (4) Night vision or infrared cameras (e.g., camera core) specially designed for articles in this subchapter; Note to paragraph (e)(4): The articles controlled by this paragraph have sufficient electronics to enable at a minimum the output of an analog or digital signal once power is applied. (5) Infrared focal plane arrays specially designed for articles in this subchapter; (6) Charge multiplication focal plane arrays exceeding 50 mA/W for any wavelength exceeding 760 nm and specially designed for articles described in this subchapter; (7) Second generation and greater image intensifier tubes specially designed for articles in this subchapter, and specially designed parts and components therefor; Note to paragraph (e)(7): Second and third generation image intensifier tubes are defined as having a peak response within the 0.4 to 1.05 micron wavelength range and incorporating a microchannel plate for electron image amplification having a hole pitch (center-to-center spacing) of less than 25 microns and having either: (a) an S-20, S-25, or </w:t>
      </w:r>
      <w:proofErr w:type="spellStart"/>
      <w:r w:rsidRPr="007F5C3A">
        <w:rPr>
          <w:sz w:val="2"/>
          <w:szCs w:val="2"/>
        </w:rPr>
        <w:t>multialkali</w:t>
      </w:r>
      <w:proofErr w:type="spellEnd"/>
      <w:r w:rsidRPr="007F5C3A">
        <w:rPr>
          <w:sz w:val="2"/>
          <w:szCs w:val="2"/>
        </w:rPr>
        <w:t xml:space="preserve"> photo cathode; or (b) a GaAs, </w:t>
      </w:r>
      <w:proofErr w:type="spellStart"/>
      <w:r w:rsidRPr="007F5C3A">
        <w:rPr>
          <w:sz w:val="2"/>
          <w:szCs w:val="2"/>
        </w:rPr>
        <w:t>GaInAs</w:t>
      </w:r>
      <w:proofErr w:type="spellEnd"/>
      <w:r w:rsidRPr="007F5C3A">
        <w:rPr>
          <w:sz w:val="2"/>
          <w:szCs w:val="2"/>
        </w:rPr>
        <w:t xml:space="preserve">, or other III-V compound semiconductor photocathode. (8) Parts and components specially designed for articles described in paragraph (c)(3), (c)(4), (c)(5) or (c)(6)(vi)-(vii) of this category; (9) Inertial measurement units specially designed for articles in this subchapter (MT for systems incorporating accelerometers specified in paragraph (e)(11) or gyroscopes or angular rate sensors specified in paragraph (e)(12) that are designated MT); (10) GNSS security devices (e.g., Selective Availability Anti-Spoofing Modules (SAASM), Security Modules (SM), and Auxiliary Output Chips (AOC)); (11) Accelerometers having a bias repeatability of less (better) than 10 µg and a scale factor repeatability of less (better) than 10 parts per million, or capable of measuring greater than 100,000 g (MT); Note 1 to paragraph (e)(11): For weapon </w:t>
      </w:r>
      <w:proofErr w:type="spellStart"/>
      <w:r w:rsidRPr="007F5C3A">
        <w:rPr>
          <w:sz w:val="2"/>
          <w:szCs w:val="2"/>
        </w:rPr>
        <w:t>fuze</w:t>
      </w:r>
      <w:proofErr w:type="spellEnd"/>
      <w:r w:rsidRPr="007F5C3A">
        <w:rPr>
          <w:sz w:val="2"/>
          <w:szCs w:val="2"/>
        </w:rPr>
        <w:t xml:space="preserve"> accelerometers, see Category III(d) or IV(h). Note 2 to paragraph (e)(11): MT designation does not include accelerometers that are designed to measure vibration or shock. (12) Gyroscopes or angular rate sensors as follows: (</w:t>
      </w:r>
      <w:proofErr w:type="spellStart"/>
      <w:r w:rsidRPr="007F5C3A">
        <w:rPr>
          <w:sz w:val="2"/>
          <w:szCs w:val="2"/>
        </w:rPr>
        <w:t>i</w:t>
      </w:r>
      <w:proofErr w:type="spellEnd"/>
      <w:r w:rsidRPr="007F5C3A">
        <w:rPr>
          <w:sz w:val="2"/>
          <w:szCs w:val="2"/>
        </w:rPr>
        <w:t xml:space="preserve">) Having an angle random walk of less (better) than 0.001 degrees per square root hour; or (ii) Mechanical gyroscopes or rate sensors having a bias repeatability less (better) than 0.0015 degrees per hour (MT if having a rated drift stability of less than 0.5 degrees (1 sigma or rms) per hour in a 1 g environment or specified to function at acceleration levels greater than 100 g); Note to paragraphs (e)(11) and (e)(12): “Repeatability” is the closeness of agreement among repeated measurements of the same variable under the same operating conditions when changes in conditions or non-operating periods occur between measurements. “Bias” is the accelerometer output when no acceleration is applied. “Scale factor” is the ratio of change in output to a change in the input. The measurements of “bias” and “scale factor” refer to one sigma standard deviation with respect to a fixed calibration over a period of one year. “Drift Rate” is the component of gyro output that is functionally independent of input rotation and is expressed as an angular rate. “Stability” is a measure of the ability of a specific mechanism or performance coefficient to remain invariant when continuously exposed to a fixed operating condition. (This definition does not refer to dynamic or servo stability.) (13) Optical sensors having a spectral filter specially designed for systems or equipment controlled in USML Category XI(a)(4), or optical sensor assemblies that provide threat warning or tracking for systems or equipment controlled in Category XI(a)(4); (14) Infrared focal plane array read-out integrated circuits (ROICs) specially designed for articles in this subchapter; (15) Integrated </w:t>
      </w:r>
      <w:proofErr w:type="spellStart"/>
      <w:r w:rsidRPr="007F5C3A">
        <w:rPr>
          <w:sz w:val="2"/>
          <w:szCs w:val="2"/>
        </w:rPr>
        <w:t>dewar</w:t>
      </w:r>
      <w:proofErr w:type="spellEnd"/>
      <w:r w:rsidRPr="007F5C3A">
        <w:rPr>
          <w:sz w:val="2"/>
          <w:szCs w:val="2"/>
        </w:rPr>
        <w:t xml:space="preserve"> cooler assemblies specially designed for articles in this subchapter, with or without an infrared focal plane array, and specially designed parts and components therefor;; (16) Gimbals specially designed for articles in this category; (17) Infrared focal plane array Joule-Thomson (JT) self-regulating cryostats specially designed for articles controlled in this subchapter; (18) Infrared lenses, mirrors, beam splitters or combiners, filters, and treatments and coatings, specially designed for articles controlled in this category; Note to paragraph (e)(18): For the purposes of this paragraph, treatments and coatings may be analyzed as a part, component, accessory, or attachment under paragraph (b) of §120.41 to determine if they are specially designed. (19) Drive, control, signal, or image processing electronics, specially designed for articles controlled in this category; (20) Near-to-eye displays (e.g., micro-displays) specially designed for articles controlled in this category; (21) Resonators, receivers, transmitters, modulators, gain media, drive electronics, and frequency converters, specially designed for laser systems controlled in this category; (22) Two-dimensional infrared scene projector emitter arrays (i.e., resistive arrays) specially designed for infrared scene generators controlled in USML Category IX(a)(10); *(23) Any part, component, accessory, attachment, or associated equipment, that: (</w:t>
      </w:r>
      <w:proofErr w:type="spellStart"/>
      <w:r w:rsidRPr="007F5C3A">
        <w:rPr>
          <w:sz w:val="2"/>
          <w:szCs w:val="2"/>
        </w:rPr>
        <w:t>i</w:t>
      </w:r>
      <w:proofErr w:type="spellEnd"/>
      <w:r w:rsidRPr="007F5C3A">
        <w:rPr>
          <w:sz w:val="2"/>
          <w:szCs w:val="2"/>
        </w:rPr>
        <w:t xml:space="preserve">) Is classified; (ii) Contains classified software; (iii) Is manufactured using classified production data; or (iv) Is being developed using classified information. Note to paragraph (e)(23): “Classified” means classified pursuant to Executive Order 13526, or predecessor order, and a security classification guide developed pursuant thereto or equivalent, or to the corresponding classification rules of another government. (24) Developmental image intensifier tubes, focal plane arrays, read-out-integrated circuits, accelerometers, gyroscopes, angular rate sensors, and inertial measurement units funded by the Department of Defense (MT if designed or modified for rockets, missiles, SLVs, drones, or unmanned aerial vehicle systems capable of a range equal to or greater than 300 km). Note 1 to paragraph (e)(24): This paragraph does not control items: (a) In production, (b) determined to be subject to the EAR via a Commodity Jurisdiction determination (see §120.4 of this subchapter), or (c) identified in the relevant Department of Defense contract or other funding authorization as being developed for both civil and military applications. Note 2 to paragraph (e)(24): Note 1 does not apply to defense articles enumerated on the U.S. Munitions List, whether in production or development. Note 3 to paragraph (e)(24): This provision is applicable to those contracts or other funding authorizations that are dated October 12, 2017 or later. (f) Technical data (see §120.10) and defense services (see §120.9) directly related to the defense articles described in paragraphs (a) through (e) of this category and classified technical data directly related to items controlled in ECCNs 7A611, 7B611, and 7D611. (See §125.4 for exemptions.) (MT for technical data and defense services related to articles designated as such.) (g)-(w) [Reserved] (x) Commodities, software, and technology subject to the EAR (see §120.42 of this subchapter) used in or with defense articles controlled in this category. Note to paragraph (x): Use of this paragraph is limited to license applications for defense articles controlled in this category where the purchase documentation includes commodities, software, or technology subject to the EAR (see §123.1(b) of this subchapter). Note to Category XII: For purposes of paragraphs (b)(6), (c)(1)(iii), (c)(3), (c)(4)(ii), (c)(5), (c)(6)(viii)(b), and (c)(7)(ii) of this category, a “military end user” means the national armed services (army, navy, marine, air force, or coast guard), national guard, national police, government intelligence or reconnaissance organizations, or any person or entity whose actions or functions are intended to support military end uses. A system or end item is not specially designed for a military end user if the item was developed with knowledge that it is or would be for use by both military end users and non-military end users, or if the item was or is being developed with no knowledge of use by a particular end user. For the purpose of conducting a self-determination of jurisdiction, documents contemporaneous with the development must establish such knowledge. For the purpose of a Commodity Jurisdiction determination, the government may base a determination on post-development information that evidences such knowledge or is otherwise consistent with §120.4 of this subchapter. Category XIII— Materials and Miscellaneous Articles (a) [Reserved] (b) Information security or information assurance systems and equipment, cryptographic devices, software, and components, as follows: (1) Military or intelligence cryptographic (including key management) systems, equipment, assemblies, modules, integrated circuits, components, and software (including their cryptographic interfaces) capable of maintaining secrecy or confidentiality of information or information systems, including equipment or software for tracking, telemetry, and control (TT&amp;C) encryption and decryption; (2) Military or intelligence cryptographic (including key management) systems, equipment, assemblies, modules, integrated circuits, components, and software (including their cryptographic interfaces) capable of generating spreading or hopping codes for spread spectrum systems or equipment; (3) Military or intelligence cryptanalytic systems, equipment, assemblies, modules, integrated circuits, components and software; (4) Military or intelligence systems, equipment, assemblies, modules, integrated circuits, components, or software (including all previous or derived versions) authorized to control access to or transfer data between different security domains as listed on the Unified Cross Domain Management Office (UCDMO) Control List (UCL); or (5) Ancillary equipment specially designed for the articles in paragraphs (b)(1)-(b)(4) of this category. (c) [Reserved] (d) Materials, as follows: *(1) Ablative materials fabricated or semi-fabricated from advanced composites (e.g., silica, graphite, carbon, carbon/carbon, and boron filaments) specially designed for the articles in USML Category IV or XV (MT if usable for nozzles, re-entry vehicles, nose tips, or nozzle flaps usable in rockets, space launch vehicles (SLVs), or missiles capable of achieving a range greater than or equal to 300 km); or (2) Carbon/carbon billets and preforms that are reinforced with continuous unidirectional fibers, tows, tapes, or woven cloths in three or more dimensional planes (MT if designed for rocket, SLV, or missile systems and usable in rockets, SLVs, or missiles capable of achieving a range greater than or equal to 300 km). Note to paragraph (d): “Range” is the maximum distance that the specified rocket system is capable of traveling in the mode of stable flight as measured by the projection of its trajectory over the surface of the Earth. The maximum capability based on the design characteristics of the system, when fully loaded with fuel or propellant, will be taken into consideration in determining range. The range for rocket systems will be determined independently of any external factors such as operational restrictions, limitations imposed by telemetry, data links, or other external constraints. For rocket systems, the range will be determined using the trajectory that maximizes range, assuming International Civil Aviation Organization (ICAO) standard atmosphere with zero wind. Note to paragraph (d)(2): This paragraph does not control carbon/carbon billets and preforms where reinforcement in the third dimension is limited to interlocking of adjacent layers only. (e) Armor (e.g., organic, ceramic, metallic) and armor materials, as follows: (1) Spaced armor with </w:t>
      </w:r>
      <w:proofErr w:type="spellStart"/>
      <w:r w:rsidRPr="007F5C3A">
        <w:rPr>
          <w:sz w:val="2"/>
          <w:szCs w:val="2"/>
        </w:rPr>
        <w:t>Em</w:t>
      </w:r>
      <w:proofErr w:type="spellEnd"/>
      <w:r w:rsidRPr="007F5C3A">
        <w:rPr>
          <w:sz w:val="2"/>
          <w:szCs w:val="2"/>
        </w:rPr>
        <w:t xml:space="preserve"> greater than 1.4 and meeting NIJ Level III or better; (2) Transparent armor having </w:t>
      </w:r>
      <w:proofErr w:type="spellStart"/>
      <w:r w:rsidRPr="007F5C3A">
        <w:rPr>
          <w:sz w:val="2"/>
          <w:szCs w:val="2"/>
        </w:rPr>
        <w:t>Em</w:t>
      </w:r>
      <w:proofErr w:type="spellEnd"/>
      <w:r w:rsidRPr="007F5C3A">
        <w:rPr>
          <w:sz w:val="2"/>
          <w:szCs w:val="2"/>
        </w:rPr>
        <w:t xml:space="preserve"> greater than or equal to 1.3 or having </w:t>
      </w:r>
      <w:proofErr w:type="spellStart"/>
      <w:r w:rsidRPr="007F5C3A">
        <w:rPr>
          <w:sz w:val="2"/>
          <w:szCs w:val="2"/>
        </w:rPr>
        <w:t>Em</w:t>
      </w:r>
      <w:proofErr w:type="spellEnd"/>
      <w:r w:rsidRPr="007F5C3A">
        <w:rPr>
          <w:sz w:val="2"/>
          <w:szCs w:val="2"/>
        </w:rPr>
        <w:t xml:space="preserve"> less than 1.3 and meeting and exceeding NIJ Level III standards with areal density less than or equal to 40 pounds per square foot; (3) Transparent ceramic plate greater than 1⁄4 inch-thick and larger than 8 inches × 8 inches, excluding glass, for transparent armor; (4) Non-transparent ceramic plate or blanks, greater than 1⁄4 inches thick and larger than 8 inches × 8 inches for transparent armor. This includes spinel and aluminum oxynitride (ALON); (5) Composite armor with </w:t>
      </w:r>
      <w:proofErr w:type="spellStart"/>
      <w:r w:rsidRPr="007F5C3A">
        <w:rPr>
          <w:sz w:val="2"/>
          <w:szCs w:val="2"/>
        </w:rPr>
        <w:t>Em</w:t>
      </w:r>
      <w:proofErr w:type="spellEnd"/>
      <w:r w:rsidRPr="007F5C3A">
        <w:rPr>
          <w:sz w:val="2"/>
          <w:szCs w:val="2"/>
        </w:rPr>
        <w:t xml:space="preserve"> greater than 1.4 and meeting or exceeding NIJ Level III; (6) Metal laminate armor with </w:t>
      </w:r>
      <w:proofErr w:type="spellStart"/>
      <w:r w:rsidRPr="007F5C3A">
        <w:rPr>
          <w:sz w:val="2"/>
          <w:szCs w:val="2"/>
        </w:rPr>
        <w:t>Em</w:t>
      </w:r>
      <w:proofErr w:type="spellEnd"/>
      <w:r w:rsidRPr="007F5C3A">
        <w:rPr>
          <w:sz w:val="2"/>
          <w:szCs w:val="2"/>
        </w:rPr>
        <w:t xml:space="preserve"> greater than 1.4 and meeting or exceeding NIJ Level III; or (7) Developmental armor funded by the Department of Defense via contract or other funding authorization. Note 1 to paragraph (e)(7): This paragraph does not control armor (a) in production, (b) determined to be subject to the EAR via a commodity jurisdiction determination (see §120.4 of this subchapter), or (c) identified in the relevant Department of Defense contract or other funding authorization as being developed for both civil and military applications. Note 2 to paragraph (e)(7): Note 1 does not apply to defense articles enumerated on the USML, whether in production or development. Note 3 to paragraph (e)(7): This provision is applicable to those contracts and funding authorizations that are dated July 8, 2014, or later. *(f) Any article enumerated in this category that (MT for those articles designated as such): (</w:t>
      </w:r>
      <w:proofErr w:type="spellStart"/>
      <w:r w:rsidRPr="007F5C3A">
        <w:rPr>
          <w:sz w:val="2"/>
          <w:szCs w:val="2"/>
        </w:rPr>
        <w:t>i</w:t>
      </w:r>
      <w:proofErr w:type="spellEnd"/>
      <w:r w:rsidRPr="007F5C3A">
        <w:rPr>
          <w:sz w:val="2"/>
          <w:szCs w:val="2"/>
        </w:rPr>
        <w:t xml:space="preserve">) Is classified; (ii) Contains classified software directly related to defense articles in this subchapter or 600 series items subject to the EAR; or (iii) Is being developed using classified information. “Classified” means classified pursuant to Executive Order 13526, or predecessor order, and a security classification guide developed pursuant thereto or equivalent, or to the corresponding classification rules of another government or international organization. *(g) Concealment and deception equipment, as follows (MT for applications usable for rockets, SLVs, missiles, drones, or unmanned aerial vehicles (UAVs) capable of achieving a range greater than or equal to 300 km and their subsystems. See note to paragraph (d) of this category): (1) Polymers loaded with carbonyl iron powder, ferrites, iron whiskers, fibers, flakes, or other magnetic additives having a surface resistivity of less than 5000 ohms/square and greater than 10 ohms/square with electrical isotropy of less than 5%; (2) Multi-layer camouflage systems specially designed to reduce detection of platforms or equipment in the infrared or ultraviolet frequency spectrums; (3) High temperature (greater than 300 °F operation) ceramic or magnetic radar absorbing material (RAM) specially designed for use on defense articles or military items subject to the EAR; or (4) Broadband (greater than 30% bandwidth) lightweight (less than 2 </w:t>
      </w:r>
      <w:proofErr w:type="spellStart"/>
      <w:r w:rsidRPr="007F5C3A">
        <w:rPr>
          <w:sz w:val="2"/>
          <w:szCs w:val="2"/>
        </w:rPr>
        <w:t>lbs</w:t>
      </w:r>
      <w:proofErr w:type="spellEnd"/>
      <w:r w:rsidRPr="007F5C3A">
        <w:rPr>
          <w:sz w:val="2"/>
          <w:szCs w:val="2"/>
        </w:rPr>
        <w:t>/</w:t>
      </w:r>
      <w:proofErr w:type="spellStart"/>
      <w:r w:rsidRPr="007F5C3A">
        <w:rPr>
          <w:sz w:val="2"/>
          <w:szCs w:val="2"/>
        </w:rPr>
        <w:t>sq</w:t>
      </w:r>
      <w:proofErr w:type="spellEnd"/>
      <w:r w:rsidRPr="007F5C3A">
        <w:rPr>
          <w:sz w:val="2"/>
          <w:szCs w:val="2"/>
        </w:rPr>
        <w:t xml:space="preserve"> ft) magnetic radar absorbing material (RAM) specially designed for use on defense articles or military items subject to the EAR. (h) Energy conversion devices not otherwise enumerated in this subchapter, as follows: (1) Fuel cells specially designed for platforms or soldier systems specified in this subchapter; (2) Thermal engines specially designed for platforms or soldier systems specified in this subchapter; (3) Thermal batteries (MT if designed or modified for rockets, SLVs, missiles, drones, or UAVs capable of achieving a range equal to or greater than 300 km. See note to paragraph (d) of this category); or Note to paragraph (h)(3): Thermal batteries are single use batteries that contain a solid non-conducting inorganic salt as the electrolyte. These batteries incorporate a </w:t>
      </w:r>
      <w:proofErr w:type="spellStart"/>
      <w:r w:rsidRPr="007F5C3A">
        <w:rPr>
          <w:sz w:val="2"/>
          <w:szCs w:val="2"/>
        </w:rPr>
        <w:t>pyrolitic</w:t>
      </w:r>
      <w:proofErr w:type="spellEnd"/>
      <w:r w:rsidRPr="007F5C3A">
        <w:rPr>
          <w:sz w:val="2"/>
          <w:szCs w:val="2"/>
        </w:rPr>
        <w:t xml:space="preserve"> material that, when ignited, melts the electrolyte and activates the battery. (4) Thermionic generators specially designed for platforms or soldier systems enumerated in this subchapter. *(</w:t>
      </w:r>
      <w:proofErr w:type="spellStart"/>
      <w:r w:rsidRPr="007F5C3A">
        <w:rPr>
          <w:sz w:val="2"/>
          <w:szCs w:val="2"/>
        </w:rPr>
        <w:t>i</w:t>
      </w:r>
      <w:proofErr w:type="spellEnd"/>
      <w:r w:rsidRPr="007F5C3A">
        <w:rPr>
          <w:sz w:val="2"/>
          <w:szCs w:val="2"/>
        </w:rPr>
        <w:t xml:space="preserve">) Signature reduction software, and technical data as follows (MT for software specially designed for reduced observables, for applications usable for rockets, SLVs, missiles, drones, or UAVs capable of achieving a range (see note to paragraph (d) of this category) greater than or equal to 300 km, and their subsystems, including software specially designed for analysis of signature reduction; MT for technical data for the development, production, or use of equipment, materials, or software designated as such, including databases specially designed for analysis of signature reduction): (1) Software associated with the measurement or modification of system signatures for defense articles to reduce detectability or observability; (2) Software for design of low-observable platforms; (3) Software for design, analysis, prediction, or optimization of signature management solutions for defense articles; (4) Infrared signature measurement or prediction software for defense articles or radar cross section measurement or prediction software; (5) Signature management technical data, including codes and algorithms for defense articles to reduce detectability or observability; (6) Signature control design methodology (see §125.4(c)(4) of this subchapter) for defense articles to reduce detectability or observability; (7) Technical data for use of micro-encapsulation or micro-spheres to reduce infrared, radar, or visual detection of platforms or equipment; (8) Multi-layer camouflage system technical data for reducing detection of platforms or equipment; (9) Multi-spectral surface treatment technical data for modifying infrared, visual or radio frequency signatures of platforms or equipment; (10) Technical data for modifying visual, electro-optical, radiofrequency, electric, magnetic, electromagnetic, or wake signatures (e.g., low probability of intercept (LPI) techniques, methods or applications) of defense platforms or equipment through shaping, active, or passive techniques; or (11) Technical data for modifying acoustic signatures of defense platforms or equipment through shaping, active, or passive techniques. (j) Equipment, materials, coatings, and treatments not elsewhere specified, as follows: (1) Specially treated or formulated dyes, coatings, and fabrics used in the design, manufacture, or production of personnel protective clothing, equipment, or face paints designed to protect against or reduce detection by radar, infrared, or other sensors at wavelengths greater than 900 nanometers (see USML Category X(a)(2)); or *(2) Equipment, materials, coatings, and treatments that are specially designed to modify the electro-optical, radiofrequency, infrared, electric, laser, magnetic, electromagnetic, acoustic, electro-static, or wake signatures of defense articles or 600 series items subject to the EAR through control of absorption, reflection, or emission to reduce detectability or observability (MT for applications usable for rockets, SLVs, missiles, drones, or UAVs capable of achieving a range greater than or equal to 300 km, and their subsystems. See note to paragraph (d) of this category). *(k) Tooling and equipment, as follows: (1) Tooling and equipment specially designed for production of low observable (LO) components; or (2) Portable platform signature field repair validation equipment (e.g., portable optical interrogator that validates integrity of a repair to a signature reduction structure). (l) Technical data (see §120.10 of this subchapter) directly related to the defense articles described in paragraphs (a) through (h), (j), and (k) of this category and defense services (see §120.9 of this subchapter) directly related to the defense articles described in this category. (See also §123.20 of this subchapter.) (MT for technical data and defense services related to articles designated as such.) (m) The following interpretations explain and amplify terms used in this category and elsewhere in this subchapter: (1) Composite armor is defined as having more than one layer of different materials or a matrix. (2) Spaced armors are metallic or non-metallic armors that incorporate an air space or obliquity or discontinuous material path effects as part of the defeat mechanism. (3) Reactive armor employs explosives, propellants, or other materials between plates for the purpose of enhancing plate motion during a ballistic event or otherwise defeating the penetrator. (4) Electromagnetic armor (EMA) employs electricity to defeat threats such as shaped charges. (5) Materials used in composite armor could include layers of metals, plastics, elastomers, fibers, glass, ceramics, ceramic-glass reinforced plastic laminates, encapsulated ceramics in a metallic or non-metallic matrix, functionally gradient ceramic-metal materials, or ceramic balls in a cast metal matrix. (6) For this category, a material is considered transparent if it allows 75% or greater transmission of light, corrected for index of refraction, in the visible spectrum through a 1 mm thick nominal sample. (7) The material controlled in paragraph (e)(4) of this category has not been treated to reach the 75% transmission level referenced in (m)(6) of this category. (8) Metal laminate armors are two or more layers of metallic materials which are mechanically or adhesively bonded together to form an armor system. (9) </w:t>
      </w:r>
      <w:proofErr w:type="spellStart"/>
      <w:r w:rsidRPr="007F5C3A">
        <w:rPr>
          <w:sz w:val="2"/>
          <w:szCs w:val="2"/>
        </w:rPr>
        <w:t>Em</w:t>
      </w:r>
      <w:proofErr w:type="spellEnd"/>
      <w:r w:rsidRPr="007F5C3A">
        <w:rPr>
          <w:sz w:val="2"/>
          <w:szCs w:val="2"/>
        </w:rPr>
        <w:t xml:space="preserve"> is the line-of-sight target mass effectiveness ratio and provides a measure of the tested armor's performance to that of rolled homogenous armor, where </w:t>
      </w:r>
      <w:proofErr w:type="spellStart"/>
      <w:r w:rsidRPr="007F5C3A">
        <w:rPr>
          <w:sz w:val="2"/>
          <w:szCs w:val="2"/>
        </w:rPr>
        <w:t>Em</w:t>
      </w:r>
      <w:proofErr w:type="spellEnd"/>
      <w:r w:rsidRPr="007F5C3A">
        <w:rPr>
          <w:sz w:val="2"/>
          <w:szCs w:val="2"/>
        </w:rPr>
        <w:t xml:space="preserve"> is defined as follows:  </w:t>
      </w:r>
      <w:hyperlink r:id="rId39" w:history="1">
        <w:r w:rsidRPr="007F5C3A">
          <w:rPr>
            <w:rStyle w:val="Hyperlink"/>
            <w:sz w:val="2"/>
            <w:szCs w:val="2"/>
          </w:rPr>
          <w:t>View or download PDF</w:t>
        </w:r>
      </w:hyperlink>
      <w:r w:rsidRPr="007F5C3A">
        <w:rPr>
          <w:sz w:val="2"/>
          <w:szCs w:val="2"/>
        </w:rPr>
        <w:t xml:space="preserve"> Where: </w:t>
      </w:r>
      <w:proofErr w:type="spellStart"/>
      <w:r w:rsidRPr="007F5C3A">
        <w:rPr>
          <w:sz w:val="2"/>
          <w:szCs w:val="2"/>
        </w:rPr>
        <w:t>ρRHA</w:t>
      </w:r>
      <w:proofErr w:type="spellEnd"/>
      <w:r w:rsidRPr="007F5C3A">
        <w:rPr>
          <w:sz w:val="2"/>
          <w:szCs w:val="2"/>
        </w:rPr>
        <w:t xml:space="preserve"> = density of RHA, (7.85 g/cm3) Po = Baseline Penetration of RHA, (mm) </w:t>
      </w:r>
      <w:proofErr w:type="spellStart"/>
      <w:r w:rsidRPr="007F5C3A">
        <w:rPr>
          <w:sz w:val="2"/>
          <w:szCs w:val="2"/>
        </w:rPr>
        <w:t>Pr</w:t>
      </w:r>
      <w:proofErr w:type="spellEnd"/>
      <w:r w:rsidRPr="007F5C3A">
        <w:rPr>
          <w:sz w:val="2"/>
          <w:szCs w:val="2"/>
        </w:rPr>
        <w:t xml:space="preserve"> = Residual Line of Sight Penetration, either positive or negative (mm RHA equivalent) ADTARGET = Line-of-Sight Areal Density of Target (kg/m2) If witness plate is penetrated, </w:t>
      </w:r>
      <w:proofErr w:type="spellStart"/>
      <w:r w:rsidRPr="007F5C3A">
        <w:rPr>
          <w:sz w:val="2"/>
          <w:szCs w:val="2"/>
        </w:rPr>
        <w:t>Pr</w:t>
      </w:r>
      <w:proofErr w:type="spellEnd"/>
      <w:r w:rsidRPr="007F5C3A">
        <w:rPr>
          <w:sz w:val="2"/>
          <w:szCs w:val="2"/>
        </w:rPr>
        <w:t xml:space="preserve"> is the distance from the projectile to the front edge of the witness plate. If not penetrated, </w:t>
      </w:r>
      <w:proofErr w:type="spellStart"/>
      <w:r w:rsidRPr="007F5C3A">
        <w:rPr>
          <w:sz w:val="2"/>
          <w:szCs w:val="2"/>
        </w:rPr>
        <w:t>Pr</w:t>
      </w:r>
      <w:proofErr w:type="spellEnd"/>
      <w:r w:rsidRPr="007F5C3A">
        <w:rPr>
          <w:sz w:val="2"/>
          <w:szCs w:val="2"/>
        </w:rPr>
        <w:t xml:space="preserve"> is negative and is the distance from the back edge of the target to the projectile. (10) NIJ is the National Institute of Justice and Level III refers to the requirements specified in NIJ standard 0108.01 Ballistic Resistant Protective Materials. (n)-(w) [Reserved] (x) Commodities, software, and technical data subject to the EAR (see §120.42 of this subchapter) used in or with defense articles. Note to paragraph (x): Use of this paragraph is limited to license applications for defense articles where the purchase documentation includes commodities, software, or technical data subject to the EAR (see §123.1(b) of this subchapter). Category XIV—Toxicological Agents, Including Chemical Agents, Biological Agents, and Associated Equipment *(a) Chemical agents, as follows: (1) Nerve agents, as follows: (</w:t>
      </w:r>
      <w:proofErr w:type="spellStart"/>
      <w:r w:rsidRPr="007F5C3A">
        <w:rPr>
          <w:sz w:val="2"/>
          <w:szCs w:val="2"/>
        </w:rPr>
        <w:t>i</w:t>
      </w:r>
      <w:proofErr w:type="spellEnd"/>
      <w:r w:rsidRPr="007F5C3A">
        <w:rPr>
          <w:sz w:val="2"/>
          <w:szCs w:val="2"/>
        </w:rPr>
        <w:t xml:space="preserve">) O-Alkyl (equal to or less than C10, including cycloalkyl) alkyl (Methyl, Ethyl, n-Propyl or Isopropyl) </w:t>
      </w:r>
      <w:proofErr w:type="spellStart"/>
      <w:r w:rsidRPr="007F5C3A">
        <w:rPr>
          <w:sz w:val="2"/>
          <w:szCs w:val="2"/>
        </w:rPr>
        <w:t>phosphonofluoridates</w:t>
      </w:r>
      <w:proofErr w:type="spellEnd"/>
      <w:r w:rsidRPr="007F5C3A">
        <w:rPr>
          <w:sz w:val="2"/>
          <w:szCs w:val="2"/>
        </w:rPr>
        <w:t xml:space="preserve">, such as: Sarin (GB): O-Isopropyl </w:t>
      </w:r>
      <w:proofErr w:type="spellStart"/>
      <w:r w:rsidRPr="007F5C3A">
        <w:rPr>
          <w:sz w:val="2"/>
          <w:szCs w:val="2"/>
        </w:rPr>
        <w:t>methylphosphonofluoridate</w:t>
      </w:r>
      <w:proofErr w:type="spellEnd"/>
      <w:r w:rsidRPr="007F5C3A">
        <w:rPr>
          <w:sz w:val="2"/>
          <w:szCs w:val="2"/>
        </w:rPr>
        <w:t xml:space="preserve"> (CAS 107-44-8) (CWC Schedule 1A); and </w:t>
      </w:r>
      <w:proofErr w:type="spellStart"/>
      <w:r w:rsidRPr="007F5C3A">
        <w:rPr>
          <w:sz w:val="2"/>
          <w:szCs w:val="2"/>
        </w:rPr>
        <w:t>Soman</w:t>
      </w:r>
      <w:proofErr w:type="spellEnd"/>
      <w:r w:rsidRPr="007F5C3A">
        <w:rPr>
          <w:sz w:val="2"/>
          <w:szCs w:val="2"/>
        </w:rPr>
        <w:t xml:space="preserve"> (GD): O-Pinacolyl </w:t>
      </w:r>
      <w:proofErr w:type="spellStart"/>
      <w:r w:rsidRPr="007F5C3A">
        <w:rPr>
          <w:sz w:val="2"/>
          <w:szCs w:val="2"/>
        </w:rPr>
        <w:t>methylphosphonofluoridate</w:t>
      </w:r>
      <w:proofErr w:type="spellEnd"/>
      <w:r w:rsidRPr="007F5C3A">
        <w:rPr>
          <w:sz w:val="2"/>
          <w:szCs w:val="2"/>
        </w:rPr>
        <w:t xml:space="preserve"> (CAS 96-64-0) (CWC Schedule 1A); (ii) O-Alkyl (equal to or less than C10, including cycloalkyl) N,N-</w:t>
      </w:r>
      <w:proofErr w:type="spellStart"/>
      <w:r w:rsidRPr="007F5C3A">
        <w:rPr>
          <w:sz w:val="2"/>
          <w:szCs w:val="2"/>
        </w:rPr>
        <w:t>dialkyl</w:t>
      </w:r>
      <w:proofErr w:type="spellEnd"/>
      <w:r w:rsidRPr="007F5C3A">
        <w:rPr>
          <w:sz w:val="2"/>
          <w:szCs w:val="2"/>
        </w:rPr>
        <w:t xml:space="preserve"> (Methyl, Ethyl, n-Propyl or Isopropyl) </w:t>
      </w:r>
      <w:proofErr w:type="spellStart"/>
      <w:r w:rsidRPr="007F5C3A">
        <w:rPr>
          <w:sz w:val="2"/>
          <w:szCs w:val="2"/>
        </w:rPr>
        <w:t>phosphoramidocyanidates</w:t>
      </w:r>
      <w:proofErr w:type="spellEnd"/>
      <w:r w:rsidRPr="007F5C3A">
        <w:rPr>
          <w:sz w:val="2"/>
          <w:szCs w:val="2"/>
        </w:rPr>
        <w:t>, such as: Tabun (GA): O-Ethyl N, N-</w:t>
      </w:r>
      <w:proofErr w:type="spellStart"/>
      <w:r w:rsidRPr="007F5C3A">
        <w:rPr>
          <w:sz w:val="2"/>
          <w:szCs w:val="2"/>
        </w:rPr>
        <w:t>dimethylphosphoramidocyanidate</w:t>
      </w:r>
      <w:proofErr w:type="spellEnd"/>
      <w:r w:rsidRPr="007F5C3A">
        <w:rPr>
          <w:sz w:val="2"/>
          <w:szCs w:val="2"/>
        </w:rPr>
        <w:t xml:space="preserve"> (CAS 77-81-6) (CWC Schedule 1A); or (iii) O-Alkyl (H or equal to or less than C10, including cycloalkyl) S-2-dialkyl (Methyl, Ethyl, n-Propyl or Isopropyl) aminoethyl alkyl (Methyl, Ethyl, n-Propyl or Isopropyl) </w:t>
      </w:r>
      <w:proofErr w:type="spellStart"/>
      <w:r w:rsidRPr="007F5C3A">
        <w:rPr>
          <w:sz w:val="2"/>
          <w:szCs w:val="2"/>
        </w:rPr>
        <w:t>phosphonothiolates</w:t>
      </w:r>
      <w:proofErr w:type="spellEnd"/>
      <w:r w:rsidRPr="007F5C3A">
        <w:rPr>
          <w:sz w:val="2"/>
          <w:szCs w:val="2"/>
        </w:rPr>
        <w:t xml:space="preserve"> and corresponding alkylated and protonated salts, such as VX: O-Ethyl S-2-diisopropylaminoethyl methyl </w:t>
      </w:r>
      <w:proofErr w:type="spellStart"/>
      <w:r w:rsidRPr="007F5C3A">
        <w:rPr>
          <w:sz w:val="2"/>
          <w:szCs w:val="2"/>
        </w:rPr>
        <w:t>phosphonothiolate</w:t>
      </w:r>
      <w:proofErr w:type="spellEnd"/>
      <w:r w:rsidRPr="007F5C3A">
        <w:rPr>
          <w:sz w:val="2"/>
          <w:szCs w:val="2"/>
        </w:rPr>
        <w:t xml:space="preserve"> (CAS 50782-69-9) (CWC Schedule 1A); (2) </w:t>
      </w:r>
      <w:proofErr w:type="spellStart"/>
      <w:r w:rsidRPr="007F5C3A">
        <w:rPr>
          <w:sz w:val="2"/>
          <w:szCs w:val="2"/>
        </w:rPr>
        <w:t>Amiton</w:t>
      </w:r>
      <w:proofErr w:type="spellEnd"/>
      <w:r w:rsidRPr="007F5C3A">
        <w:rPr>
          <w:sz w:val="2"/>
          <w:szCs w:val="2"/>
        </w:rPr>
        <w:t xml:space="preserve">: O,O-Diethyl S-[2(diethylamino)ethyl] </w:t>
      </w:r>
      <w:proofErr w:type="spellStart"/>
      <w:r w:rsidRPr="007F5C3A">
        <w:rPr>
          <w:sz w:val="2"/>
          <w:szCs w:val="2"/>
        </w:rPr>
        <w:t>phosphorothiolate</w:t>
      </w:r>
      <w:proofErr w:type="spellEnd"/>
      <w:r w:rsidRPr="007F5C3A">
        <w:rPr>
          <w:sz w:val="2"/>
          <w:szCs w:val="2"/>
        </w:rPr>
        <w:t xml:space="preserve"> and corresponding alkylated or protonated salts (CAS 78-53-5) (CWC Schedule 2A); (3) Vesicant agents, as follows: (</w:t>
      </w:r>
      <w:proofErr w:type="spellStart"/>
      <w:r w:rsidRPr="007F5C3A">
        <w:rPr>
          <w:sz w:val="2"/>
          <w:szCs w:val="2"/>
        </w:rPr>
        <w:t>i</w:t>
      </w:r>
      <w:proofErr w:type="spellEnd"/>
      <w:r w:rsidRPr="007F5C3A">
        <w:rPr>
          <w:sz w:val="2"/>
          <w:szCs w:val="2"/>
        </w:rPr>
        <w:t xml:space="preserve">) Sulfur mustards, such as: 2-Chloroethylchloromethylsulfide (CAS 2625-76-5) (CWC Schedule 1A); Bis(2-chloroethyl)sulfide (HD) (CAS 505-60-2) (CWC Schedule 1A); Bis(2-chloroethylthio)methane (CAS 63839-13-6) (CWC Schedule 1A); 1,2-bis (2-chloroethylthio)ethane (CAS 3563-36-8) (CWC Schedule 1A); 1,3-bis (2-chloroethylthio)-n-propane (CAS 63905-10-2) (CWC Schedule 1A); 1,4-bis (2-chloroethylthio)-n-butane (CWC Schedule 1A); 1,5-bis (2-chloroethylthio)-n-pentane (CWC Schedule 1A); Bis (2-chloroethylthiomethyl)ether (CWC Schedule 1A); Bis (2-chloroethylthioethyl)ether (CAS 63918-89-8) (CWC Schedule 1A); (ii) </w:t>
      </w:r>
      <w:proofErr w:type="spellStart"/>
      <w:r w:rsidRPr="007F5C3A">
        <w:rPr>
          <w:sz w:val="2"/>
          <w:szCs w:val="2"/>
        </w:rPr>
        <w:t>Lewisites</w:t>
      </w:r>
      <w:proofErr w:type="spellEnd"/>
      <w:r w:rsidRPr="007F5C3A">
        <w:rPr>
          <w:sz w:val="2"/>
          <w:szCs w:val="2"/>
        </w:rPr>
        <w:t xml:space="preserve">, such as: 2-chlorovinyldichloroarsine (CAS 541-25-3) (CWC Schedule 1A); Tris (2-chlorovinyl) arsine (CAS 40334-70-1) (CWC Schedule 1A); Bis (2-chlorovinyl) </w:t>
      </w:r>
      <w:proofErr w:type="spellStart"/>
      <w:r w:rsidRPr="007F5C3A">
        <w:rPr>
          <w:sz w:val="2"/>
          <w:szCs w:val="2"/>
        </w:rPr>
        <w:t>chloroarsine</w:t>
      </w:r>
      <w:proofErr w:type="spellEnd"/>
      <w:r w:rsidRPr="007F5C3A">
        <w:rPr>
          <w:sz w:val="2"/>
          <w:szCs w:val="2"/>
        </w:rPr>
        <w:t xml:space="preserve"> (CAS 40334-69-8) (CWC Schedule 1A); (iii) Nitrogen mustards, or their protonated salts, as follows: (A) HN1: Bis (2-chloroethyl) ethylamine (CAS 538-07-8) (CWC Schedule 1A); (B) HN2: Bis (2-chloroethyl) methylamine (CAS 51-75-2) (CWC Schedule 1A); (C) HN3: Tris (2-chloroethyl) amine (CAS 555-77-1) (CWC Schedule 1A); or (D) Other nitrogen mustards, or their salts, having a propyl, isopropyl, butyl, isobutyl, or tertiary butyl group on the bis(2-chloroethyl) amine base; Note 1 to paragraph (a)(3)(iii): Pharmaceutical formulations containing nitrogen mustards or certain reference standards for these formulations are not considered to be chemical agents and are subject to the EAR when: (1) The pharmaceutical is in the form of a final medical product; or (2) the reference standard contains salts of HN2 [bis(2-chloroethyl) methylamine], the quantity to be shipped is 150 milligrams or less, and individual shipments do not exceed twelve per calendar year per end user. Note 2 to paragraph (a)(3)(iii): A “final medical product,” as used in this paragraph, is a pharmaceutical formulation that is (1) designed for testing and administration in the treatment of human medical conditions, (2) prepackaged for distribution as a clinical or medical product, and (3) approved for marketing by the Food and Drug Administration or has a valid investigational new drug application (IND) in effect, in accordance with 21 CFR part 312. (iv) </w:t>
      </w:r>
      <w:proofErr w:type="spellStart"/>
      <w:r w:rsidRPr="007F5C3A">
        <w:rPr>
          <w:sz w:val="2"/>
          <w:szCs w:val="2"/>
        </w:rPr>
        <w:t>Ethyldichloroarsine</w:t>
      </w:r>
      <w:proofErr w:type="spellEnd"/>
      <w:r w:rsidRPr="007F5C3A">
        <w:rPr>
          <w:sz w:val="2"/>
          <w:szCs w:val="2"/>
        </w:rPr>
        <w:t xml:space="preserve"> (ED) (CAS 598-14-1); or (v) </w:t>
      </w:r>
      <w:proofErr w:type="spellStart"/>
      <w:r w:rsidRPr="007F5C3A">
        <w:rPr>
          <w:sz w:val="2"/>
          <w:szCs w:val="2"/>
        </w:rPr>
        <w:t>Methyldichloroarsine</w:t>
      </w:r>
      <w:proofErr w:type="spellEnd"/>
      <w:r w:rsidRPr="007F5C3A">
        <w:rPr>
          <w:sz w:val="2"/>
          <w:szCs w:val="2"/>
        </w:rPr>
        <w:t xml:space="preserve"> (MD) (CAS 593-89-5); (4) Incapacitating agents, such as: (</w:t>
      </w:r>
      <w:proofErr w:type="spellStart"/>
      <w:r w:rsidRPr="007F5C3A">
        <w:rPr>
          <w:sz w:val="2"/>
          <w:szCs w:val="2"/>
        </w:rPr>
        <w:t>i</w:t>
      </w:r>
      <w:proofErr w:type="spellEnd"/>
      <w:r w:rsidRPr="007F5C3A">
        <w:rPr>
          <w:sz w:val="2"/>
          <w:szCs w:val="2"/>
        </w:rPr>
        <w:t xml:space="preserve">) 3-Quinuclindinyl benzilate (BZ) (CAS 6581-06-2) (CWC Schedule 2A); (ii) </w:t>
      </w:r>
      <w:proofErr w:type="spellStart"/>
      <w:r w:rsidRPr="007F5C3A">
        <w:rPr>
          <w:sz w:val="2"/>
          <w:szCs w:val="2"/>
        </w:rPr>
        <w:t>Diphenylchloroarsine</w:t>
      </w:r>
      <w:proofErr w:type="spellEnd"/>
      <w:r w:rsidRPr="007F5C3A">
        <w:rPr>
          <w:sz w:val="2"/>
          <w:szCs w:val="2"/>
        </w:rPr>
        <w:t xml:space="preserve"> (DA) (CAS 712-48-1); or (iii) </w:t>
      </w:r>
      <w:proofErr w:type="spellStart"/>
      <w:r w:rsidRPr="007F5C3A">
        <w:rPr>
          <w:sz w:val="2"/>
          <w:szCs w:val="2"/>
        </w:rPr>
        <w:t>Diphenylcyanoarsine</w:t>
      </w:r>
      <w:proofErr w:type="spellEnd"/>
      <w:r w:rsidRPr="007F5C3A">
        <w:rPr>
          <w:sz w:val="2"/>
          <w:szCs w:val="2"/>
        </w:rPr>
        <w:t xml:space="preserve"> (DC) (CAS 23525-22-6); (5) Chemical warfare agents not enumerated above adapted for use in war to produce casualties in humans or animals, degrade equipment, or damage crops or the environment. (See the CCL at ECCNs 1C350, 1C355, and 1C395 for control of certain chemicals not adapted for use in war.) Note to paragraph (a)(5): “Adapted for use in war” means any modification or selection (such as altering purity, shelf life, dissemination characteristics, or resistance to ultraviolet radiation) designed to increase the effectiveness in producing casualties in humans or animals, degrading equipment, or damaging crops or the environment. Note 1 to paragraph (a): Paragraph (a) of this category does not include the following: Cyanogen chloride, Hydrocyanic acid, Chlorine, Carbonyl chloride (Phosgene), Ethyl bromoacetate, Xylyl bromide, Benzyl bromide, Benzyl iodide, </w:t>
      </w:r>
      <w:proofErr w:type="spellStart"/>
      <w:r w:rsidRPr="007F5C3A">
        <w:rPr>
          <w:sz w:val="2"/>
          <w:szCs w:val="2"/>
        </w:rPr>
        <w:t>Chloro</w:t>
      </w:r>
      <w:proofErr w:type="spellEnd"/>
      <w:r w:rsidRPr="007F5C3A">
        <w:rPr>
          <w:sz w:val="2"/>
          <w:szCs w:val="2"/>
        </w:rPr>
        <w:t xml:space="preserve"> acetone, Chloropicrin (trichloronitromethane), Fluorine, and Liquid pepper. Note 2 to paragraph (a): Regarding U.S. obligations under the Chemical Weapons Convention (CWC), refer to Chemical Weapons Convention Regulations (CWCR) (15 CFR parts 710 through 721). As appropriate, the CWC schedule is provided to assist the exporter. *(b) Biological agents and biologically derived substances and genetic elements thereof as follows: (1) Genetically modified biological agents: (</w:t>
      </w:r>
      <w:proofErr w:type="spellStart"/>
      <w:r w:rsidRPr="007F5C3A">
        <w:rPr>
          <w:sz w:val="2"/>
          <w:szCs w:val="2"/>
        </w:rPr>
        <w:t>i</w:t>
      </w:r>
      <w:proofErr w:type="spellEnd"/>
      <w:r w:rsidRPr="007F5C3A">
        <w:rPr>
          <w:sz w:val="2"/>
          <w:szCs w:val="2"/>
        </w:rPr>
        <w:t xml:space="preserve">) Having non-naturally occurring genetic modifications that are known to or are reasonably expected to result in an increase in any of the following: (A) Persistence in a field environment (i.e., resistance to oxygen, UV damage, temperature extremes, arid conditions, or decontamination processes); or (B) The ability to defeat or overcome standard detection methods, personnel protection, natural or acquired host immunity, host immune response, or response to standard medical countermeasures; and (ii) Being any micro-organisms/toxins or their non-naturally occurring genetic elements as listed below: (A) Bacillus anthracis; (B) Botulinum neurotoxin producing species of Clostridium; (C) </w:t>
      </w:r>
      <w:proofErr w:type="spellStart"/>
      <w:r w:rsidRPr="007F5C3A">
        <w:rPr>
          <w:sz w:val="2"/>
          <w:szCs w:val="2"/>
        </w:rPr>
        <w:t>Burkholderia</w:t>
      </w:r>
      <w:proofErr w:type="spellEnd"/>
      <w:r w:rsidRPr="007F5C3A">
        <w:rPr>
          <w:sz w:val="2"/>
          <w:szCs w:val="2"/>
        </w:rPr>
        <w:t xml:space="preserve"> mallei; (D) </w:t>
      </w:r>
      <w:proofErr w:type="spellStart"/>
      <w:r w:rsidRPr="007F5C3A">
        <w:rPr>
          <w:sz w:val="2"/>
          <w:szCs w:val="2"/>
        </w:rPr>
        <w:t>Burkholderia</w:t>
      </w:r>
      <w:proofErr w:type="spellEnd"/>
      <w:r w:rsidRPr="007F5C3A">
        <w:rPr>
          <w:sz w:val="2"/>
          <w:szCs w:val="2"/>
        </w:rPr>
        <w:t xml:space="preserve"> </w:t>
      </w:r>
      <w:proofErr w:type="spellStart"/>
      <w:r w:rsidRPr="007F5C3A">
        <w:rPr>
          <w:sz w:val="2"/>
          <w:szCs w:val="2"/>
        </w:rPr>
        <w:t>pseudomallei</w:t>
      </w:r>
      <w:proofErr w:type="spellEnd"/>
      <w:r w:rsidRPr="007F5C3A">
        <w:rPr>
          <w:sz w:val="2"/>
          <w:szCs w:val="2"/>
        </w:rPr>
        <w:t xml:space="preserve">; (E) Ebola virus; (F) Foot-and-mouth disease virus; (G) </w:t>
      </w:r>
      <w:proofErr w:type="spellStart"/>
      <w:r w:rsidRPr="007F5C3A">
        <w:rPr>
          <w:sz w:val="2"/>
          <w:szCs w:val="2"/>
        </w:rPr>
        <w:t>Francisella</w:t>
      </w:r>
      <w:proofErr w:type="spellEnd"/>
      <w:r w:rsidRPr="007F5C3A">
        <w:rPr>
          <w:sz w:val="2"/>
          <w:szCs w:val="2"/>
        </w:rPr>
        <w:t xml:space="preserve"> </w:t>
      </w:r>
      <w:proofErr w:type="spellStart"/>
      <w:r w:rsidRPr="007F5C3A">
        <w:rPr>
          <w:sz w:val="2"/>
          <w:szCs w:val="2"/>
        </w:rPr>
        <w:t>tularensis</w:t>
      </w:r>
      <w:proofErr w:type="spellEnd"/>
      <w:r w:rsidRPr="007F5C3A">
        <w:rPr>
          <w:sz w:val="2"/>
          <w:szCs w:val="2"/>
        </w:rPr>
        <w:t>; (H) Marburg virus; (I) Variola major virus (Smallpox virus); (J) Variola minor virus (</w:t>
      </w:r>
      <w:proofErr w:type="spellStart"/>
      <w:r w:rsidRPr="007F5C3A">
        <w:rPr>
          <w:sz w:val="2"/>
          <w:szCs w:val="2"/>
        </w:rPr>
        <w:t>Alastrim</w:t>
      </w:r>
      <w:proofErr w:type="spellEnd"/>
      <w:r w:rsidRPr="007F5C3A">
        <w:rPr>
          <w:sz w:val="2"/>
          <w:szCs w:val="2"/>
        </w:rPr>
        <w:t>); (K) Yersinia pestis; or (L) Rinderpest virus. (2) Biological agent or biologically derived substances controlled in ECCNs 1C351, 1C353, or 1C354: (</w:t>
      </w:r>
      <w:proofErr w:type="spellStart"/>
      <w:r w:rsidRPr="007F5C3A">
        <w:rPr>
          <w:sz w:val="2"/>
          <w:szCs w:val="2"/>
        </w:rPr>
        <w:t>i</w:t>
      </w:r>
      <w:proofErr w:type="spellEnd"/>
      <w:r w:rsidRPr="007F5C3A">
        <w:rPr>
          <w:sz w:val="2"/>
          <w:szCs w:val="2"/>
        </w:rPr>
        <w:t xml:space="preserve">) Physically modified, formulated, or produced as any of the following: (A) 1-10 micron particle size; (B) Particle-absorbed or combined with </w:t>
      </w:r>
      <w:proofErr w:type="spellStart"/>
      <w:r w:rsidRPr="007F5C3A">
        <w:rPr>
          <w:sz w:val="2"/>
          <w:szCs w:val="2"/>
        </w:rPr>
        <w:t>nano</w:t>
      </w:r>
      <w:proofErr w:type="spellEnd"/>
      <w:r w:rsidRPr="007F5C3A">
        <w:rPr>
          <w:sz w:val="2"/>
          <w:szCs w:val="2"/>
        </w:rPr>
        <w:t>-particles; (C) Having coatings/surfactants, or (D) By microencapsulation; and (ii) Meeting the criteria of paragraph (b)(2)(</w:t>
      </w:r>
      <w:proofErr w:type="spellStart"/>
      <w:r w:rsidRPr="007F5C3A">
        <w:rPr>
          <w:sz w:val="2"/>
          <w:szCs w:val="2"/>
        </w:rPr>
        <w:t>i</w:t>
      </w:r>
      <w:proofErr w:type="spellEnd"/>
      <w:r w:rsidRPr="007F5C3A">
        <w:rPr>
          <w:sz w:val="2"/>
          <w:szCs w:val="2"/>
        </w:rPr>
        <w:t xml:space="preserve">) of this category in a manner that is known to or is reasonably expected to result in an increase in any of the following: (A) Persistence in a field environment (i.e., resistant to oxygen, UV damage, temperature extremes, arid conditions, or decontamination processes); (B) Dispersal characteristics (e.g., reduced susceptibility to shear forces, optimized electrostatic charges); or (C) The ability to defeat or overcome: standard detection methods, personnel protection, natural or acquired host immunity, or response to standard medical countermeasures. Note 1 to paragraph (b): Non-naturally occurring means that the modification has not already been observed in nature, was not discovered from samples obtained from nature, and was developed with human intervention. Note 2 to paragraph (b): This paragraph does not control biological agents or biologically derived substances when these agents or substances have been demonstrated to be attenuated relative to natural pathogenic isolates and are incapable of causing disease or intoxication of ordinarily affected and relevant species (e.g., humans, livestock, crop plants) due to the attenuation of virulence or pathogenic factors. This paragraph also does not control genetic elements, nucleic acids, or nucleic acid sequences (whether recombinant or synthetic) that are unable to produce or direct the biosynthesis of infectious or functional forms of the biological agents or biologically derived substances that are capable of causing disease or intoxication of ordinarily affected and relevant species. Note 3 to paragraph (b): Biological agents or biologically derived substances that meet both paragraphs (b)(1) and (b)(2) of this category are controlled in paragraph (b)(1). *(c) Chemical agent binary precursors and key precursors, as follows: (1) Alkyl (Methyl, Ethyl, n-Propyl or Isopropyl) phosphonyl difluorides, such as: DF: Methyl </w:t>
      </w:r>
      <w:proofErr w:type="spellStart"/>
      <w:r w:rsidRPr="007F5C3A">
        <w:rPr>
          <w:sz w:val="2"/>
          <w:szCs w:val="2"/>
        </w:rPr>
        <w:t>Phosphonyldifluoride</w:t>
      </w:r>
      <w:proofErr w:type="spellEnd"/>
      <w:r w:rsidRPr="007F5C3A">
        <w:rPr>
          <w:sz w:val="2"/>
          <w:szCs w:val="2"/>
        </w:rPr>
        <w:t xml:space="preserve"> (CAS 676-99-3) (CWC Schedule 1B); </w:t>
      </w:r>
      <w:proofErr w:type="spellStart"/>
      <w:r w:rsidRPr="007F5C3A">
        <w:rPr>
          <w:sz w:val="2"/>
          <w:szCs w:val="2"/>
        </w:rPr>
        <w:t>Methylphosphinyldifluoride</w:t>
      </w:r>
      <w:proofErr w:type="spellEnd"/>
      <w:r w:rsidRPr="007F5C3A">
        <w:rPr>
          <w:sz w:val="2"/>
          <w:szCs w:val="2"/>
        </w:rPr>
        <w:t xml:space="preserve"> (CAS 753-59-3) (CWC Schedule 2B); (2) O-Alkyl (H or equal to or less than C10, including cycloalkyl) O-2-dialkyl (methyl, ethyl, n-Propyl or isopropyl) aminoethyl alkyl (methyl, ethyl, N-propyl or isopropyl) </w:t>
      </w:r>
      <w:proofErr w:type="spellStart"/>
      <w:r w:rsidRPr="007F5C3A">
        <w:rPr>
          <w:sz w:val="2"/>
          <w:szCs w:val="2"/>
        </w:rPr>
        <w:t>phosphonite</w:t>
      </w:r>
      <w:proofErr w:type="spellEnd"/>
      <w:r w:rsidRPr="007F5C3A">
        <w:rPr>
          <w:sz w:val="2"/>
          <w:szCs w:val="2"/>
        </w:rPr>
        <w:t xml:space="preserve"> and corresponding alkylated and protonated salts, such as QL: O-Ethyl-2-di-isopropylaminoethyl </w:t>
      </w:r>
      <w:proofErr w:type="spellStart"/>
      <w:r w:rsidRPr="007F5C3A">
        <w:rPr>
          <w:sz w:val="2"/>
          <w:szCs w:val="2"/>
        </w:rPr>
        <w:t>methylphosphonite</w:t>
      </w:r>
      <w:proofErr w:type="spellEnd"/>
      <w:r w:rsidRPr="007F5C3A">
        <w:rPr>
          <w:sz w:val="2"/>
          <w:szCs w:val="2"/>
        </w:rPr>
        <w:t xml:space="preserve"> (CAS 57856-11-8) (CWC Schedule 1B); (3) </w:t>
      </w:r>
      <w:proofErr w:type="spellStart"/>
      <w:r w:rsidRPr="007F5C3A">
        <w:rPr>
          <w:sz w:val="2"/>
          <w:szCs w:val="2"/>
        </w:rPr>
        <w:t>Chlorosarin</w:t>
      </w:r>
      <w:proofErr w:type="spellEnd"/>
      <w:r w:rsidRPr="007F5C3A">
        <w:rPr>
          <w:sz w:val="2"/>
          <w:szCs w:val="2"/>
        </w:rPr>
        <w:t xml:space="preserve">: O-Isopropyl </w:t>
      </w:r>
      <w:proofErr w:type="spellStart"/>
      <w:r w:rsidRPr="007F5C3A">
        <w:rPr>
          <w:sz w:val="2"/>
          <w:szCs w:val="2"/>
        </w:rPr>
        <w:t>methylphosphonochloridate</w:t>
      </w:r>
      <w:proofErr w:type="spellEnd"/>
      <w:r w:rsidRPr="007F5C3A">
        <w:rPr>
          <w:sz w:val="2"/>
          <w:szCs w:val="2"/>
        </w:rPr>
        <w:t xml:space="preserve"> (CAS 1445-76-7) (CWC Schedule 1B); (4) </w:t>
      </w:r>
      <w:proofErr w:type="spellStart"/>
      <w:r w:rsidRPr="007F5C3A">
        <w:rPr>
          <w:sz w:val="2"/>
          <w:szCs w:val="2"/>
        </w:rPr>
        <w:t>Chlorosoman</w:t>
      </w:r>
      <w:proofErr w:type="spellEnd"/>
      <w:r w:rsidRPr="007F5C3A">
        <w:rPr>
          <w:sz w:val="2"/>
          <w:szCs w:val="2"/>
        </w:rPr>
        <w:t xml:space="preserve">: O-Pinacolyl </w:t>
      </w:r>
      <w:proofErr w:type="spellStart"/>
      <w:r w:rsidRPr="007F5C3A">
        <w:rPr>
          <w:sz w:val="2"/>
          <w:szCs w:val="2"/>
        </w:rPr>
        <w:t>methylphosphonochloridate</w:t>
      </w:r>
      <w:proofErr w:type="spellEnd"/>
      <w:r w:rsidRPr="007F5C3A">
        <w:rPr>
          <w:sz w:val="2"/>
          <w:szCs w:val="2"/>
        </w:rPr>
        <w:t xml:space="preserve"> (CAS 7040-57-5) (CWC Schedule 1B); or (5) </w:t>
      </w:r>
      <w:proofErr w:type="spellStart"/>
      <w:r w:rsidRPr="007F5C3A">
        <w:rPr>
          <w:sz w:val="2"/>
          <w:szCs w:val="2"/>
        </w:rPr>
        <w:t>Methylphosphonyl</w:t>
      </w:r>
      <w:proofErr w:type="spellEnd"/>
      <w:r w:rsidRPr="007F5C3A">
        <w:rPr>
          <w:sz w:val="2"/>
          <w:szCs w:val="2"/>
        </w:rPr>
        <w:t xml:space="preserve"> dichloride (CAS 676-97-1) (CWC Schedule 2B); </w:t>
      </w:r>
      <w:proofErr w:type="spellStart"/>
      <w:r w:rsidRPr="007F5C3A">
        <w:rPr>
          <w:sz w:val="2"/>
          <w:szCs w:val="2"/>
        </w:rPr>
        <w:t>Methylphosphinyldichloride</w:t>
      </w:r>
      <w:proofErr w:type="spellEnd"/>
      <w:r w:rsidRPr="007F5C3A">
        <w:rPr>
          <w:sz w:val="2"/>
          <w:szCs w:val="2"/>
        </w:rPr>
        <w:t xml:space="preserve"> (CAS 676-83-5) (CWC Schedule 2B). (d) [Reserved] (e) Defoliants, as follows: (1) 2,4,5-trichlorophenoxyacetic acid (CAS 93-76-5) mixed with 2,4-dichlorophenoxyacetic acid (CAS 94-75-7) (Agent Orange (CAS 39277-47-9)); or (2) Butyl 2-chloro-4-fluorophenoxyacetate (LNF). *(f) Parts, components, accessories, attachments, associated equipment, materials, and systems, as follows: (1) Any equipment for the dissemination, dispersion, or testing of articles controlled in paragraphs (a), (b), (c), or (e) of this category, as follows: (</w:t>
      </w:r>
      <w:proofErr w:type="spellStart"/>
      <w:r w:rsidRPr="007F5C3A">
        <w:rPr>
          <w:sz w:val="2"/>
          <w:szCs w:val="2"/>
        </w:rPr>
        <w:t>i</w:t>
      </w:r>
      <w:proofErr w:type="spellEnd"/>
      <w:r w:rsidRPr="007F5C3A">
        <w:rPr>
          <w:sz w:val="2"/>
          <w:szCs w:val="2"/>
        </w:rPr>
        <w:t>) Any equipment “specially designed” for the dissemination and dispersion of articles controlled in paragraphs (a), (b), (c), or (e) of this category; or (ii) Any equipment “specially designed” for testing the articles controlled in paragraphs (a), (b), (c), (e), or (f)(4) of this category and developed under a Department of Defense contract or other funding authorization. (2) Any equipment, containing reagents, algorithms, coefficients, software, libraries, spectral databases, or alarm set point levels developed under a Department of Defense contract or other funding authorization, for the detection, identification, warning, or monitoring of: (</w:t>
      </w:r>
      <w:proofErr w:type="spellStart"/>
      <w:r w:rsidRPr="007F5C3A">
        <w:rPr>
          <w:sz w:val="2"/>
          <w:szCs w:val="2"/>
        </w:rPr>
        <w:t>i</w:t>
      </w:r>
      <w:proofErr w:type="spellEnd"/>
      <w:r w:rsidRPr="007F5C3A">
        <w:rPr>
          <w:sz w:val="2"/>
          <w:szCs w:val="2"/>
        </w:rPr>
        <w:t>) Articles controlled in paragraphs (a) or (b) of this category; or (ii) Chemical agents or biological agents specified in the Department of Defense contract or other funding authorization. Note 1 to paragraph (f)(2): This paragraph does not control articles that are (a) determined to be subject to the EAR via a commodity jurisdiction determination (see §120.4 of this subchapter), or (b) identified in the relevant Department of Defense contract or other funding authorization as being developed for both civil and military applications. Note 2 to paragraph (f)(2): Note 1 does not apply to defense articles enumerated on the USML. (3) [Reserved] (4) For individual protection or collective protection against the articles controlled in paragraphs (a) and (b) of this category, as follows: (</w:t>
      </w:r>
      <w:proofErr w:type="spellStart"/>
      <w:r w:rsidRPr="007F5C3A">
        <w:rPr>
          <w:sz w:val="2"/>
          <w:szCs w:val="2"/>
        </w:rPr>
        <w:t>i</w:t>
      </w:r>
      <w:proofErr w:type="spellEnd"/>
      <w:r w:rsidRPr="007F5C3A">
        <w:rPr>
          <w:sz w:val="2"/>
          <w:szCs w:val="2"/>
        </w:rPr>
        <w:t>) M53 Chemical Biological Protective Mask or M50 Joint Service General Purpose Mask (JSGPM); (ii) Filter cartridges containing sorbents controlled in paragraph (f)(4)(iii) or (n) of this category; (iii) Carbon meeting MIL-DTL-32101 specifications (e.g., ASZM-TEDA carbon); or (iv) Ensembles, garments, suits, jackets, pants, boots, or socks for individual protection, and liners for collective protection that allow no more than 1% breakthrough of GD or no more than 2% breakthrough of any other chemical controlled in paragraph (a) of this category, when evaluated by executing the applicable standard method(s) of testing described in the current version of Test Operating Protocols (TOPs) 08-2-201 or 08-2-501 and using the defined Department of Defense-specific requirements; (5)-(6) [Reserved] (7) Chemical Agent Resistant Coatings that have been qualified to military specifications (MIL-PRF-32348, MIL-DTL-64159, MIL-C-46168, or MIL-DTL-53039); or (8) Any part, component, accessory, attachment, equipment, or system that: (</w:t>
      </w:r>
      <w:proofErr w:type="spellStart"/>
      <w:r w:rsidRPr="007F5C3A">
        <w:rPr>
          <w:sz w:val="2"/>
          <w:szCs w:val="2"/>
        </w:rPr>
        <w:t>i</w:t>
      </w:r>
      <w:proofErr w:type="spellEnd"/>
      <w:r w:rsidRPr="007F5C3A">
        <w:rPr>
          <w:sz w:val="2"/>
          <w:szCs w:val="2"/>
        </w:rPr>
        <w:t>) Is classified; (ii) Is manufactured using classified production data; or (iii) Is being developed using classified information. Note to paragraph (f)(8): “Classified” means classified pursuant to Executive Order 13526, or predecessor order, and a security classification guide developed pursuant thereto or equivalent, or to the corresponding classification rules of another government. (g) Antibodies, recombinant protective antigens, polynucleotides, biopolymers, or biocatalysts (including their expression vectors, viruses, plasmids, or cultures of specific cells modified to produce them) as follows: (1) When exclusively funded by a Department of Defense contract for detection of the biological agents at paragraph (b)(1)(ii) of this category even if naturally occurring; (2) Joint Biological Agent Identification and Diagnostic System (JBAIDS) Freeze Dried reagents listed by JRPD-ASY-No and Description respectively as follows: (</w:t>
      </w:r>
      <w:proofErr w:type="spellStart"/>
      <w:r w:rsidRPr="007F5C3A">
        <w:rPr>
          <w:sz w:val="2"/>
          <w:szCs w:val="2"/>
        </w:rPr>
        <w:t>i</w:t>
      </w:r>
      <w:proofErr w:type="spellEnd"/>
      <w:r w:rsidRPr="007F5C3A">
        <w:rPr>
          <w:sz w:val="2"/>
          <w:szCs w:val="2"/>
        </w:rPr>
        <w:t>) JRPD-ASY-0016 Q-Fever IVD Kit; (ii) JRPD-ASY-0100 Vaccinia (</w:t>
      </w:r>
      <w:proofErr w:type="spellStart"/>
      <w:r w:rsidRPr="007F5C3A">
        <w:rPr>
          <w:sz w:val="2"/>
          <w:szCs w:val="2"/>
        </w:rPr>
        <w:t>Orthopox</w:t>
      </w:r>
      <w:proofErr w:type="spellEnd"/>
      <w:r w:rsidRPr="007F5C3A">
        <w:rPr>
          <w:sz w:val="2"/>
          <w:szCs w:val="2"/>
        </w:rPr>
        <w:t xml:space="preserve">); (iii) JRPD-ASY-0106 Brucella </w:t>
      </w:r>
      <w:proofErr w:type="spellStart"/>
      <w:r w:rsidRPr="007F5C3A">
        <w:rPr>
          <w:sz w:val="2"/>
          <w:szCs w:val="2"/>
        </w:rPr>
        <w:t>melitensis</w:t>
      </w:r>
      <w:proofErr w:type="spellEnd"/>
      <w:r w:rsidRPr="007F5C3A">
        <w:rPr>
          <w:sz w:val="2"/>
          <w:szCs w:val="2"/>
        </w:rPr>
        <w:t xml:space="preserve"> (Brucellosis); (iv) JRPD-ASY-0108 Rickettsia prowazekii (Rickettsia); (v) JRPD-ASY-0109 </w:t>
      </w:r>
      <w:proofErr w:type="spellStart"/>
      <w:r w:rsidRPr="007F5C3A">
        <w:rPr>
          <w:sz w:val="2"/>
          <w:szCs w:val="2"/>
        </w:rPr>
        <w:t>Burkholderia</w:t>
      </w:r>
      <w:proofErr w:type="spellEnd"/>
      <w:r w:rsidRPr="007F5C3A">
        <w:rPr>
          <w:sz w:val="2"/>
          <w:szCs w:val="2"/>
        </w:rPr>
        <w:t xml:space="preserve"> ssp. (</w:t>
      </w:r>
      <w:proofErr w:type="spellStart"/>
      <w:r w:rsidRPr="007F5C3A">
        <w:rPr>
          <w:sz w:val="2"/>
          <w:szCs w:val="2"/>
        </w:rPr>
        <w:t>Burkholderia</w:t>
      </w:r>
      <w:proofErr w:type="spellEnd"/>
      <w:r w:rsidRPr="007F5C3A">
        <w:rPr>
          <w:sz w:val="2"/>
          <w:szCs w:val="2"/>
        </w:rPr>
        <w:t xml:space="preserve">); (vi) JRPD-ASY-0112 Eastern equine encephalitis (EEE); (vii) JRPD-ASY-0113 Western equine encephalitis (WEE); (viii) JRPD-ASY-0114 Venezuelan equine encephalitis (VEE); (ix) JRPD-ASY-0122 Coxiella </w:t>
      </w:r>
      <w:proofErr w:type="spellStart"/>
      <w:r w:rsidRPr="007F5C3A">
        <w:rPr>
          <w:sz w:val="2"/>
          <w:szCs w:val="2"/>
        </w:rPr>
        <w:t>burnetii</w:t>
      </w:r>
      <w:proofErr w:type="spellEnd"/>
      <w:r w:rsidRPr="007F5C3A">
        <w:rPr>
          <w:sz w:val="2"/>
          <w:szCs w:val="2"/>
        </w:rPr>
        <w:t xml:space="preserve"> (Coxiella); (x) JRPD-ASY-0136 Influenza A/H5 IVD Detection Kit; (xi) JRPD-ASY-0137 Influenza A/B IVD Detection Kit; or (xii) JRPD-ASY-0138 Influenza A Subtype IVD Detection Kit; (3) Critical Reagent Polymerase (CRP) Chain Reactions (PCR) assay kits with Catalog-ID and Catalog-ID Product respectively as follows: (</w:t>
      </w:r>
      <w:proofErr w:type="spellStart"/>
      <w:r w:rsidRPr="007F5C3A">
        <w:rPr>
          <w:sz w:val="2"/>
          <w:szCs w:val="2"/>
        </w:rPr>
        <w:t>i</w:t>
      </w:r>
      <w:proofErr w:type="spellEnd"/>
      <w:r w:rsidRPr="007F5C3A">
        <w:rPr>
          <w:sz w:val="2"/>
          <w:szCs w:val="2"/>
        </w:rPr>
        <w:t xml:space="preserve">) PCR-BRU-1FB-B-K Brucella Target 1 </w:t>
      </w:r>
      <w:proofErr w:type="spellStart"/>
      <w:r w:rsidRPr="007F5C3A">
        <w:rPr>
          <w:sz w:val="2"/>
          <w:szCs w:val="2"/>
        </w:rPr>
        <w:t>FastBlock</w:t>
      </w:r>
      <w:proofErr w:type="spellEnd"/>
      <w:r w:rsidRPr="007F5C3A">
        <w:rPr>
          <w:sz w:val="2"/>
          <w:szCs w:val="2"/>
        </w:rPr>
        <w:t xml:space="preserve"> Master Mix Biotinylated; (ii) PCR-BRU-1FB-K Brucella Target 1 </w:t>
      </w:r>
      <w:proofErr w:type="spellStart"/>
      <w:r w:rsidRPr="007F5C3A">
        <w:rPr>
          <w:sz w:val="2"/>
          <w:szCs w:val="2"/>
        </w:rPr>
        <w:t>FastBlock</w:t>
      </w:r>
      <w:proofErr w:type="spellEnd"/>
      <w:r w:rsidRPr="007F5C3A">
        <w:rPr>
          <w:sz w:val="2"/>
          <w:szCs w:val="2"/>
        </w:rPr>
        <w:t xml:space="preserve"> Master Mix; (iii) PCR-BRU-1R-K Brucella Target 1 </w:t>
      </w:r>
      <w:proofErr w:type="spellStart"/>
      <w:r w:rsidRPr="007F5C3A">
        <w:rPr>
          <w:sz w:val="2"/>
          <w:szCs w:val="2"/>
        </w:rPr>
        <w:t>LightCycler</w:t>
      </w:r>
      <w:proofErr w:type="spellEnd"/>
      <w:r w:rsidRPr="007F5C3A">
        <w:rPr>
          <w:sz w:val="2"/>
          <w:szCs w:val="2"/>
        </w:rPr>
        <w:t xml:space="preserve">/RAPID Master Mix; (iv) PCR-BURK-2FB-B-K </w:t>
      </w:r>
      <w:proofErr w:type="spellStart"/>
      <w:r w:rsidRPr="007F5C3A">
        <w:rPr>
          <w:sz w:val="2"/>
          <w:szCs w:val="2"/>
        </w:rPr>
        <w:t>Burkholderia</w:t>
      </w:r>
      <w:proofErr w:type="spellEnd"/>
      <w:r w:rsidRPr="007F5C3A">
        <w:rPr>
          <w:sz w:val="2"/>
          <w:szCs w:val="2"/>
        </w:rPr>
        <w:t xml:space="preserve"> Target 2 </w:t>
      </w:r>
      <w:proofErr w:type="spellStart"/>
      <w:r w:rsidRPr="007F5C3A">
        <w:rPr>
          <w:sz w:val="2"/>
          <w:szCs w:val="2"/>
        </w:rPr>
        <w:t>FastBlock</w:t>
      </w:r>
      <w:proofErr w:type="spellEnd"/>
      <w:r w:rsidRPr="007F5C3A">
        <w:rPr>
          <w:sz w:val="2"/>
          <w:szCs w:val="2"/>
        </w:rPr>
        <w:t xml:space="preserve"> Master Mix Biotinylated; (v) PCR-BURK-2FB-K </w:t>
      </w:r>
      <w:proofErr w:type="spellStart"/>
      <w:r w:rsidRPr="007F5C3A">
        <w:rPr>
          <w:sz w:val="2"/>
          <w:szCs w:val="2"/>
        </w:rPr>
        <w:t>Burkholderia</w:t>
      </w:r>
      <w:proofErr w:type="spellEnd"/>
      <w:r w:rsidRPr="007F5C3A">
        <w:rPr>
          <w:sz w:val="2"/>
          <w:szCs w:val="2"/>
        </w:rPr>
        <w:t xml:space="preserve"> Target 2 </w:t>
      </w:r>
      <w:proofErr w:type="spellStart"/>
      <w:r w:rsidRPr="007F5C3A">
        <w:rPr>
          <w:sz w:val="2"/>
          <w:szCs w:val="2"/>
        </w:rPr>
        <w:t>FastBlock</w:t>
      </w:r>
      <w:proofErr w:type="spellEnd"/>
      <w:r w:rsidRPr="007F5C3A">
        <w:rPr>
          <w:sz w:val="2"/>
          <w:szCs w:val="2"/>
        </w:rPr>
        <w:t xml:space="preserve"> Master Mix; (vi) PCR-BURK-2R-K </w:t>
      </w:r>
      <w:proofErr w:type="spellStart"/>
      <w:r w:rsidRPr="007F5C3A">
        <w:rPr>
          <w:sz w:val="2"/>
          <w:szCs w:val="2"/>
        </w:rPr>
        <w:t>Burkholderia</w:t>
      </w:r>
      <w:proofErr w:type="spellEnd"/>
      <w:r w:rsidRPr="007F5C3A">
        <w:rPr>
          <w:sz w:val="2"/>
          <w:szCs w:val="2"/>
        </w:rPr>
        <w:t xml:space="preserve"> Target 2 </w:t>
      </w:r>
      <w:proofErr w:type="spellStart"/>
      <w:r w:rsidRPr="007F5C3A">
        <w:rPr>
          <w:sz w:val="2"/>
          <w:szCs w:val="2"/>
        </w:rPr>
        <w:t>LightCycler</w:t>
      </w:r>
      <w:proofErr w:type="spellEnd"/>
      <w:r w:rsidRPr="007F5C3A">
        <w:rPr>
          <w:sz w:val="2"/>
          <w:szCs w:val="2"/>
        </w:rPr>
        <w:t xml:space="preserve">/RAPID Master Mix; (vii) PCR-BURK-3FB-B-K </w:t>
      </w:r>
      <w:proofErr w:type="spellStart"/>
      <w:r w:rsidRPr="007F5C3A">
        <w:rPr>
          <w:sz w:val="2"/>
          <w:szCs w:val="2"/>
        </w:rPr>
        <w:t>Burkholderia</w:t>
      </w:r>
      <w:proofErr w:type="spellEnd"/>
      <w:r w:rsidRPr="007F5C3A">
        <w:rPr>
          <w:sz w:val="2"/>
          <w:szCs w:val="2"/>
        </w:rPr>
        <w:t xml:space="preserve"> Target 3 </w:t>
      </w:r>
      <w:proofErr w:type="spellStart"/>
      <w:r w:rsidRPr="007F5C3A">
        <w:rPr>
          <w:sz w:val="2"/>
          <w:szCs w:val="2"/>
        </w:rPr>
        <w:t>FastBlock</w:t>
      </w:r>
      <w:proofErr w:type="spellEnd"/>
      <w:r w:rsidRPr="007F5C3A">
        <w:rPr>
          <w:sz w:val="2"/>
          <w:szCs w:val="2"/>
        </w:rPr>
        <w:t xml:space="preserve"> Master Mix Biotinylated; (viii) PCR-BURK-3FB-K </w:t>
      </w:r>
      <w:proofErr w:type="spellStart"/>
      <w:r w:rsidRPr="007F5C3A">
        <w:rPr>
          <w:sz w:val="2"/>
          <w:szCs w:val="2"/>
        </w:rPr>
        <w:t>Burkholderia</w:t>
      </w:r>
      <w:proofErr w:type="spellEnd"/>
      <w:r w:rsidRPr="007F5C3A">
        <w:rPr>
          <w:sz w:val="2"/>
          <w:szCs w:val="2"/>
        </w:rPr>
        <w:t xml:space="preserve"> Target 3 </w:t>
      </w:r>
      <w:proofErr w:type="spellStart"/>
      <w:r w:rsidRPr="007F5C3A">
        <w:rPr>
          <w:sz w:val="2"/>
          <w:szCs w:val="2"/>
        </w:rPr>
        <w:t>FastBlock</w:t>
      </w:r>
      <w:proofErr w:type="spellEnd"/>
      <w:r w:rsidRPr="007F5C3A">
        <w:rPr>
          <w:sz w:val="2"/>
          <w:szCs w:val="2"/>
        </w:rPr>
        <w:t xml:space="preserve"> Master Mix; (ix) PCR-BURK-3R-K </w:t>
      </w:r>
      <w:proofErr w:type="spellStart"/>
      <w:r w:rsidRPr="007F5C3A">
        <w:rPr>
          <w:sz w:val="2"/>
          <w:szCs w:val="2"/>
        </w:rPr>
        <w:t>Burkholderia</w:t>
      </w:r>
      <w:proofErr w:type="spellEnd"/>
      <w:r w:rsidRPr="007F5C3A">
        <w:rPr>
          <w:sz w:val="2"/>
          <w:szCs w:val="2"/>
        </w:rPr>
        <w:t xml:space="preserve"> Target 3 </w:t>
      </w:r>
      <w:proofErr w:type="spellStart"/>
      <w:r w:rsidRPr="007F5C3A">
        <w:rPr>
          <w:sz w:val="2"/>
          <w:szCs w:val="2"/>
        </w:rPr>
        <w:t>LightCycler</w:t>
      </w:r>
      <w:proofErr w:type="spellEnd"/>
      <w:r w:rsidRPr="007F5C3A">
        <w:rPr>
          <w:sz w:val="2"/>
          <w:szCs w:val="2"/>
        </w:rPr>
        <w:t xml:space="preserve">/RAPID Master Mix; (x) PCR-COX-1FB-B-K Coxiella </w:t>
      </w:r>
      <w:proofErr w:type="spellStart"/>
      <w:r w:rsidRPr="007F5C3A">
        <w:rPr>
          <w:sz w:val="2"/>
          <w:szCs w:val="2"/>
        </w:rPr>
        <w:t>burnetii</w:t>
      </w:r>
      <w:proofErr w:type="spellEnd"/>
      <w:r w:rsidRPr="007F5C3A">
        <w:rPr>
          <w:sz w:val="2"/>
          <w:szCs w:val="2"/>
        </w:rPr>
        <w:t xml:space="preserve"> Target 1 </w:t>
      </w:r>
      <w:proofErr w:type="spellStart"/>
      <w:r w:rsidRPr="007F5C3A">
        <w:rPr>
          <w:sz w:val="2"/>
          <w:szCs w:val="2"/>
        </w:rPr>
        <w:t>FastBlock</w:t>
      </w:r>
      <w:proofErr w:type="spellEnd"/>
      <w:r w:rsidRPr="007F5C3A">
        <w:rPr>
          <w:sz w:val="2"/>
          <w:szCs w:val="2"/>
        </w:rPr>
        <w:t xml:space="preserve"> Master Mix Biotinylated; (xi) PCR-COX-1R-K Coxiella </w:t>
      </w:r>
      <w:proofErr w:type="spellStart"/>
      <w:r w:rsidRPr="007F5C3A">
        <w:rPr>
          <w:sz w:val="2"/>
          <w:szCs w:val="2"/>
        </w:rPr>
        <w:t>burnetii</w:t>
      </w:r>
      <w:proofErr w:type="spellEnd"/>
      <w:r w:rsidRPr="007F5C3A">
        <w:rPr>
          <w:sz w:val="2"/>
          <w:szCs w:val="2"/>
        </w:rPr>
        <w:t xml:space="preserve"> Target 1 </w:t>
      </w:r>
      <w:proofErr w:type="spellStart"/>
      <w:r w:rsidRPr="007F5C3A">
        <w:rPr>
          <w:sz w:val="2"/>
          <w:szCs w:val="2"/>
        </w:rPr>
        <w:t>LightCycler</w:t>
      </w:r>
      <w:proofErr w:type="spellEnd"/>
      <w:r w:rsidRPr="007F5C3A">
        <w:rPr>
          <w:sz w:val="2"/>
          <w:szCs w:val="2"/>
        </w:rPr>
        <w:t xml:space="preserve">/RAPID Master Mix; (xii) PCR-COX-2R-K Coxiella </w:t>
      </w:r>
      <w:proofErr w:type="spellStart"/>
      <w:r w:rsidRPr="007F5C3A">
        <w:rPr>
          <w:sz w:val="2"/>
          <w:szCs w:val="2"/>
        </w:rPr>
        <w:t>burnetii</w:t>
      </w:r>
      <w:proofErr w:type="spellEnd"/>
      <w:r w:rsidRPr="007F5C3A">
        <w:rPr>
          <w:sz w:val="2"/>
          <w:szCs w:val="2"/>
        </w:rPr>
        <w:t xml:space="preserve"> Target 2 </w:t>
      </w:r>
      <w:proofErr w:type="spellStart"/>
      <w:r w:rsidRPr="007F5C3A">
        <w:rPr>
          <w:sz w:val="2"/>
          <w:szCs w:val="2"/>
        </w:rPr>
        <w:t>LightCycler</w:t>
      </w:r>
      <w:proofErr w:type="spellEnd"/>
      <w:r w:rsidRPr="007F5C3A">
        <w:rPr>
          <w:sz w:val="2"/>
          <w:szCs w:val="2"/>
        </w:rPr>
        <w:t xml:space="preserve">/RAPID Master Mix; (xiii) PCR-OP-1FB-B-K </w:t>
      </w:r>
      <w:proofErr w:type="spellStart"/>
      <w:r w:rsidRPr="007F5C3A">
        <w:rPr>
          <w:sz w:val="2"/>
          <w:szCs w:val="2"/>
        </w:rPr>
        <w:t>Orthopox</w:t>
      </w:r>
      <w:proofErr w:type="spellEnd"/>
      <w:r w:rsidRPr="007F5C3A">
        <w:rPr>
          <w:sz w:val="2"/>
          <w:szCs w:val="2"/>
        </w:rPr>
        <w:t xml:space="preserve"> Target 1 </w:t>
      </w:r>
      <w:proofErr w:type="spellStart"/>
      <w:r w:rsidRPr="007F5C3A">
        <w:rPr>
          <w:sz w:val="2"/>
          <w:szCs w:val="2"/>
        </w:rPr>
        <w:t>FastBlock</w:t>
      </w:r>
      <w:proofErr w:type="spellEnd"/>
      <w:r w:rsidRPr="007F5C3A">
        <w:rPr>
          <w:sz w:val="2"/>
          <w:szCs w:val="2"/>
        </w:rPr>
        <w:t xml:space="preserve"> Master Mix Biotinylated; (xiv) PCR-OP-1FB-K </w:t>
      </w:r>
      <w:proofErr w:type="spellStart"/>
      <w:r w:rsidRPr="007F5C3A">
        <w:rPr>
          <w:sz w:val="2"/>
          <w:szCs w:val="2"/>
        </w:rPr>
        <w:t>Orthopox</w:t>
      </w:r>
      <w:proofErr w:type="spellEnd"/>
      <w:r w:rsidRPr="007F5C3A">
        <w:rPr>
          <w:sz w:val="2"/>
          <w:szCs w:val="2"/>
        </w:rPr>
        <w:t xml:space="preserve"> Target 1 </w:t>
      </w:r>
      <w:proofErr w:type="spellStart"/>
      <w:r w:rsidRPr="007F5C3A">
        <w:rPr>
          <w:sz w:val="2"/>
          <w:szCs w:val="2"/>
        </w:rPr>
        <w:t>FastBlock</w:t>
      </w:r>
      <w:proofErr w:type="spellEnd"/>
      <w:r w:rsidRPr="007F5C3A">
        <w:rPr>
          <w:sz w:val="2"/>
          <w:szCs w:val="2"/>
        </w:rPr>
        <w:t xml:space="preserve"> Master Mix; (xv) PCR-OP-1R-K </w:t>
      </w:r>
      <w:proofErr w:type="spellStart"/>
      <w:r w:rsidRPr="007F5C3A">
        <w:rPr>
          <w:sz w:val="2"/>
          <w:szCs w:val="2"/>
        </w:rPr>
        <w:t>Orthopox</w:t>
      </w:r>
      <w:proofErr w:type="spellEnd"/>
      <w:r w:rsidRPr="007F5C3A">
        <w:rPr>
          <w:sz w:val="2"/>
          <w:szCs w:val="2"/>
        </w:rPr>
        <w:t xml:space="preserve"> Target 1 </w:t>
      </w:r>
      <w:proofErr w:type="spellStart"/>
      <w:r w:rsidRPr="007F5C3A">
        <w:rPr>
          <w:sz w:val="2"/>
          <w:szCs w:val="2"/>
        </w:rPr>
        <w:t>LightCycler</w:t>
      </w:r>
      <w:proofErr w:type="spellEnd"/>
      <w:r w:rsidRPr="007F5C3A">
        <w:rPr>
          <w:sz w:val="2"/>
          <w:szCs w:val="2"/>
        </w:rPr>
        <w:t xml:space="preserve">/RAPID Master Mix; (xvi) PCR-OP-2FB-B-K </w:t>
      </w:r>
      <w:proofErr w:type="spellStart"/>
      <w:r w:rsidRPr="007F5C3A">
        <w:rPr>
          <w:sz w:val="2"/>
          <w:szCs w:val="2"/>
        </w:rPr>
        <w:t>Orthopox</w:t>
      </w:r>
      <w:proofErr w:type="spellEnd"/>
      <w:r w:rsidRPr="007F5C3A">
        <w:rPr>
          <w:sz w:val="2"/>
          <w:szCs w:val="2"/>
        </w:rPr>
        <w:t xml:space="preserve"> Target 2 </w:t>
      </w:r>
      <w:proofErr w:type="spellStart"/>
      <w:r w:rsidRPr="007F5C3A">
        <w:rPr>
          <w:sz w:val="2"/>
          <w:szCs w:val="2"/>
        </w:rPr>
        <w:t>FastBlock</w:t>
      </w:r>
      <w:proofErr w:type="spellEnd"/>
      <w:r w:rsidRPr="007F5C3A">
        <w:rPr>
          <w:sz w:val="2"/>
          <w:szCs w:val="2"/>
        </w:rPr>
        <w:t xml:space="preserve"> Master Mix Biotinylated; (xvii) PCR-OP-3R-K </w:t>
      </w:r>
      <w:proofErr w:type="spellStart"/>
      <w:r w:rsidRPr="007F5C3A">
        <w:rPr>
          <w:sz w:val="2"/>
          <w:szCs w:val="2"/>
        </w:rPr>
        <w:t>Orthopox</w:t>
      </w:r>
      <w:proofErr w:type="spellEnd"/>
      <w:r w:rsidRPr="007F5C3A">
        <w:rPr>
          <w:sz w:val="2"/>
          <w:szCs w:val="2"/>
        </w:rPr>
        <w:t xml:space="preserve"> Target 3 </w:t>
      </w:r>
      <w:proofErr w:type="spellStart"/>
      <w:r w:rsidRPr="007F5C3A">
        <w:rPr>
          <w:sz w:val="2"/>
          <w:szCs w:val="2"/>
        </w:rPr>
        <w:t>LightCycler</w:t>
      </w:r>
      <w:proofErr w:type="spellEnd"/>
      <w:r w:rsidRPr="007F5C3A">
        <w:rPr>
          <w:sz w:val="2"/>
          <w:szCs w:val="2"/>
        </w:rPr>
        <w:t xml:space="preserve">/RAPID Master Mix; (xviii) PCR-RAZOR-BT-X </w:t>
      </w:r>
      <w:proofErr w:type="spellStart"/>
      <w:r w:rsidRPr="007F5C3A">
        <w:rPr>
          <w:sz w:val="2"/>
          <w:szCs w:val="2"/>
        </w:rPr>
        <w:t>PCR-RAZOR-BT-X</w:t>
      </w:r>
      <w:proofErr w:type="spellEnd"/>
      <w:r w:rsidRPr="007F5C3A">
        <w:rPr>
          <w:sz w:val="2"/>
          <w:szCs w:val="2"/>
        </w:rPr>
        <w:t xml:space="preserve"> RAZOR CRP </w:t>
      </w:r>
      <w:proofErr w:type="spellStart"/>
      <w:r w:rsidRPr="007F5C3A">
        <w:rPr>
          <w:sz w:val="2"/>
          <w:szCs w:val="2"/>
        </w:rPr>
        <w:t>BioThreat</w:t>
      </w:r>
      <w:proofErr w:type="spellEnd"/>
      <w:r w:rsidRPr="007F5C3A">
        <w:rPr>
          <w:sz w:val="2"/>
          <w:szCs w:val="2"/>
        </w:rPr>
        <w:t xml:space="preserve">-X Screening Pouch; (xix) PCR-RIC-1FB-K Ricin Target 1 </w:t>
      </w:r>
      <w:proofErr w:type="spellStart"/>
      <w:r w:rsidRPr="007F5C3A">
        <w:rPr>
          <w:sz w:val="2"/>
          <w:szCs w:val="2"/>
        </w:rPr>
        <w:t>FastBlock</w:t>
      </w:r>
      <w:proofErr w:type="spellEnd"/>
      <w:r w:rsidRPr="007F5C3A">
        <w:rPr>
          <w:sz w:val="2"/>
          <w:szCs w:val="2"/>
        </w:rPr>
        <w:t xml:space="preserve"> Master Mix; (xx) PCR-RIC-1R-K Ricin Target 1 </w:t>
      </w:r>
      <w:proofErr w:type="spellStart"/>
      <w:r w:rsidRPr="007F5C3A">
        <w:rPr>
          <w:sz w:val="2"/>
          <w:szCs w:val="2"/>
        </w:rPr>
        <w:t>LightCycler</w:t>
      </w:r>
      <w:proofErr w:type="spellEnd"/>
      <w:r w:rsidRPr="007F5C3A">
        <w:rPr>
          <w:sz w:val="2"/>
          <w:szCs w:val="2"/>
        </w:rPr>
        <w:t xml:space="preserve">/RAPID Master Mix; (xxi) PCR-RIC-2R-K Ricin Target 2 </w:t>
      </w:r>
      <w:proofErr w:type="spellStart"/>
      <w:r w:rsidRPr="007F5C3A">
        <w:rPr>
          <w:sz w:val="2"/>
          <w:szCs w:val="2"/>
        </w:rPr>
        <w:t>LightCycler</w:t>
      </w:r>
      <w:proofErr w:type="spellEnd"/>
      <w:r w:rsidRPr="007F5C3A">
        <w:rPr>
          <w:sz w:val="2"/>
          <w:szCs w:val="2"/>
        </w:rPr>
        <w:t xml:space="preserve">/RAPID Master Mix; or (xxii) PCR-VEE-1R-K Venezuelan equine encephalitis Target 1 </w:t>
      </w:r>
      <w:proofErr w:type="spellStart"/>
      <w:r w:rsidRPr="007F5C3A">
        <w:rPr>
          <w:sz w:val="2"/>
          <w:szCs w:val="2"/>
        </w:rPr>
        <w:t>LightCycler</w:t>
      </w:r>
      <w:proofErr w:type="spellEnd"/>
      <w:r w:rsidRPr="007F5C3A">
        <w:rPr>
          <w:sz w:val="2"/>
          <w:szCs w:val="2"/>
        </w:rPr>
        <w:t>/RAPID Master Mix; or (4) Critical Reagent Program Antibodies with Catalog ID and Product respectively as follows: (</w:t>
      </w:r>
      <w:proofErr w:type="spellStart"/>
      <w:r w:rsidRPr="007F5C3A">
        <w:rPr>
          <w:sz w:val="2"/>
          <w:szCs w:val="2"/>
        </w:rPr>
        <w:t>i</w:t>
      </w:r>
      <w:proofErr w:type="spellEnd"/>
      <w:r w:rsidRPr="007F5C3A">
        <w:rPr>
          <w:sz w:val="2"/>
          <w:szCs w:val="2"/>
        </w:rPr>
        <w:t xml:space="preserve">) AB-AG-RIC Aff. Goat anti-Ricin; (ii) AB-ALVG-MAB Anti-Alphavirus Generic Mab; (iii) AB-AR-SEB Aff. Rabbit anti-SEB; (iv) AB-BRU-M-MAB1 Anti-Brucella </w:t>
      </w:r>
      <w:proofErr w:type="spellStart"/>
      <w:r w:rsidRPr="007F5C3A">
        <w:rPr>
          <w:sz w:val="2"/>
          <w:szCs w:val="2"/>
        </w:rPr>
        <w:t>melitensis</w:t>
      </w:r>
      <w:proofErr w:type="spellEnd"/>
      <w:r w:rsidRPr="007F5C3A">
        <w:rPr>
          <w:sz w:val="2"/>
          <w:szCs w:val="2"/>
        </w:rPr>
        <w:t xml:space="preserve"> Mab 1; (v) AB-BRU-M-MAB2 Anti-Brucella </w:t>
      </w:r>
      <w:proofErr w:type="spellStart"/>
      <w:r w:rsidRPr="007F5C3A">
        <w:rPr>
          <w:sz w:val="2"/>
          <w:szCs w:val="2"/>
        </w:rPr>
        <w:t>melitensis</w:t>
      </w:r>
      <w:proofErr w:type="spellEnd"/>
      <w:r w:rsidRPr="007F5C3A">
        <w:rPr>
          <w:sz w:val="2"/>
          <w:szCs w:val="2"/>
        </w:rPr>
        <w:t xml:space="preserve"> Mab 2; (vi) AB-BRU-M-MAB3 Anti-Brucella </w:t>
      </w:r>
      <w:proofErr w:type="spellStart"/>
      <w:r w:rsidRPr="007F5C3A">
        <w:rPr>
          <w:sz w:val="2"/>
          <w:szCs w:val="2"/>
        </w:rPr>
        <w:t>melitensis</w:t>
      </w:r>
      <w:proofErr w:type="spellEnd"/>
      <w:r w:rsidRPr="007F5C3A">
        <w:rPr>
          <w:sz w:val="2"/>
          <w:szCs w:val="2"/>
        </w:rPr>
        <w:t xml:space="preserve"> Mab 3; (vii) AB-BRU-M-MAB4 Anti-Brucella </w:t>
      </w:r>
      <w:proofErr w:type="spellStart"/>
      <w:r w:rsidRPr="007F5C3A">
        <w:rPr>
          <w:sz w:val="2"/>
          <w:szCs w:val="2"/>
        </w:rPr>
        <w:t>melitensis</w:t>
      </w:r>
      <w:proofErr w:type="spellEnd"/>
      <w:r w:rsidRPr="007F5C3A">
        <w:rPr>
          <w:sz w:val="2"/>
          <w:szCs w:val="2"/>
        </w:rPr>
        <w:t xml:space="preserve"> Mab 4; (viii) AB-CHOL-0139-MAB Anti-</w:t>
      </w:r>
      <w:proofErr w:type="spellStart"/>
      <w:r w:rsidRPr="007F5C3A">
        <w:rPr>
          <w:sz w:val="2"/>
          <w:szCs w:val="2"/>
        </w:rPr>
        <w:t>V.cholerae</w:t>
      </w:r>
      <w:proofErr w:type="spellEnd"/>
      <w:r w:rsidRPr="007F5C3A">
        <w:rPr>
          <w:sz w:val="2"/>
          <w:szCs w:val="2"/>
        </w:rPr>
        <w:t xml:space="preserve"> 0139 Mab; (ix) AB-CHOL-01-MAB Anti-V. cholerae 01 Mab; (x) AB-COX-MAB Anti-Coxiella Mab; (xi) AB-EEE-MAB Anti-EEE Mab; (xii) AB-G-BRU-A Goat anti-Brucella abortus; (xiii) AB-G-BRU-M Goat anti-Brucella </w:t>
      </w:r>
      <w:proofErr w:type="spellStart"/>
      <w:r w:rsidRPr="007F5C3A">
        <w:rPr>
          <w:sz w:val="2"/>
          <w:szCs w:val="2"/>
        </w:rPr>
        <w:t>melitensis</w:t>
      </w:r>
      <w:proofErr w:type="spellEnd"/>
      <w:r w:rsidRPr="007F5C3A">
        <w:rPr>
          <w:sz w:val="2"/>
          <w:szCs w:val="2"/>
        </w:rPr>
        <w:t xml:space="preserve">; (xiv) AB-G-BRU-S Goat anti-Brucella </w:t>
      </w:r>
      <w:proofErr w:type="spellStart"/>
      <w:r w:rsidRPr="007F5C3A">
        <w:rPr>
          <w:sz w:val="2"/>
          <w:szCs w:val="2"/>
        </w:rPr>
        <w:t>suis</w:t>
      </w:r>
      <w:proofErr w:type="spellEnd"/>
      <w:r w:rsidRPr="007F5C3A">
        <w:rPr>
          <w:sz w:val="2"/>
          <w:szCs w:val="2"/>
        </w:rPr>
        <w:t>; (xv) AB-G-CHOL-01 Goat anti-</w:t>
      </w:r>
      <w:proofErr w:type="spellStart"/>
      <w:r w:rsidRPr="007F5C3A">
        <w:rPr>
          <w:sz w:val="2"/>
          <w:szCs w:val="2"/>
        </w:rPr>
        <w:t>V.cholerae</w:t>
      </w:r>
      <w:proofErr w:type="spellEnd"/>
      <w:r w:rsidRPr="007F5C3A">
        <w:rPr>
          <w:sz w:val="2"/>
          <w:szCs w:val="2"/>
        </w:rPr>
        <w:t xml:space="preserve"> 0:1; (xvi) AB-G-COL-139 Goat anti-</w:t>
      </w:r>
      <w:proofErr w:type="spellStart"/>
      <w:r w:rsidRPr="007F5C3A">
        <w:rPr>
          <w:sz w:val="2"/>
          <w:szCs w:val="2"/>
        </w:rPr>
        <w:t>V.cholerae</w:t>
      </w:r>
      <w:proofErr w:type="spellEnd"/>
      <w:r w:rsidRPr="007F5C3A">
        <w:rPr>
          <w:sz w:val="2"/>
          <w:szCs w:val="2"/>
        </w:rPr>
        <w:t xml:space="preserve"> 0:139; (xvii) AB-G-DENG Goat anti-Dengue; (xviii) AB-G-RIC Goat anti-Ricin; (xix) AB-G-SAL-T Goat anti-S. typhi; (xx) AB-G-SEA Goat anti-SEA; (xxi) AB-G-SEB Goat anti-SEB; (xxii) AB-G-SEC Goat anti-SEC; (xxiii) AB-G-SED Goat anti-SED; (xxiv) AB-G-SEE Goat anti-SEE; (xxv) AB-G-SHIG-D Goat anti-Shigella </w:t>
      </w:r>
      <w:proofErr w:type="spellStart"/>
      <w:r w:rsidRPr="007F5C3A">
        <w:rPr>
          <w:sz w:val="2"/>
          <w:szCs w:val="2"/>
        </w:rPr>
        <w:t>dysenteriae</w:t>
      </w:r>
      <w:proofErr w:type="spellEnd"/>
      <w:r w:rsidRPr="007F5C3A">
        <w:rPr>
          <w:sz w:val="2"/>
          <w:szCs w:val="2"/>
        </w:rPr>
        <w:t xml:space="preserve">; (xxvi) AB-R-BA-PA Rabbit anti-Protective Antigen; (xxvii) AB-R-COX Rabbit anti-C. </w:t>
      </w:r>
      <w:proofErr w:type="spellStart"/>
      <w:r w:rsidRPr="007F5C3A">
        <w:rPr>
          <w:sz w:val="2"/>
          <w:szCs w:val="2"/>
        </w:rPr>
        <w:t>burnetii</w:t>
      </w:r>
      <w:proofErr w:type="spellEnd"/>
      <w:r w:rsidRPr="007F5C3A">
        <w:rPr>
          <w:sz w:val="2"/>
          <w:szCs w:val="2"/>
        </w:rPr>
        <w:t xml:space="preserve">; (xxviii) AB-RIC-MAB1 Anti-Ricin Mab 1; (xxix) AB-RIC-MAB2 Anti-Ricin Mab 2; (xxx) AB-RIC-MAB3 Anti-Ricin Mab3; (xxxi) AB-R-SEB Rabbit anti-SEB; (xxxii) AB-R-VACC Rabbit anti-Vaccinia; (xxxiii) AB-SEB-MAB Anti-SEB Mab; (xxxiv) AB-SLT2-MAB Anti-Shigella-like t x2 Mab; (xxxv) AB-T2T-MAB1 Anti-T2 Mab 1; (xxxvi) AB-T2T-MAB2 Anti-T2 Toxin 2; (xxxvii) AB-VACC-MAB1 Anti-Vaccinia Mab 1; (xxxviii) AB-VACC-MAB2 Anti-Vaccinia Mab 2; (xxxix) AB-VACC-MAB3 Anti-Vaccinia Mab 3; (xl) AB-VACC-MAB4 Anti-Vaccinia Mab 4; (xli) AB-VACC-MAB5 Anti-Vaccinia Mab 5; (xlii) AB-VACC-MAB6 Anti-Vaccinia Mab 6; (xliii) AB-VEE-MAB1 Anti-VEE Mab 1; (xliv) AB-VEE-MAB2 Anti-VEE Mab 2; (xlv) AB-VEE-MAB3 Anti-VEE Mab 3; (xlvi) AB-VEE-MAB4 Anti-VEE Mab 4; (xlvii) AB-VEE-MAB5 Anti-VEE Mab 5; (xlviii) AB-VEE-MAB6 Anti-VEE Mab 6; or (xlix) AB-WEE-MAB Anti-WEE Complex Mab. (h) Vaccines exclusively funded by a Department of Defense contract, as follows: (1) Recombinant Botulinum </w:t>
      </w:r>
      <w:proofErr w:type="spellStart"/>
      <w:r w:rsidRPr="007F5C3A">
        <w:rPr>
          <w:sz w:val="2"/>
          <w:szCs w:val="2"/>
        </w:rPr>
        <w:t>ToxinA</w:t>
      </w:r>
      <w:proofErr w:type="spellEnd"/>
      <w:r w:rsidRPr="007F5C3A">
        <w:rPr>
          <w:sz w:val="2"/>
          <w:szCs w:val="2"/>
        </w:rPr>
        <w:t xml:space="preserve">/B Vaccine; (2) Recombinant Plague Vaccine; (3) Trivalent Filovirus Vaccine; or (4) Vaccines specially designed for the sole purpose of protecting against biological agents and biologically derived substances identified in paragraph (b) of this category. Note to paragraph (h): See ECCN 1A607.k for military medical countermeasures such as autoinjectors, </w:t>
      </w:r>
      <w:proofErr w:type="spellStart"/>
      <w:r w:rsidRPr="007F5C3A">
        <w:rPr>
          <w:sz w:val="2"/>
          <w:szCs w:val="2"/>
        </w:rPr>
        <w:t>combopens</w:t>
      </w:r>
      <w:proofErr w:type="spellEnd"/>
      <w:r w:rsidRPr="007F5C3A">
        <w:rPr>
          <w:sz w:val="2"/>
          <w:szCs w:val="2"/>
        </w:rPr>
        <w:t>, and creams. (</w:t>
      </w:r>
      <w:proofErr w:type="spellStart"/>
      <w:r w:rsidRPr="007F5C3A">
        <w:rPr>
          <w:sz w:val="2"/>
          <w:szCs w:val="2"/>
        </w:rPr>
        <w:t>i</w:t>
      </w:r>
      <w:proofErr w:type="spellEnd"/>
      <w:r w:rsidRPr="007F5C3A">
        <w:rPr>
          <w:sz w:val="2"/>
          <w:szCs w:val="2"/>
        </w:rPr>
        <w:t>) Modeling or simulation tools, including software controlled in paragraph (m) of this category, for chemical or biological weapons design, development, or employment developed or produced under a Department of Defense contract or other funding authorization (e.g., the Department of Defense's HPAC, SCIPUFF, and the Joint Effects Model (JEM)). (j)-(l) [Reserved] (m) Technical data (as defined in §120.10 of this subchapter) and defense services (as defined in §120.9 of this subchapter) directly related to the defense articles enumerated in paragraphs (a) through (l) and (n) of this category. (See §125.4 of this subchapter for exemptions.) (n) Developmental countermeasures or sorbents funded by the Department of Defense via contract or other funding authorization; Note 1 to paragraph (n): This paragraph does not control countermeasures or sorbents that are (a) in production, (b) determined to be subject to the EAR via a commodity jurisdiction determination (see §120.4 of this subchapter), or (c) identified in the relevant Department of Defense contract or other funding authorization as being developed for both civil and military applications. Note 2 to paragraph (n): Note 1 does not apply to defense articles enumerated on the USML, whether in production or development. Note 3 to paragraph (n): This paragraph is applicable only to those contracts and funding authorizations that are dated July 28, 2017, or later. (o)-(w) [Reserved] (x) Commodities, software, and technology subject to the EAR (see §120.42 of this subchapter) used in or with defense articles controlled in this category. Note to paragraph (x): Use of this paragraph is limited to license applications for defense articles controlled in this category where the purchase documentation includes commodities, software, or technology subject to the EAR (see §123.1(b) of this subchapter). Category XV— Spacecraft and Related Articles (a) Spacecraft, including satellites and space vehicles, whether designated developmental, experimental, research, or scientific, or having a commercial, civil, or military end-use, that: *(1) Are specially designed to mitigate effects (e.g., scintillation) of or for detection of a nuclear detonation; *(2) Autonomously detect and track moving ground, airborne, missile, or space objects other than celestial bodies, in real-time using imaging, infrared, radar, or laser systems; *(3) Conduct signals intelligence (SIGINT) or measurement and signatures intelligence (MASINT); *(4) Are specially designed to be used in a constellation or formation that when operated together, in essence or effect, form a virtual satellite (e.g., functioning as if one satellite) with the characteristics or functions of other items in paragraph (a); *(5) Are anti-satellite or anti-spacecraft (e.g., kinetic, RF, laser, charged particle); *(6) Have space-to-ground weapons systems (e.g., kinetic or directed energy); *(7) Have any of the following electro-optical remote sensing capabilities or characteristics: (</w:t>
      </w:r>
      <w:proofErr w:type="spellStart"/>
      <w:r w:rsidRPr="007F5C3A">
        <w:rPr>
          <w:sz w:val="2"/>
          <w:szCs w:val="2"/>
        </w:rPr>
        <w:t>i</w:t>
      </w:r>
      <w:proofErr w:type="spellEnd"/>
      <w:r w:rsidRPr="007F5C3A">
        <w:rPr>
          <w:sz w:val="2"/>
          <w:szCs w:val="2"/>
        </w:rPr>
        <w:t xml:space="preserve">) Electro-optical visible and near infrared (VNIR) (i.e., 400nm to 1,000nm) or infrared (i.e., greater than 1,000nm to 30,000nm) with less than 40 spectral bands and having a clear aperture greater than 0.50m; (ii) Electro-optical hyperspectral with 40 spectral bands or more in the VNIR, short-wavelength infrared (SWIR) (i.e., greater than 1,000nm to 2,500nm) or any combination of the aforementioned and having a Ground Sample Distance (GSD) less than 30 meters; (iii) Electro-optical hyperspectral with 40 spectral bands or more in the mid-wavelength infrared (MWIR) (i.e., greater than 2,500nm to 5,500nm) having a narrow spectral bandwidth of </w:t>
      </w:r>
      <w:proofErr w:type="spellStart"/>
      <w:r w:rsidRPr="007F5C3A">
        <w:rPr>
          <w:sz w:val="2"/>
          <w:szCs w:val="2"/>
        </w:rPr>
        <w:t>Δλ</w:t>
      </w:r>
      <w:proofErr w:type="spellEnd"/>
      <w:r w:rsidRPr="007F5C3A">
        <w:rPr>
          <w:sz w:val="2"/>
          <w:szCs w:val="2"/>
        </w:rPr>
        <w:t xml:space="preserve"> less than or equal to 20nm full width at half maximum (FWHM) or having a wide spectral bandwidth with </w:t>
      </w:r>
      <w:proofErr w:type="spellStart"/>
      <w:r w:rsidRPr="007F5C3A">
        <w:rPr>
          <w:sz w:val="2"/>
          <w:szCs w:val="2"/>
        </w:rPr>
        <w:t>Δλ</w:t>
      </w:r>
      <w:proofErr w:type="spellEnd"/>
      <w:r w:rsidRPr="007F5C3A">
        <w:rPr>
          <w:sz w:val="2"/>
          <w:szCs w:val="2"/>
        </w:rPr>
        <w:t xml:space="preserve"> greater than 20nm FWHM and a GSD less than 200 meters; or (iv) Electro-optical hyperspectral with 40 spectral bands or more in the long-wavelength infrared (LWIR) (i.e., greater than 5,500nm to 30,000nm) having a narrow spectral bandwidth of </w:t>
      </w:r>
      <w:proofErr w:type="spellStart"/>
      <w:r w:rsidRPr="007F5C3A">
        <w:rPr>
          <w:sz w:val="2"/>
          <w:szCs w:val="2"/>
        </w:rPr>
        <w:t>Δλ</w:t>
      </w:r>
      <w:proofErr w:type="spellEnd"/>
      <w:r w:rsidRPr="007F5C3A">
        <w:rPr>
          <w:sz w:val="2"/>
          <w:szCs w:val="2"/>
        </w:rPr>
        <w:t xml:space="preserve"> less than or equal to 50nm FWHM or having a wide spectral bandwidth with </w:t>
      </w:r>
      <w:proofErr w:type="spellStart"/>
      <w:r w:rsidRPr="007F5C3A">
        <w:rPr>
          <w:sz w:val="2"/>
          <w:szCs w:val="2"/>
        </w:rPr>
        <w:t>Δλ</w:t>
      </w:r>
      <w:proofErr w:type="spellEnd"/>
      <w:r w:rsidRPr="007F5C3A">
        <w:rPr>
          <w:sz w:val="2"/>
          <w:szCs w:val="2"/>
        </w:rPr>
        <w:t xml:space="preserve"> greater than 50nm FWHM and a GSD less than 500 meters; Note 1 to paragraph (a)(7): Ground Sample Distance (GSD) is measured from a spacecraft's nadir (i.e., local vertical) position. Note 2 to paragraph (a)(7): Optical remote sensing spacecraft or satellite spectral bandwidth is the smallest difference in wavelength (i.e., </w:t>
      </w:r>
      <w:proofErr w:type="spellStart"/>
      <w:r w:rsidRPr="007F5C3A">
        <w:rPr>
          <w:sz w:val="2"/>
          <w:szCs w:val="2"/>
        </w:rPr>
        <w:t>Δλ</w:t>
      </w:r>
      <w:proofErr w:type="spellEnd"/>
      <w:r w:rsidRPr="007F5C3A">
        <w:rPr>
          <w:sz w:val="2"/>
          <w:szCs w:val="2"/>
        </w:rPr>
        <w:t>) that can be distinguished at full width at half maximum (FWHM) of wavelength λ. Note 3 to paragraph (a)(7): An optical satellite or spacecraft is not Significant Military Equipment (see §120.7 of this subchapter) if non-earth pointing. *(8) Have radar remote sensing capabilities or characteristics (e.g., active electronically scanned array (AESA), synthetic aperture radar (SAR), inverse synthetic aperture radar (ISAR), ultra-wideband SAR), except those having a center frequency equal to or greater than 1 GHz but less than or equal to 10 GHz and having a bandwidth less than 300 MHz; (9) Provide Positioning, Navigation, and Timing (PNT) signals; Note to paragraph (a)(9): This paragraph does not control a satellite or spacecraft that provides only a differential correction broadcast for the purposes of positioning, navigation, or timing. (10) Autonomously perform collision avoidance; (11) Are sub-orbital, incorporate propulsion systems described in paragraph (e) of this category or Category IV(d)(1)-(6) of this section, and are specially designed for atmospheric entry or re-entry; (12) Are specially designed to provide inspection or surveillance of another spacecraft, or service another spacecraft via grappling or docking; or Note to paragraph (a)(12): This paragraph does not control spacecraft that dock exclusively via the NASA Docking System (NDS), which are controlled by ECCN 9A515.a.4. *(13) Are classified, contain classified software or hardware, are manufactured using classified production data, or are being developed using classified information (e.g., having classified requirements, specifications, functions, or operational characteristics or include classified cryptographic items controlled under USML Category XIII of this subchapter). “Classified” means classified pursuant to Executive Order 13526, or predecessor order, and a security classification guide developed pursuant thereto or equivalent, or to the corresponding classification rules of another government or international organization. Note 1 to paragraph (a): Spacecraft not identified in this paragraph are subject to the EAR (see ECCNs 9A004 and 9A515). Spacecraft described in ECCNs 9A004 and 9A515 remain subject to the EAR even if defense articles described on the USML are incorporated therein, except when such incorporation results in a spacecraft described in this paragraph. Note 2 to paragraph (a): This paragraph does not control (a) the International Space Station (ISS) and its specially designed (as defined in the EAR) parts and components, which are subject to the EAR, or (b) those articles for the ISS that are determined to be subject to the EAR via a commodity jurisdiction determination (see §120.4 of this subchapter). Use of a defense article on the ISS that was not specially designed (as defined in the EAR) for the ISS does not cause the item to become subject to the EAR. Note 3 to paragraph (a): This paragraph does not control the James Webb Space Telescope, which is subject to the EAR. (b) Ground control systems or training simulators, specially designed for telemetry, tracking, and control (TT&amp;C) of spacecraft in paragraph (a) of this category. Note to paragraph (b): Parts, components, accessories, attachments, equipment, or systems that are common to ground control systems or training simulators controlled in this paragraph and those that are used for spacecraft not controlled in paragraph (a) of this category are subject to the EAR. (c)-(d) [Reserved] (e) Spacecraft parts, components, accessories, attachments, equipment, or systems, as follows: (1) Antenna systems specially designed for spacecraft that: (</w:t>
      </w:r>
      <w:proofErr w:type="spellStart"/>
      <w:r w:rsidRPr="007F5C3A">
        <w:rPr>
          <w:sz w:val="2"/>
          <w:szCs w:val="2"/>
        </w:rPr>
        <w:t>i</w:t>
      </w:r>
      <w:proofErr w:type="spellEnd"/>
      <w:r w:rsidRPr="007F5C3A">
        <w:rPr>
          <w:sz w:val="2"/>
          <w:szCs w:val="2"/>
        </w:rPr>
        <w:t>) Have a dimension greater than 25 meters in diameter or length of the major axis; (ii) Employ active electronic scanning; (iii) Are adaptive beam forming; or (iv) Are for interferometric radar; (2) Space-qualified optics (i.e., lens, mirror or membrane) having one of the following: (</w:t>
      </w:r>
      <w:proofErr w:type="spellStart"/>
      <w:r w:rsidRPr="007F5C3A">
        <w:rPr>
          <w:sz w:val="2"/>
          <w:szCs w:val="2"/>
        </w:rPr>
        <w:t>i</w:t>
      </w:r>
      <w:proofErr w:type="spellEnd"/>
      <w:r w:rsidRPr="007F5C3A">
        <w:rPr>
          <w:sz w:val="2"/>
          <w:szCs w:val="2"/>
        </w:rPr>
        <w:t xml:space="preserve">) Active properties (e.g., adaptive, deformable) with a largest lateral clear aperture dimension greater than 0.35m; or (ii) A largest lateral clear aperture dimension greater than 0.50m; (3) Space-qualified focal plane arrays (FPA) having a peak response in the wavelength range exceeding 900nm and readout integrated circuit (ROIC), whether separate or integrated, specially designed therefor; (4) Space-qualified mechanical (i.e., active) cryocooler or active cold finger systems, and associated control electronics specially designed therefor; (5) Space-qualified active vibration suppression systems, including active isolation and active dampening systems, and associated control electronics specially designed therefor; (6) Optical bench assemblies specially designed to enable spacecraft to meet or exceed the parameters described in paragraph (a) of this category; (7) Space-qualified kinetic or directed-energy systems (e.g., RF, laser, charged particle) specially designed for spacecraft in paragraph (a)(5) or (a)(6) of this category, and specially designed parts and components therefor (e.g., power conditioning and beam-handling/switching, propagation, tracking, and pointing equipment); (8) [Reserved] (9) Space-qualified cesium, rubidium, hydrogen maser, or quantum (e.g., based upon Al, Hg, </w:t>
      </w:r>
      <w:proofErr w:type="spellStart"/>
      <w:r w:rsidRPr="007F5C3A">
        <w:rPr>
          <w:sz w:val="2"/>
          <w:szCs w:val="2"/>
        </w:rPr>
        <w:t>Yb</w:t>
      </w:r>
      <w:proofErr w:type="spellEnd"/>
      <w:r w:rsidRPr="007F5C3A">
        <w:rPr>
          <w:sz w:val="2"/>
          <w:szCs w:val="2"/>
        </w:rPr>
        <w:t>, Sr, Be Ions) atomic clocks, and specially designed parts and components therefor; (10) Attitude determination and control systems, and specially designed parts and components therefor, that provide a spacecraft's geolocation accuracy, without using Ground Location Points, better than or equal to: (</w:t>
      </w:r>
      <w:proofErr w:type="spellStart"/>
      <w:r w:rsidRPr="007F5C3A">
        <w:rPr>
          <w:sz w:val="2"/>
          <w:szCs w:val="2"/>
        </w:rPr>
        <w:t>i</w:t>
      </w:r>
      <w:proofErr w:type="spellEnd"/>
      <w:r w:rsidRPr="007F5C3A">
        <w:rPr>
          <w:sz w:val="2"/>
          <w:szCs w:val="2"/>
        </w:rPr>
        <w:t>) 5 meters (CE90) from low earth orbit (LEO); (ii) 30 meters (CE90) from medium earth orbit (MEO); (iii) 150 meters (CE90) from geosynchronous orbit (GEO); or (iv) 225 meters (CE90) from high earth orbit (HEO); (11) Space-based systems, and specially designed parts and components therefor, as follows: (</w:t>
      </w:r>
      <w:proofErr w:type="spellStart"/>
      <w:r w:rsidRPr="007F5C3A">
        <w:rPr>
          <w:sz w:val="2"/>
          <w:szCs w:val="2"/>
        </w:rPr>
        <w:t>i</w:t>
      </w:r>
      <w:proofErr w:type="spellEnd"/>
      <w:r w:rsidRPr="007F5C3A">
        <w:rPr>
          <w:sz w:val="2"/>
          <w:szCs w:val="2"/>
        </w:rPr>
        <w:t>) Nuclear reactors and associated power conversion systems (e.g., liquid metal or gas-cooled fast reactors); (ii) Radioisotope-based power systems (e.g., radioisotope thermoelectric generators); (iii) Nuclear thermal propulsion systems (e.g., solid core, liquid core, gas core fission); or (iv) Electric (Plasma/Ion) propulsion systems that provide a thrust greater than 300 milli-Newtons and a specific impulse greater than 1,500 sec; or that operate at an input power of more than 15kW; (12) Thrusters (e.g., spacecraft or rocket engines) using bi-propellants or mono-propellant that provide greater than 150 lbf (i.e.,667.23 N) vacuum thrust (MT for rocket motors or engines having a total impulse capacity equal to or greater than 8.41 × 10^5 newton seconds); (13) Control moment gyroscope (CMG) specially designed for spacecraft; (14) Space-qualified monolithic microwave integrated circuits (MMIC) that combine transmit and receive (T/R) functions on a single die as follows: (</w:t>
      </w:r>
      <w:proofErr w:type="spellStart"/>
      <w:r w:rsidRPr="007F5C3A">
        <w:rPr>
          <w:sz w:val="2"/>
          <w:szCs w:val="2"/>
        </w:rPr>
        <w:t>i</w:t>
      </w:r>
      <w:proofErr w:type="spellEnd"/>
      <w:r w:rsidRPr="007F5C3A">
        <w:rPr>
          <w:sz w:val="2"/>
          <w:szCs w:val="2"/>
        </w:rPr>
        <w:t xml:space="preserve">) Having a power amplifier with maximum saturated peak output power (in watts), </w:t>
      </w:r>
      <w:proofErr w:type="spellStart"/>
      <w:r w:rsidRPr="007F5C3A">
        <w:rPr>
          <w:sz w:val="2"/>
          <w:szCs w:val="2"/>
        </w:rPr>
        <w:t>Psat</w:t>
      </w:r>
      <w:proofErr w:type="spellEnd"/>
      <w:r w:rsidRPr="007F5C3A">
        <w:rPr>
          <w:sz w:val="2"/>
          <w:szCs w:val="2"/>
        </w:rPr>
        <w:t>, greater than 200 divided by the maximum operating frequency (in GHz) squared [</w:t>
      </w:r>
      <w:proofErr w:type="spellStart"/>
      <w:r w:rsidRPr="007F5C3A">
        <w:rPr>
          <w:sz w:val="2"/>
          <w:szCs w:val="2"/>
        </w:rPr>
        <w:t>Psat</w:t>
      </w:r>
      <w:proofErr w:type="spellEnd"/>
      <w:r w:rsidRPr="007F5C3A">
        <w:rPr>
          <w:sz w:val="2"/>
          <w:szCs w:val="2"/>
        </w:rPr>
        <w:t xml:space="preserve"> &gt;200 W*GHz2/fGHz2]; or (ii) Having a common path (e.g., phase shifter-digital attenuator) circuit with greater than 3 bits phase shifting at operating frequencies 10 GHz or below, or greater than 4 bits phase shifting at operating frequencies above 10 GHz; (15) Space-qualified oscillator for radar in paragraph (a) of this category with phase noise less than −120 </w:t>
      </w:r>
      <w:proofErr w:type="spellStart"/>
      <w:r w:rsidRPr="007F5C3A">
        <w:rPr>
          <w:sz w:val="2"/>
          <w:szCs w:val="2"/>
        </w:rPr>
        <w:t>dBc</w:t>
      </w:r>
      <w:proofErr w:type="spellEnd"/>
      <w:r w:rsidRPr="007F5C3A">
        <w:rPr>
          <w:sz w:val="2"/>
          <w:szCs w:val="2"/>
        </w:rPr>
        <w:t xml:space="preserve">/Hz + (20 log10(RF) (in GHz)) measured at 2 </w:t>
      </w:r>
      <w:proofErr w:type="spellStart"/>
      <w:r w:rsidRPr="007F5C3A">
        <w:rPr>
          <w:sz w:val="2"/>
          <w:szCs w:val="2"/>
        </w:rPr>
        <w:t>KHz</w:t>
      </w:r>
      <w:proofErr w:type="spellEnd"/>
      <w:r w:rsidRPr="007F5C3A">
        <w:rPr>
          <w:sz w:val="2"/>
          <w:szCs w:val="2"/>
        </w:rPr>
        <w:t xml:space="preserve">*RF (in GHz) from carrier; (16) Space-qualified star tracker or star sensor with angular accuracy less than or equal to 1 arcsec (1-Sigma) per star coordinate, and a tracking rate equal to or greater than 3.0 deg/sec, and specially designed parts and components therefor (MT); *(17) Primary, secondary, or hosted payload that performs any of the functions described in paragraph (a) of this category; Note 1 to paragraph (e)(17): Primary payload is that complement of equipment designed from the outset to accomplish the prime mission function of the spacecraft payload mission set. The primary payload may operate independently from the secondary payload(s). Secondary payload is that complement of equipment designed from the outset to be fully integrated into the spacecraft payload mission set. The secondary payload may operate separately from the primary payload. Hosted payload is a complement of equipment or sensors that uses the available or excess capacity (mass, volume, power, etc.) of a spacecraft to accommodate an additional, independent mission. The hosted payload may share the spacecraft bus support infrastructure. The hosted payload performs an additional, independent mission which does not dictate control or operation of the spacecraft. A hosted payload is not capable of operating as an independent spacecraft. Spacecraft bus (distinct from the spacecraft payload), provides the support infrastructure of the spacecraft (e.g., command and data handling, communications and antenna(s), electrical power, propulsion, thermal control, attitude and orbit control, guidance, navigation and control, structure and truss, life support (for crewed mission)) and location (e.g., attachment, interface) for the spacecraft payload. Spacecraft payload is that complement of equipment attached to the spacecraft bus that performs a particular mission in space (e.g., communications, observation, science). Note 2 to paragraph </w:t>
      </w:r>
      <w:proofErr w:type="gramStart"/>
      <w:r w:rsidRPr="007F5C3A">
        <w:rPr>
          <w:sz w:val="2"/>
          <w:szCs w:val="2"/>
        </w:rPr>
        <w:t>e)(</w:t>
      </w:r>
      <w:proofErr w:type="gramEnd"/>
      <w:r w:rsidRPr="007F5C3A">
        <w:rPr>
          <w:sz w:val="2"/>
          <w:szCs w:val="2"/>
        </w:rPr>
        <w:t>17): An ECCN 9A004 or ECCN 9A515.a spacecraft remains a spacecraft subject to the EAR even when incorporating a hosted payload performing a function described in paragraph (a) of this category. All spacecraft that incorporate primary or secondary payloads that perform a function described in paragraph (a) of this category are controlled by that paragraph. This paragraph does not control primary or secondary payloads of the James Webb Space Telescope, which are subject to the EAR. *(18) Secondary or hosted payload, and specially designed parts and components therefor, developed with Department of Defense-funding; Note 1 to paragraph (e)(18): This paragraph does not control payloads that are (a) determined to be subject to the EAR via a commodity jurisdiction determination (see §120.4 of this subchapter), or (b) identified in the relevant Department of Defense contract or other funding authorization or agreement as being developed for both military and either civil or commercial applications. Note 2 to paragraph (e)(18): This paragraph is applicable only to those contracts or funding authorizations or agreements that are dated May 13, 2015, or later. (19) Spacecraft heat shields or heat sinks specially designed for atmospheric entry or re-entry, and specially designed parts and components therefor (MT if usable in rockets, SLVs, missiles, drones, or UAVs capable of delivering a payload of at least 500 kg to a range of at least 300 km); Note to paragraph (e)(19): “Payload” is the total mass that can be carried or delivered by the specified rocket, SLV, missile, drone, or UAV that is not used to maintain flight. For definition of “range” as it pertains to aircraft systems, see note to paragraph (a) of USML Category VIII. For definition of “range” as it pertains to rocket systems, see note 1 to paragraph (a) of USML Category IV. (20) Equipment modules, stages, or compartments that incorporate propulsion systems described in paragraph (e) of this category or Category IV(d)(1)-(6) of this section, and can be separated or jettisoned from another spacecraft; or *(21) Any part, component, accessory, attachment, equipment, or system that: (</w:t>
      </w:r>
      <w:proofErr w:type="spellStart"/>
      <w:r w:rsidRPr="007F5C3A">
        <w:rPr>
          <w:sz w:val="2"/>
          <w:szCs w:val="2"/>
        </w:rPr>
        <w:t>i</w:t>
      </w:r>
      <w:proofErr w:type="spellEnd"/>
      <w:r w:rsidRPr="007F5C3A">
        <w:rPr>
          <w:sz w:val="2"/>
          <w:szCs w:val="2"/>
        </w:rPr>
        <w:t>) Is classified; (ii) Contains classified software; or (iii) Is being developed using classified information. Note to paragraph (e)(21): “Classified” means classified pursuant to Executive Order 13526, or predecessor order, and a security classification guide developed pursuant thereto or equivalent, or to the corresponding classification rules of another government or international organization. Note 1 to paragraph (e): Parts, components, accessories, attachments, equipment, or systems specially designed for spacecraft or other articles enumerated in this category but not listed in paragraph (e) are subject to the EAR. Note 2 to paragraph (e): The articles described in this paragraph are subject to the EAR when, prior to export, reexport, retransfer, or temporary import, they are integrated into and included as an integral part of an item subject to the EAR (see note 2 to paragraph (e)(17) of this category). Articles do not become subject to the EAR until integrated into the item subject to the EAR. Export, reexport, retransfer, or temporary import of, and technical data and defense services directly related to defense articles intended to be integrated remain subject to the ITAR. Note 3 to paragraph (e): For the purposes of this paragraph, an article is space-qualified if it is designed, manufactured, or qualified through successful testing, for operation at altitudes greater than 100 km above the surface of the Earth. The use of an altitude of 100 km above the surface of the Earth in this paragraph does not represent a legal demarcation between national air space and outer space under United States or international law. Note 4 to paragraph (e): (1) A determination that a specific article (or commodity) (e.g., by product serial number) is space-qualified by virtue of testing alone does not mean that other articles in the same production run or model series are space-qualified if not individually tested. (2) “Article” is synonymous with “commodity,” as defined in EAR §772.1. (3) A specific article not designed or manufactured for use at altitudes greater than 100 km above the surface of the Earth is not space-qualified before it is successfully tested. (4) The terms “designed” and “manufactured” in this definition are synonymous with “specially designed.” (f) Technical data (see §120.10 of this subchapter) and defense services (see §120.9 of this subchapter) directly related to the defense articles described in paragraphs (a) through (e) of this category and classified technical data directly related to items controlled in ECCNs 9A515, 9B515, or 9D515 and defense services using the classified technical data. Defense services include the furnishing of assistance (including training) to a foreign person in the integration of a satellite or spacecraft to a launch vehicle, including both planning and onsite support, regardless of the jurisdiction, ownership, or origin of the satellite or spacecraft, or whether technical data is used. It also includes the furnishing of assistance (including training) to a foreign person in the launch failure analysis of a satellite or spacecraft, regardless of the jurisdiction, ownership, or origin of the satellite of spacecraft, or whether technical data is used. (See §125.4 of this subchapter for exemptions, and §124.15 of this subchapter for special export controls for satellites and satellite launches.) (MT for technical data and defense services related to articles designated as such.) Note 1 to paragraph (f): The technical data control of this paragraph does not apply to certain technical data directly related to articles described in paragraphs (c) or (e) of this category when such articles are integrated into and included as an integral part of a satellite subject to the EAR. For controls in these circumstances, see ECCN 9E515. This only applies to that level of technical data (including marketing data) necessary and reasonable for a purchaser to have assurance that a U.S. built item intended to operate in space has been designed, manufactured, and tested in conformance with specified contract requirements (e.g., operational performance, reliability, lifetime, product quality, or delivery expectations) as well as data necessary for normal orbit satellite operations, to evaluate in-orbit anomalies, and to operate and maintain associated ground station equipment (except encryption hardware). Note 2 to paragraph (f): Activities and technology/technical data directly related to or required for the spaceflight (e.g., sub-orbital, orbital, lunar, interplanetary, or otherwise beyond Earth orbit) passenger or participant experience, regardless of whether the passenger or participant experience is for space tourism, scientific or commercial research, commercial manufacturing/production activities, educational, media, or commercial transportation purposes, are not subject to the ITAR or the EAR. Such activities and technology/technical data include those directly related to or required for: (a) Spacecraft access, ingress, and egress, including the operation of all spacecraft doors, hatches, and airlocks; (b) physiological training (e.g., human-rated centrifuge training or parabolic flights, pressure suit or spacesuit training/operation); (c) medical evaluation or assessment of the spaceflight passenger or participant; (d) training for and operation by the passenger or participant of health and safety related hardware (e.g., seating, environmental control and life support, hygiene facilities, food preparation, exercise equipment, fire suppression, communications equipment, safety-related clothing or headgear) or emergency procedures; (e) viewing of the interior and exterior of the spacecraft or terrestrial mock-ups; (f) observing spacecraft operations (e.g., pre-flight checks, landing, in-flight status); (g) training in spacecraft or terrestrial mock-ups for connecting to or operating passenger or participant equipment used for purposes other than operating the spacecraft; or (h) donning, wearing, or utilizing the passenger's or participant's flight suit, pressure suit, or spacesuit, and personal equipment. Note 3 to paragraph (f): Paragraph (f) and ECCNs 9E001, 9E002 and 9E515 do not control the data transmitted to or from a satellite or spacecraft, whether real or simulated, when limited to information about the health, operational status, or measurements or function of, or raw sensor output from, the spacecraft, spacecraft payload(s), or its associated subsystems or components. Such information is not within the scope of information captured within the definition of technology in the EAR for purposes of Category 9 Product Group E. Examples of such information, which are commonly referred to as “housekeeping data,” include (</w:t>
      </w:r>
      <w:proofErr w:type="spellStart"/>
      <w:r w:rsidRPr="007F5C3A">
        <w:rPr>
          <w:sz w:val="2"/>
          <w:szCs w:val="2"/>
        </w:rPr>
        <w:t>i</w:t>
      </w:r>
      <w:proofErr w:type="spellEnd"/>
      <w:r w:rsidRPr="007F5C3A">
        <w:rPr>
          <w:sz w:val="2"/>
          <w:szCs w:val="2"/>
        </w:rPr>
        <w:t>) system, hardware, component configuration, and operation status information pertaining to temperatures, pressures, power, currents, voltages, and battery charges; (ii) spacecraft or payload orientation or position information, such as state vector or ephemeris information; (iii) payload raw mission or science output, such as images, spectra, particle measurements, or field measurements; (iv) command responses; (v) accurate timing information; and (vi) link budget data. The act of processing such telemetry data—i.e., converting raw data into engineering units or readable products—or encrypting it does not, in and of itself, cause the telemetry data to become subject to the ITAR or to ECCN 9E515 for purposes of 9A515, or to ECCNs 9E001 or 9E002 for purposes of 9A004. All classified technical data directly related to items controlled in USML Category XV or ECCNs 9A515, and defense services using the classified technical data, remains subject to the ITAR. This note does not affect controls in USML XV(f), ECCN 9D515, or ECCN 9E515 on software source code or commands that control a spacecraft, payload, or associated subsystems for purposes of 9A515. This note also does not affect controls in ECCNs 9D001, 9D002, 9E001, or 9E002 on software source code or commands that control a spacecraft, payload, or associated subsystems for purposes of 9A004. (g)-(w) [Reserved] (x) Commodities, software, and technology subject to the EAR (see §120.42 of this subchapter) used in or with defense articles. Note to paragraph (x): Use of this paragraph is limited to license applications for defense articles where the purchase documentation also includes commodities, software, or technology subject to the EAR (see §123.21(b) of this subchapter). Category XVI—Nuclear Weapons Related Articles (a) [Reserved] *(b) Modeling or simulation tools that model or simulate the environments generated by nuclear detonations or the effects of these environments on systems, subsystems, components, structures, or humans. (c) [Reserved] (d) Parts, components, accessories, attachments, associated equipment, and production, testing, and inspection equipment and tooling, specially designed for the articles in paragraph (b) of this category. (e) Technical data (see §120.10 of this subchapter) and defense services (see §120.9 of this subchapter) directly related to the defense articles described in paragraph (b) of this category. (See §123.20 of this subchapter for nuclear related controls.) (f)-(w) [Reserved] (x) Commodities, software, and technical data subject to the EAR (see §120.42 of this subchapter) used in or with defense articles. Note to paragraph (x): Use of this paragraph is limited to license applications for defense articles where the purchase documentation includes commodities, software, or technical data subject to the EAR (see §123.1(b) of this subchapter). Category XVII—Classified Articles, Technical Data, and Defense Services Not Otherwise Enumerated *(a) All articles, and technical data (see §120.10 of this subchapter) and defense services (see §120.9 of this subchapter) relating thereto, that are classified in the interests of national security and that are not otherwise enumerated on the U.S. Munitions List. Category XVIII—Directed Energy Weapons *(a) Directed energy weapons as follows: (1) Systems or equipment that, other than as a result of incidental, accidental, or collateral effect: (</w:t>
      </w:r>
      <w:proofErr w:type="spellStart"/>
      <w:r w:rsidRPr="007F5C3A">
        <w:rPr>
          <w:sz w:val="2"/>
          <w:szCs w:val="2"/>
        </w:rPr>
        <w:t>i</w:t>
      </w:r>
      <w:proofErr w:type="spellEnd"/>
      <w:r w:rsidRPr="007F5C3A">
        <w:rPr>
          <w:sz w:val="2"/>
          <w:szCs w:val="2"/>
        </w:rPr>
        <w:t xml:space="preserve">) Degrade, destroy or cause mission-abort of a target; (ii) Disturb, disable, or damage electronic circuitry, sensors or explosive devices remotely; (iii) Deny area access; (iv) Cause lethal effects; or (v) Cause ocular disruption or blindness; and (2) Use any non-acoustic technique such as lasers (including continuous wave or pulsed lasers), particle beams, particle accelerators that project a charged or neutral particle beam, high power radio-frequency (RF), or high pulsed power or high average power radio frequency beam transmitters. *(b) Systems or equipment specially designed to detect, identify, or provide defense against articles specified in paragraph (a) of this category. (c)-(d) [Reserved] (e) Components, parts, accessories, attachments, systems or associated equipment specially designed for any of the articles in paragraphs (a) or (b) of this category. (f) Developmental directed energy weapons funded by the Department of Defense via contract or other funding authorization, and specially designed parts and components therefor; Note 1 to paragraph (f): This paragraph does not control directed energy weapons (a) in production, (b) determined to be subject to the EAR via a commodity jurisdiction determination (see §120.4 of this subchapter), or (c) identified in the relevant Department of Defense contract or other funding authorization as being developed for both civil and military applications. Note 2 to paragraph (f): Note 1 does not apply to defense articles enumerated on the USML, whether in production or development. Note 3 to paragraph (f): This paragraph is applicable only to those contracts and funding authorizations that are dated July 28, 2017, or later. (g) Technical data (see §120.10 of this subchapter) and defense services (as defined in §120.9 of this subchapter) directly related to the defense articles enumerated in paragraphs (a) through (e) of this category; (x) Commodities, software, and technology subject to the EAR (see §120.42 of this subchapter) used in or with defense articles controlled in this category. Note to paragraph (x): Use of this paragraph is limited to license applications for defense articles controlled in this category where the purchase documentation includes commodities, software, or technology subject to the EAR (see §123.1(b) of this subchapter). Category XIX—Gas Turbine Engines and Associated Equipment *(a) Turbofan and Turbojet engines (including those that are technology demonstrators, developmental engines, or variable cycle engines) capable of 15,000 lbf (66.7 </w:t>
      </w:r>
      <w:proofErr w:type="spellStart"/>
      <w:r w:rsidRPr="007F5C3A">
        <w:rPr>
          <w:sz w:val="2"/>
          <w:szCs w:val="2"/>
        </w:rPr>
        <w:t>kN</w:t>
      </w:r>
      <w:proofErr w:type="spellEnd"/>
      <w:r w:rsidRPr="007F5C3A">
        <w:rPr>
          <w:sz w:val="2"/>
          <w:szCs w:val="2"/>
        </w:rPr>
        <w:t xml:space="preserve">) of thrust or greater that have any of the following: (1) With or specially designed for thrust augmentation (afterburner); (2) Thrust or exhaust nozzle vectoring; (3) Parts or components controlled in paragraph (f)(6) of this category; (4) Specially designed for sustained 30 second inverted flight or negative g maneuver; or (5) Specially designed for high power extraction (greater than 50 percent of engine thrust at altitude) at altitudes greater than 50,000 feet. *(b) Turboshaft and Turboprop engines (including those that are technology demonstrators or developmental engines) that have any of the following: (1) Capable of 2000 mechanical </w:t>
      </w:r>
      <w:proofErr w:type="spellStart"/>
      <w:r w:rsidRPr="007F5C3A">
        <w:rPr>
          <w:sz w:val="2"/>
          <w:szCs w:val="2"/>
        </w:rPr>
        <w:t>shp</w:t>
      </w:r>
      <w:proofErr w:type="spellEnd"/>
      <w:r w:rsidRPr="007F5C3A">
        <w:rPr>
          <w:sz w:val="2"/>
          <w:szCs w:val="2"/>
        </w:rPr>
        <w:t xml:space="preserve"> (1491 kW) or greater and specially designed with oil sump sealing when the engine is in the vertical position; or (2) Capable of a specific power of 225 </w:t>
      </w:r>
      <w:proofErr w:type="spellStart"/>
      <w:r w:rsidRPr="007F5C3A">
        <w:rPr>
          <w:sz w:val="2"/>
          <w:szCs w:val="2"/>
        </w:rPr>
        <w:t>shp</w:t>
      </w:r>
      <w:proofErr w:type="spellEnd"/>
      <w:r w:rsidRPr="007F5C3A">
        <w:rPr>
          <w:sz w:val="2"/>
          <w:szCs w:val="2"/>
        </w:rPr>
        <w:t>/(</w:t>
      </w:r>
      <w:proofErr w:type="spellStart"/>
      <w:r w:rsidRPr="007F5C3A">
        <w:rPr>
          <w:sz w:val="2"/>
          <w:szCs w:val="2"/>
        </w:rPr>
        <w:t>lbm</w:t>
      </w:r>
      <w:proofErr w:type="spellEnd"/>
      <w:r w:rsidRPr="007F5C3A">
        <w:rPr>
          <w:sz w:val="2"/>
          <w:szCs w:val="2"/>
        </w:rPr>
        <w:t>/sec) or greater and specially designed for armament gas ingestion and non-civil transient maneuvers, where specific power is defined as maximum takeoff shaft horsepower (</w:t>
      </w:r>
      <w:proofErr w:type="spellStart"/>
      <w:r w:rsidRPr="007F5C3A">
        <w:rPr>
          <w:sz w:val="2"/>
          <w:szCs w:val="2"/>
        </w:rPr>
        <w:t>shp</w:t>
      </w:r>
      <w:proofErr w:type="spellEnd"/>
      <w:r w:rsidRPr="007F5C3A">
        <w:rPr>
          <w:sz w:val="2"/>
          <w:szCs w:val="2"/>
        </w:rPr>
        <w:t>) divided by compressor inlet flow (</w:t>
      </w:r>
      <w:proofErr w:type="spellStart"/>
      <w:r w:rsidRPr="007F5C3A">
        <w:rPr>
          <w:sz w:val="2"/>
          <w:szCs w:val="2"/>
        </w:rPr>
        <w:t>lbm</w:t>
      </w:r>
      <w:proofErr w:type="spellEnd"/>
      <w:r w:rsidRPr="007F5C3A">
        <w:rPr>
          <w:sz w:val="2"/>
          <w:szCs w:val="2"/>
        </w:rPr>
        <w:t>/sec). *(c) Gas turbine engines (including technology demonstrators, developmental engines, and variable cycle engines) specially designed for unmanned aerial vehicle systems controlled in this subchapter, cruise missiles, or target drones (MT if for an engine used in an aircraft, excluding manned aircraft, or missile that has a “range” equal to or greater than 300 km). *(d) GE38, AGT1500, CTS800, MT7, T55, HPW3000, GE3000, T408, and T700 engines. Note to paragraph (d): Engines subject to the control of this paragraph are licensed by the Department of Commerce when incorporated in an aircraft subject to the EAR and controlled under ECCN 9A610. Such engines are subject to the controls of the ITAR in all other circumstances. *(e) Digital engine control systems (e.g., Full Authority Digital Engine Controls (FADEC) and Digital Electronic Engine Controls (DEEC)) specially designed for gas turbine engines controlled in this category (MT if the digital engine control system is for an aircraft, excluding manned aircraft, or missile that has a range equal to or greater than 300 km). Note to paragraph (e): Digital electronic control systems autonomously control the engine throughout its whole operating range from demanded engine start until demanded engine shut-down, in both normal and fault conditions. (f) Parts, components, accessories, attachments, associated equipment, and systems as follows: (1) Parts, components, accessories, and attachments specially designed for the following U.S.-origin engines (and military variants thereof): F101, F107, F112, F118, F119, F120, F135, F136, F414, F415, and J402; Note to paragraph (f)(1): This paragraph does not control parts, components, accessories, and attachments that are common to engines enumerated in paragraph (a) through (d) of this category but not identified in paragraph (f)(1), and those identified in paragraph (f)(1). For example, a part common to only the F110 and F136 is not specially designed for purposes of this paragraph. A part common to only the F119 and F135—two engine models identified in paragraph (f)(1)—is specially designed for purposes of this paragraph, unless one of the other paragraphs is applicable under §120.41(b). *(2) Hot section components (i.e., combustion chambers and liners; high pressure turbine blades, vanes, disks and related cooled structure; cooled intermediate pressure turbine blades, vanes, disks and related cooled structures; cooled low pressure turbine blades, vanes, disks and related cooled structures; cooled shaft-driving power turbine blades, vanes, disks and related cooled structures; cooled augmenters; and cooled nozzles) specially designed for gas turbine engines controlled in this category; (3) Uncooled turbine blades, vanes, disks, and tip shrouds specially designed for gas turbine engines controlled in this category; (4) Combustor cowls, diffusers, domes, and shells specially designed for gas turbine engines controlled in this category; (5) Engine monitoring systems (i.e., prognostics, diagnostics, and health) specially designed for gas turbine engines and components controlled in this category; *(6) Any part, component, accessory, attachment, equipment, or system that: (</w:t>
      </w:r>
      <w:proofErr w:type="spellStart"/>
      <w:r w:rsidRPr="007F5C3A">
        <w:rPr>
          <w:sz w:val="2"/>
          <w:szCs w:val="2"/>
        </w:rPr>
        <w:t>i</w:t>
      </w:r>
      <w:proofErr w:type="spellEnd"/>
      <w:r w:rsidRPr="007F5C3A">
        <w:rPr>
          <w:sz w:val="2"/>
          <w:szCs w:val="2"/>
        </w:rPr>
        <w:t xml:space="preserve">) Is classified; (ii) Contains classified software directly related to defense articles in this subchapter or 600 series items subject to the EAR; or (iii) Is being developed using classified information. Note to paragraph (f)(6): “Classified” means classified pursuant to Executive Order 13526, or predecessor order, and a security classification guide developed pursuant thereto or equivalent, or to the corresponding classification rules of another government or international organization; (7) Investment casting cores, core dies, or wax pattern dies for parts or components enumerated in paragraphs (f)(1), (f)(2), or (f)(3) of this category; (8) Pressure gain combustors specially designed for engines controlled in this category, and specially designed parts and components therefor; (9) Three-stream fan systems, specially designed for gas turbine engines controlled in this Category, that allow the movement of airflow between the streams to control fan pressure ratio or bypass ratio (by means other than use of fan corrected speed or the primary nozzle area to change the fan pressure ratio or bypass ratio), and specially designed parts, components, accessories, and attachments therefor; (10) High pressure compressors, specially designed for gas turbine engines controlled in this Category, with core-driven bypass streams that have a pressure ratio greater than one, occurring across any section of the bypass duct, and specially designed parts, components, accessories, and attachments therefor; (11) Intermediate compressors of a three-spool compression system, specially designed for gas turbine engines controlled in this Category, with an intermediate spool-driven bypass stream that has a pressure ratio greater than one, occurring across any section of the bypass duct, and specially designed parts, components, accessories, and attachments therefor; or (12) Any of the following equipment if specially designed for a defense article described in paragraph (f)(1): Jigs, locating fixtures, templates, gauges, molds, dies, caul plates, or </w:t>
      </w:r>
      <w:proofErr w:type="spellStart"/>
      <w:r w:rsidRPr="007F5C3A">
        <w:rPr>
          <w:sz w:val="2"/>
          <w:szCs w:val="2"/>
        </w:rPr>
        <w:t>bellmouths</w:t>
      </w:r>
      <w:proofErr w:type="spellEnd"/>
      <w:r w:rsidRPr="007F5C3A">
        <w:rPr>
          <w:sz w:val="2"/>
          <w:szCs w:val="2"/>
        </w:rPr>
        <w:t>. (g) Technical data (see §120.10 of this subchapter) and defense services (see §120.9 of this subchapter) directly related to the defense articles described in paragraphs (a) through (f) of this category and classified technical data directly related to items controlled in ECCNs 9A619, 9B619, 9C619, and 9D619 and defense services using the classified technical data. (See §125.4 of this subchapter for exemptions.) (MT for technical data and defense services related to articles designated as such.) (h)-(w) [Reserved] (x) Commodities, software, and technology subject to the EAR (see §120.42 of this subchapter) used in or with defense articles controlled in this category. Note to paragraph (x): Use of this paragraph is limited to license applications for defense articles controlled in this category where the purchase documentation includes commodities, software, or technology subject to the EAR (see §123.1(b) of this subchapter). Category XX—Submersible Vessels and Related Articles (a) Submersible and semi-submersible vessels that are: *(1) Submarines specially designed for military use; (2) Mine countermeasure vehicles; (3) Anti-submarine warfare vehicles; (4) Armed or are specially designed to be used as a platform to deliver munitions or otherwise destroy or incapacitate targets (e.g., firing torpedoes, launching rockets, firing missiles, deploying mines, deploying countermeasures) or deploy military payloads; (5) Swimmer delivery vehicles specially designed for the deployment, recovery, or support of swimmers or divers from submarines; (6) Integrated with nuclear propulsion systems; (7) Equipped with any mission systems controlled under this subchapter; or Note to paragraph (a)(7): “Mission system” is defined as a “system” (see §120.45(g) of this subchapter) that are defense articles that perform specific military functions such as by providing military communication, electronic warfare, target designation, surveillance, target detection, or sensor capabilities. (8) Developmental vessels funded by the Department of Defense via contract or other funding authorization. Note 1 to paragraph (a)(8): This paragraph does not control vessels, and specially designed parts, components, accessories, attachments, and associated equipment therefor, (a) in production, (b) determined to be subject to the EAR via a commodity jurisdiction determination (see §120.4 of this subchapter) or (c) identified in the relevant Department of Defense contract or other funding authorization as being developed for both civil and military applications. Note 2 to paragraph (a)(8): Note 1 does not apply to defense articles enumerated on the U.S. Munitions List, whether in production or development. Note 3 to paragraph (a)(8): This provision is applicable to those contracts and funding authorizations that are dated July 8, 2014, or later. *(b) Engines, electric motors, and propulsion plants as follows: (1) Naval nuclear propulsion plants and prototypes, and special facilities for construction, support, and maintenance therefor (see §123.20 of this subchapter); (2) Electric motors specially designed for submarines that have the following: (</w:t>
      </w:r>
      <w:proofErr w:type="spellStart"/>
      <w:r w:rsidRPr="007F5C3A">
        <w:rPr>
          <w:sz w:val="2"/>
          <w:szCs w:val="2"/>
        </w:rPr>
        <w:t>i</w:t>
      </w:r>
      <w:proofErr w:type="spellEnd"/>
      <w:r w:rsidRPr="007F5C3A">
        <w:rPr>
          <w:sz w:val="2"/>
          <w:szCs w:val="2"/>
        </w:rPr>
        <w:t>) Power output of more than 0.75 MW (1,000 hp); (ii) Quick reversing; (iii) Liquid cooled; and (iv) Totally enclosed. (c) Parts, components, accessories, attachments, and associated equipment, including production, testing, and inspection equipment and tooling, specially designed for any of the articles in paragraphs (a) and (b) of this category (MT for launcher mechanisms specially designed for rockets, space launch vehicles, or missiles capable of achieving a range greater than or equal to 300 km). Note to paragraph (c): “Range” is the maximum distance that the specified rocket system is capable of traveling in the mode of stable flight as measured by the projection of its trajectory over the surface of the Earth. The maximum capability based on the design characteristics of the system, when fully loaded with fuel or propellant, will be taken into consideration in determining range. The range for rocket systems will be determined independently of any external factors such as operational restrictions, limitations imposed by telemetry, data links, or other external constraints. For rocket systems, the range will be determined using the trajectory that maximizes range, assuming International Civil Aviation Organization (ICAO) standard atmosphere with zero wind. (d) Technical data (see §120.10 of this subchapter) and defense services (see §120.9 of this subchapter) directly related to the defense articles described in paragraphs (a) through (c) of this category. (MT for technical data and defense services related to articles designated as such.) (See §125.4 of this subchapter for exemptions.) (e)-(w) [Reserved] (x) Commodities, software, and technical data subject to the EAR (see §120.42 of this subchapter) used in or with defense articles. Note to paragraph (x): Use of this paragraph is limited to license applications for defense articles where the purchase documentation includes commodities, software, or technical data subject to the EAR (see §123.1(b) of this subchapter). Category XXI—Articles, Technical Data, and Defense Services Not Otherwise Enumerated *(a) Any article not enumerated on the U.S. Munitions List may be included in this category until such time as the appropriate U.S. Munitions List category is amended. The decision on whether any article may be included in this category, and the designation of the defense article as not Significant Military Equipment (see §120.7 of this subchapter), shall be made by the Director, Office of Defense Trade Controls Policy. (b) Technical data (see §120.10 of this subchapter) and defense services (see §120.9 of this subchapter) directly related to the defense articles covered in paragraph (a) of this category. [58 FR 39287, July 22, 1993] Editorial Notes: 1. For Federal Register citations affecting §121.1, see the List of CFR Sections Affected, which appears in the Finding Aids section of the printed volume and at www.govinfo.gov. 2 At 79 FR 61228, Oct. 10, 2014, §121.1 was amended by removing the word “enumerated” and adding in its place the word “described” in one place in Note 1 to paragraph (</w:t>
      </w:r>
      <w:proofErr w:type="spellStart"/>
      <w:r w:rsidRPr="007F5C3A">
        <w:rPr>
          <w:sz w:val="2"/>
          <w:szCs w:val="2"/>
        </w:rPr>
        <w:t>i</w:t>
      </w:r>
      <w:proofErr w:type="spellEnd"/>
      <w:r w:rsidRPr="007F5C3A">
        <w:rPr>
          <w:sz w:val="2"/>
          <w:szCs w:val="2"/>
        </w:rPr>
        <w:t xml:space="preserve">) of Category VI; however, the amendment could not be incorporated because of inaccurate amendatory instruction. </w:t>
      </w:r>
      <w:hyperlink r:id="rId40" w:anchor="_top" w:history="1">
        <w:r w:rsidRPr="007F5C3A">
          <w:rPr>
            <w:rStyle w:val="Hyperlink"/>
            <w:sz w:val="2"/>
            <w:szCs w:val="2"/>
          </w:rPr>
          <w:t xml:space="preserve"> Back to Top</w:t>
        </w:r>
      </w:hyperlink>
      <w:r w:rsidRPr="007F5C3A">
        <w:rPr>
          <w:sz w:val="2"/>
          <w:szCs w:val="2"/>
        </w:rPr>
        <w:t xml:space="preserve"> </w:t>
      </w:r>
      <w:bookmarkStart w:id="0" w:name="se22.1.121_12_6121_115"/>
      <w:bookmarkEnd w:id="0"/>
      <w:r w:rsidRPr="007F5C3A">
        <w:rPr>
          <w:sz w:val="2"/>
          <w:szCs w:val="2"/>
        </w:rPr>
        <w:t xml:space="preserve">§§121.2-121.15 [Reserved] </w:t>
      </w:r>
      <w:hyperlink r:id="rId41" w:anchor="_top" w:history="1">
        <w:r w:rsidRPr="007F5C3A">
          <w:rPr>
            <w:rStyle w:val="Hyperlink"/>
            <w:sz w:val="2"/>
            <w:szCs w:val="2"/>
          </w:rPr>
          <w:t xml:space="preserve"> Back to Top</w:t>
        </w:r>
      </w:hyperlink>
      <w:r w:rsidRPr="007F5C3A">
        <w:rPr>
          <w:sz w:val="2"/>
          <w:szCs w:val="2"/>
        </w:rPr>
        <w:t xml:space="preserve"> </w:t>
      </w:r>
      <w:bookmarkStart w:id="1" w:name="se22.1.121_116"/>
      <w:bookmarkEnd w:id="1"/>
      <w:r w:rsidRPr="007F5C3A">
        <w:rPr>
          <w:sz w:val="2"/>
          <w:szCs w:val="2"/>
        </w:rPr>
        <w:t xml:space="preserve">§121.16 Missile Technology Control Regime Annex. Some of the items on the Missile Technology Control Regime Annex are controlled by both the Department of Commerce on the Commodity Control List and by the Department of State on the United States Munitions List. To the extent an article is on the United States Munitions List, a reference appears in parentheses listing the U.S. Munitions List category in which it appears. The following items constitute all items on the Missile Technology Control Regime Annex which are covered by the U.S. Munitions List: Item 1—Category I Complete rocket systems (including ballistic missile systems, space launch vehicles, and sounding rockets (see §121.1, Cat. IV(a) and (b))) and unmanned air vehicle systems (including cruise missile systems, see §121.1, Cat. VIII (a), target drones and reconnaissance drones (see §121.1, Cat. VIII (a))) capable of delivering at least a 500 kg payload to a range of at least 300 km. Item 2—Category I Complete subsystems usable in the systems in Item 1 as follows: (a) Individual rocket stages (see §121.1, Cat. IV(h)); (b) Reentry vehicles (see §121.1, Cat. IV(g)), and equipment designed or modified therefor, as follows, except as provided in Note (1) below for those designed for non-weapon payloads; (1) Heat shields and components thereof fabricated of ceramic or ablative materials (see §121.1, Cat. IV(f)); (2) Heat sinks and components thereof fabricated of light-weight, high heat capacity materials; (3) Electronic equipment specially designed for reentry vehicles (see §121.1, Cat. XI(a)(7)); (c) Solid or liquid propellant rocket engines, having a total impulse capacity of 1.1 × 10 N-sec (2.5 × 10 </w:t>
      </w:r>
      <w:proofErr w:type="spellStart"/>
      <w:r w:rsidRPr="007F5C3A">
        <w:rPr>
          <w:sz w:val="2"/>
          <w:szCs w:val="2"/>
        </w:rPr>
        <w:t>lb</w:t>
      </w:r>
      <w:proofErr w:type="spellEnd"/>
      <w:r w:rsidRPr="007F5C3A">
        <w:rPr>
          <w:sz w:val="2"/>
          <w:szCs w:val="2"/>
        </w:rPr>
        <w:t xml:space="preserve">-sec) or greater (see §121.1, Cat. IV, (h)). (d) “Guidance sets” capable of achieving system accuracy of 3.33 percent or less of the range (e.g., a CEP of 1 </w:t>
      </w:r>
      <w:proofErr w:type="gramStart"/>
      <w:r w:rsidRPr="007F5C3A">
        <w:rPr>
          <w:sz w:val="2"/>
          <w:szCs w:val="2"/>
        </w:rPr>
        <w:t>j,.</w:t>
      </w:r>
      <w:proofErr w:type="gramEnd"/>
      <w:r w:rsidRPr="007F5C3A">
        <w:rPr>
          <w:sz w:val="2"/>
          <w:szCs w:val="2"/>
        </w:rPr>
        <w:t xml:space="preserve"> or less at a range of 300 km), except as provided in Note (1) below for those designed for missiles with a range under 300 km or manned aircraft (see §121.1, Cat. XII(d)); (e) Thrust vector control sub-systems, except as provided in Note (1) below for those designed for rocket systems that do not exceed the range/payload capability of Item 1 (see §121.1, Cat. IV); (f) Warhead </w:t>
      </w:r>
      <w:proofErr w:type="spellStart"/>
      <w:r w:rsidRPr="007F5C3A">
        <w:rPr>
          <w:sz w:val="2"/>
          <w:szCs w:val="2"/>
        </w:rPr>
        <w:t>safing</w:t>
      </w:r>
      <w:proofErr w:type="spellEnd"/>
      <w:r w:rsidRPr="007F5C3A">
        <w:rPr>
          <w:sz w:val="2"/>
          <w:szCs w:val="2"/>
        </w:rPr>
        <w:t xml:space="preserve">, arming, </w:t>
      </w:r>
      <w:proofErr w:type="spellStart"/>
      <w:r w:rsidRPr="007F5C3A">
        <w:rPr>
          <w:sz w:val="2"/>
          <w:szCs w:val="2"/>
        </w:rPr>
        <w:t>fuzing</w:t>
      </w:r>
      <w:proofErr w:type="spellEnd"/>
      <w:r w:rsidRPr="007F5C3A">
        <w:rPr>
          <w:sz w:val="2"/>
          <w:szCs w:val="2"/>
        </w:rPr>
        <w:t xml:space="preserve">, and firing mechanisms, except as provided in Note (1) below for those designed for systems other than those in Item 1 (see §121.1, Cat. IV(h)). Notes to Item 2 (1) The exceptions in (b), (d), (e), and (f) above may be treated as Category II if the subsystem is exported subject to end use statements and quantity limits appropriate for the excepted end use stated above. (2) CEP (circle of equal probability) is a measure of </w:t>
      </w:r>
      <w:proofErr w:type="gramStart"/>
      <w:r w:rsidRPr="007F5C3A">
        <w:rPr>
          <w:sz w:val="2"/>
          <w:szCs w:val="2"/>
        </w:rPr>
        <w:t>accuracy, and</w:t>
      </w:r>
      <w:proofErr w:type="gramEnd"/>
      <w:r w:rsidRPr="007F5C3A">
        <w:rPr>
          <w:sz w:val="2"/>
          <w:szCs w:val="2"/>
        </w:rPr>
        <w:t xml:space="preserve"> defined as the radius of the circle centered at the target, at a specific range, in which 50 percent of the payloads impact. (3) A “guidance set” integrates the process of measuring and computing a vehicle's position and velocity (i.e., navigation) with that of computing and sending commands to the vehicle's flight control systems to correct the trajectory. (4) Examples of methods of achieving thrust vector control which are covered by (e) include: (</w:t>
      </w:r>
      <w:proofErr w:type="spellStart"/>
      <w:r w:rsidRPr="007F5C3A">
        <w:rPr>
          <w:sz w:val="2"/>
          <w:szCs w:val="2"/>
        </w:rPr>
        <w:t>i</w:t>
      </w:r>
      <w:proofErr w:type="spellEnd"/>
      <w:r w:rsidRPr="007F5C3A">
        <w:rPr>
          <w:sz w:val="2"/>
          <w:szCs w:val="2"/>
        </w:rPr>
        <w:t xml:space="preserve">) Flexible nozzle; (ii) Fluid or secondary gas injection; (iii) Movable engine or nozzle; Deflection of exhaust gas stream (jet vanes or probes); or (v) Use of thrust tabs. Item 3—Category II Propulsion components and equipment usable in the systems in Item 1, as follows: (a) Lightweight turbojet and turbofan engines (including) </w:t>
      </w:r>
      <w:proofErr w:type="spellStart"/>
      <w:r w:rsidRPr="007F5C3A">
        <w:rPr>
          <w:sz w:val="2"/>
          <w:szCs w:val="2"/>
        </w:rPr>
        <w:t>turbocompound</w:t>
      </w:r>
      <w:proofErr w:type="spellEnd"/>
      <w:r w:rsidRPr="007F5C3A">
        <w:rPr>
          <w:sz w:val="2"/>
          <w:szCs w:val="2"/>
        </w:rPr>
        <w:t xml:space="preserve"> engines) that are small and fuel efficient (see §121.1, both Cat. IV(h) and VIII(b)); (b) Ramjet/Scramjet/pulse jet/combined cycle engines, including devices to regulate combustion, and specially designed components therefor (see §121.1, both Cat. IV(h) and Cat. VIII(b)); (c) Rocket motor cases, “interior lining”, “insulation” and nozzles therefor (see §121.1, Cat. IV(h) and Cat. V(c)); (d) Staging mechanisms, separation mechanisms, and </w:t>
      </w:r>
      <w:proofErr w:type="spellStart"/>
      <w:r w:rsidRPr="007F5C3A">
        <w:rPr>
          <w:sz w:val="2"/>
          <w:szCs w:val="2"/>
        </w:rPr>
        <w:t>interstages</w:t>
      </w:r>
      <w:proofErr w:type="spellEnd"/>
      <w:r w:rsidRPr="007F5C3A">
        <w:rPr>
          <w:sz w:val="2"/>
          <w:szCs w:val="2"/>
        </w:rPr>
        <w:t xml:space="preserve"> therefor (see §121.1, Cat. IV(c) and (h)); (e) Liquid and slurry propellant (including oxidizers) control systems, and specially designed components therefor, designed or modified to operate in vibration environments of more than 100 g RMS between 20 Hz and,000 Hz (see §121.1, Cat. IV(c) and (h)); (f) Hybrid rocket motors and specially designed components therefor (see §121.1, Cat. IV(h)). Notes to Item 3 (1) Item 3(a) engines may be exported as part of a manned aircraft or in quantities appropriate for replacement parts for manned aircraft. (2) In Item 3(C), “interior lining” suited for the bond interface between the solid propellant and the case or insulating liner is usually a liquid polymer based dispersion of refractory or insulating materials, e.g., carbon filled HTPB or other polymer with added curing agents to be sprayed or </w:t>
      </w:r>
      <w:proofErr w:type="spellStart"/>
      <w:r w:rsidRPr="007F5C3A">
        <w:rPr>
          <w:sz w:val="2"/>
          <w:szCs w:val="2"/>
        </w:rPr>
        <w:t>screeded</w:t>
      </w:r>
      <w:proofErr w:type="spellEnd"/>
      <w:r w:rsidRPr="007F5C3A">
        <w:rPr>
          <w:sz w:val="2"/>
          <w:szCs w:val="2"/>
        </w:rPr>
        <w:t xml:space="preserve"> over a case interior (see §121.1, Cat. V(c)). (3) In Item 3(c), “insulation” intended to be applied to the components of a rocket motor, i.e., the case, nozzle inlets, case closures, includes cured or semi-cured compounded rubber sheet stock containing an insulating or refractory material. It may also be incorporated as stress relief boots or flaps. (4) The only servo valves and pumps covered in (e) above, are the following: (</w:t>
      </w:r>
      <w:proofErr w:type="spellStart"/>
      <w:r w:rsidRPr="007F5C3A">
        <w:rPr>
          <w:sz w:val="2"/>
          <w:szCs w:val="2"/>
        </w:rPr>
        <w:t>i</w:t>
      </w:r>
      <w:proofErr w:type="spellEnd"/>
      <w:r w:rsidRPr="007F5C3A">
        <w:rPr>
          <w:sz w:val="2"/>
          <w:szCs w:val="2"/>
        </w:rPr>
        <w:t xml:space="preserve">) Servo valves designed for flow rates of 24 liters per minute or greater, at an absolute pressure of 7,000 kPa (1,000 psi) or greater, that have an actuator response time of less than 100 </w:t>
      </w:r>
      <w:proofErr w:type="spellStart"/>
      <w:r w:rsidRPr="007F5C3A">
        <w:rPr>
          <w:sz w:val="2"/>
          <w:szCs w:val="2"/>
        </w:rPr>
        <w:t>msec</w:t>
      </w:r>
      <w:proofErr w:type="spellEnd"/>
      <w:r w:rsidRPr="007F5C3A">
        <w:rPr>
          <w:sz w:val="2"/>
          <w:szCs w:val="2"/>
        </w:rPr>
        <w:t xml:space="preserve">; (ii) Pumps, for liquid propellants, with shaft speeds equal to or greater than 8,000 RPM or with discharge pressures equal to or greater than 7,000 kPa (1,000 psi). (5) Item 3(e) systems and components may be exports as part of a satellite. Item 4—Category II Propellants and constituent chemicals for propellants as follows: (a) Propulsive substances: (1) Hydrazine with a concentration of more than 70 percent and its derivatives including </w:t>
      </w:r>
      <w:proofErr w:type="spellStart"/>
      <w:r w:rsidRPr="007F5C3A">
        <w:rPr>
          <w:sz w:val="2"/>
          <w:szCs w:val="2"/>
        </w:rPr>
        <w:t>monomethylhydrazine</w:t>
      </w:r>
      <w:proofErr w:type="spellEnd"/>
      <w:r w:rsidRPr="007F5C3A">
        <w:rPr>
          <w:sz w:val="2"/>
          <w:szCs w:val="2"/>
        </w:rPr>
        <w:t xml:space="preserve"> (MMH); (2) </w:t>
      </w:r>
      <w:proofErr w:type="spellStart"/>
      <w:r w:rsidRPr="007F5C3A">
        <w:rPr>
          <w:sz w:val="2"/>
          <w:szCs w:val="2"/>
        </w:rPr>
        <w:t>Unsymmetric</w:t>
      </w:r>
      <w:proofErr w:type="spellEnd"/>
      <w:r w:rsidRPr="007F5C3A">
        <w:rPr>
          <w:sz w:val="2"/>
          <w:szCs w:val="2"/>
        </w:rPr>
        <w:t xml:space="preserve"> dimethylhydrazine (UDHM); (3) Ammonium perchlorate; (4) </w:t>
      </w:r>
      <w:proofErr w:type="spellStart"/>
      <w:r w:rsidRPr="007F5C3A">
        <w:rPr>
          <w:sz w:val="2"/>
          <w:szCs w:val="2"/>
        </w:rPr>
        <w:t>Sphercical</w:t>
      </w:r>
      <w:proofErr w:type="spellEnd"/>
      <w:r w:rsidRPr="007F5C3A">
        <w:rPr>
          <w:sz w:val="2"/>
          <w:szCs w:val="2"/>
        </w:rPr>
        <w:t xml:space="preserve"> aluminum powder with particle of uniform diameter of less than 500 × 10−6M (500 microns) and an aluminum content of 97 percent or greater; (5) Metal fuels in particle sizes less than 500 × 10−6M (500 microns), whether spherical, atomized, </w:t>
      </w:r>
      <w:proofErr w:type="spellStart"/>
      <w:r w:rsidRPr="007F5C3A">
        <w:rPr>
          <w:sz w:val="2"/>
          <w:szCs w:val="2"/>
        </w:rPr>
        <w:t>spheriodal</w:t>
      </w:r>
      <w:proofErr w:type="spellEnd"/>
      <w:r w:rsidRPr="007F5C3A">
        <w:rPr>
          <w:sz w:val="2"/>
          <w:szCs w:val="2"/>
        </w:rPr>
        <w:t xml:space="preserve">, flaked or ground, consisting of 97 percent or more of any of the following: zirconium, beryllium, boron, magnesium, zinc, and alloys of these; (6) </w:t>
      </w:r>
      <w:proofErr w:type="spellStart"/>
      <w:r w:rsidRPr="007F5C3A">
        <w:rPr>
          <w:sz w:val="2"/>
          <w:szCs w:val="2"/>
        </w:rPr>
        <w:t>Nitroamines</w:t>
      </w:r>
      <w:proofErr w:type="spellEnd"/>
      <w:r w:rsidRPr="007F5C3A">
        <w:rPr>
          <w:sz w:val="2"/>
          <w:szCs w:val="2"/>
        </w:rPr>
        <w:t xml:space="preserve"> (</w:t>
      </w:r>
      <w:proofErr w:type="spellStart"/>
      <w:r w:rsidRPr="007F5C3A">
        <w:rPr>
          <w:sz w:val="2"/>
          <w:szCs w:val="2"/>
        </w:rPr>
        <w:t>cyclotetramethylenetetranitramene</w:t>
      </w:r>
      <w:proofErr w:type="spellEnd"/>
      <w:r w:rsidRPr="007F5C3A">
        <w:rPr>
          <w:sz w:val="2"/>
          <w:szCs w:val="2"/>
        </w:rPr>
        <w:t xml:space="preserve"> (HMX), cyclotrimethylenetrinitramine (RDX); (7) </w:t>
      </w:r>
      <w:proofErr w:type="spellStart"/>
      <w:r w:rsidRPr="007F5C3A">
        <w:rPr>
          <w:sz w:val="2"/>
          <w:szCs w:val="2"/>
        </w:rPr>
        <w:t>Percholrates</w:t>
      </w:r>
      <w:proofErr w:type="spellEnd"/>
      <w:r w:rsidRPr="007F5C3A">
        <w:rPr>
          <w:sz w:val="2"/>
          <w:szCs w:val="2"/>
        </w:rPr>
        <w:t xml:space="preserve">, chlorates or chromates mixed with powdered metals or other high energy fuel components; (8) </w:t>
      </w:r>
      <w:proofErr w:type="spellStart"/>
      <w:r w:rsidRPr="007F5C3A">
        <w:rPr>
          <w:sz w:val="2"/>
          <w:szCs w:val="2"/>
        </w:rPr>
        <w:t>Carboranes</w:t>
      </w:r>
      <w:proofErr w:type="spellEnd"/>
      <w:r w:rsidRPr="007F5C3A">
        <w:rPr>
          <w:sz w:val="2"/>
          <w:szCs w:val="2"/>
        </w:rPr>
        <w:t xml:space="preserve">, </w:t>
      </w:r>
      <w:proofErr w:type="spellStart"/>
      <w:r w:rsidRPr="007F5C3A">
        <w:rPr>
          <w:sz w:val="2"/>
          <w:szCs w:val="2"/>
        </w:rPr>
        <w:t>decaboranes</w:t>
      </w:r>
      <w:proofErr w:type="spellEnd"/>
      <w:r w:rsidRPr="007F5C3A">
        <w:rPr>
          <w:sz w:val="2"/>
          <w:szCs w:val="2"/>
        </w:rPr>
        <w:t>, pentaboranes and derivatives thereof; (9) Liquid oxidizers, as follows: (</w:t>
      </w:r>
      <w:proofErr w:type="spellStart"/>
      <w:r w:rsidRPr="007F5C3A">
        <w:rPr>
          <w:sz w:val="2"/>
          <w:szCs w:val="2"/>
        </w:rPr>
        <w:t>i</w:t>
      </w:r>
      <w:proofErr w:type="spellEnd"/>
      <w:r w:rsidRPr="007F5C3A">
        <w:rPr>
          <w:sz w:val="2"/>
          <w:szCs w:val="2"/>
        </w:rPr>
        <w:t xml:space="preserve">) Nitrogen dioxide/dinitrogen tetroxide; (ii) Inhibited Red Fuming Nitric Acid (IRFNA); (iii) Compounds composed of fluorine and one or more of other halogens, oxygen or nitrogen. (b) Polymeric substances: (1) </w:t>
      </w:r>
      <w:proofErr w:type="spellStart"/>
      <w:r w:rsidRPr="007F5C3A">
        <w:rPr>
          <w:sz w:val="2"/>
          <w:szCs w:val="2"/>
        </w:rPr>
        <w:t>Hydroxyterminated</w:t>
      </w:r>
      <w:proofErr w:type="spellEnd"/>
      <w:r w:rsidRPr="007F5C3A">
        <w:rPr>
          <w:sz w:val="2"/>
          <w:szCs w:val="2"/>
        </w:rPr>
        <w:t xml:space="preserve"> polybutadiene (HTPB); (2) </w:t>
      </w:r>
      <w:proofErr w:type="spellStart"/>
      <w:r w:rsidRPr="007F5C3A">
        <w:rPr>
          <w:sz w:val="2"/>
          <w:szCs w:val="2"/>
        </w:rPr>
        <w:t>Glycidylazide</w:t>
      </w:r>
      <w:proofErr w:type="spellEnd"/>
      <w:r w:rsidRPr="007F5C3A">
        <w:rPr>
          <w:sz w:val="2"/>
          <w:szCs w:val="2"/>
        </w:rPr>
        <w:t xml:space="preserve"> polymer (GAP). (c) Other high energy density propellants such a Boron Slurry having an energy density of 40 × 10 joules/kg or greater. (d) Other propellants additives and agents: (1) Bonding agents as follows: (</w:t>
      </w:r>
      <w:proofErr w:type="spellStart"/>
      <w:r w:rsidRPr="007F5C3A">
        <w:rPr>
          <w:sz w:val="2"/>
          <w:szCs w:val="2"/>
        </w:rPr>
        <w:t>i</w:t>
      </w:r>
      <w:proofErr w:type="spellEnd"/>
      <w:r w:rsidRPr="007F5C3A">
        <w:rPr>
          <w:sz w:val="2"/>
          <w:szCs w:val="2"/>
        </w:rPr>
        <w:t>) Tris (1(2methyl)</w:t>
      </w:r>
      <w:proofErr w:type="spellStart"/>
      <w:r w:rsidRPr="007F5C3A">
        <w:rPr>
          <w:sz w:val="2"/>
          <w:szCs w:val="2"/>
        </w:rPr>
        <w:t>aziridinyl</w:t>
      </w:r>
      <w:proofErr w:type="spellEnd"/>
      <w:r w:rsidRPr="007F5C3A">
        <w:rPr>
          <w:sz w:val="2"/>
          <w:szCs w:val="2"/>
        </w:rPr>
        <w:t xml:space="preserve"> phosphine oxide (MAPO); (ii) </w:t>
      </w:r>
      <w:proofErr w:type="spellStart"/>
      <w:r w:rsidRPr="007F5C3A">
        <w:rPr>
          <w:sz w:val="2"/>
          <w:szCs w:val="2"/>
        </w:rPr>
        <w:t>Trimesol</w:t>
      </w:r>
      <w:proofErr w:type="spellEnd"/>
      <w:r w:rsidRPr="007F5C3A">
        <w:rPr>
          <w:sz w:val="2"/>
          <w:szCs w:val="2"/>
        </w:rPr>
        <w:t xml:space="preserve"> 1(2)ethyl)aziridine (HX868, BITA); (iii) “</w:t>
      </w:r>
      <w:proofErr w:type="spellStart"/>
      <w:r w:rsidRPr="007F5C3A">
        <w:rPr>
          <w:sz w:val="2"/>
          <w:szCs w:val="2"/>
        </w:rPr>
        <w:t>Tepanol</w:t>
      </w:r>
      <w:proofErr w:type="spellEnd"/>
      <w:r w:rsidRPr="007F5C3A">
        <w:rPr>
          <w:sz w:val="2"/>
          <w:szCs w:val="2"/>
        </w:rPr>
        <w:t xml:space="preserve">” (HX878), reaction product of </w:t>
      </w:r>
      <w:proofErr w:type="spellStart"/>
      <w:r w:rsidRPr="007F5C3A">
        <w:rPr>
          <w:sz w:val="2"/>
          <w:szCs w:val="2"/>
        </w:rPr>
        <w:t>tetraethylenepentamine</w:t>
      </w:r>
      <w:proofErr w:type="spellEnd"/>
      <w:r w:rsidRPr="007F5C3A">
        <w:rPr>
          <w:sz w:val="2"/>
          <w:szCs w:val="2"/>
        </w:rPr>
        <w:t>, acrylonitrile and glycidol; (iv) “</w:t>
      </w:r>
      <w:proofErr w:type="spellStart"/>
      <w:r w:rsidRPr="007F5C3A">
        <w:rPr>
          <w:sz w:val="2"/>
          <w:szCs w:val="2"/>
        </w:rPr>
        <w:t>Tepan</w:t>
      </w:r>
      <w:proofErr w:type="spellEnd"/>
      <w:r w:rsidRPr="007F5C3A">
        <w:rPr>
          <w:sz w:val="2"/>
          <w:szCs w:val="2"/>
        </w:rPr>
        <w:t xml:space="preserve">” (HX879), reaction product of </w:t>
      </w:r>
      <w:proofErr w:type="spellStart"/>
      <w:r w:rsidRPr="007F5C3A">
        <w:rPr>
          <w:sz w:val="2"/>
          <w:szCs w:val="2"/>
        </w:rPr>
        <w:t>tet</w:t>
      </w:r>
      <w:proofErr w:type="spellEnd"/>
      <w:r w:rsidRPr="007F5C3A">
        <w:rPr>
          <w:sz w:val="2"/>
          <w:szCs w:val="2"/>
        </w:rPr>
        <w:t xml:space="preserve"> </w:t>
      </w:r>
      <w:proofErr w:type="spellStart"/>
      <w:r w:rsidRPr="007F5C3A">
        <w:rPr>
          <w:sz w:val="2"/>
          <w:szCs w:val="2"/>
        </w:rPr>
        <w:t>enepentamine</w:t>
      </w:r>
      <w:proofErr w:type="spellEnd"/>
      <w:r w:rsidRPr="007F5C3A">
        <w:rPr>
          <w:sz w:val="2"/>
          <w:szCs w:val="2"/>
        </w:rPr>
        <w:t xml:space="preserve"> and acrylonitrile; (v) Polyfunctional </w:t>
      </w:r>
      <w:proofErr w:type="spellStart"/>
      <w:r w:rsidRPr="007F5C3A">
        <w:rPr>
          <w:sz w:val="2"/>
          <w:szCs w:val="2"/>
        </w:rPr>
        <w:t>aziridene</w:t>
      </w:r>
      <w:proofErr w:type="spellEnd"/>
      <w:r w:rsidRPr="007F5C3A">
        <w:rPr>
          <w:sz w:val="2"/>
          <w:szCs w:val="2"/>
        </w:rPr>
        <w:t xml:space="preserve"> amides with isophthalic, </w:t>
      </w:r>
      <w:proofErr w:type="spellStart"/>
      <w:r w:rsidRPr="007F5C3A">
        <w:rPr>
          <w:sz w:val="2"/>
          <w:szCs w:val="2"/>
        </w:rPr>
        <w:t>trimesic</w:t>
      </w:r>
      <w:proofErr w:type="spellEnd"/>
      <w:r w:rsidRPr="007F5C3A">
        <w:rPr>
          <w:sz w:val="2"/>
          <w:szCs w:val="2"/>
        </w:rPr>
        <w:t xml:space="preserve">, </w:t>
      </w:r>
      <w:proofErr w:type="spellStart"/>
      <w:r w:rsidRPr="007F5C3A">
        <w:rPr>
          <w:sz w:val="2"/>
          <w:szCs w:val="2"/>
        </w:rPr>
        <w:t>isocyanuric</w:t>
      </w:r>
      <w:proofErr w:type="spellEnd"/>
      <w:r w:rsidRPr="007F5C3A">
        <w:rPr>
          <w:sz w:val="2"/>
          <w:szCs w:val="2"/>
        </w:rPr>
        <w:t xml:space="preserve">, or </w:t>
      </w:r>
      <w:proofErr w:type="spellStart"/>
      <w:r w:rsidRPr="007F5C3A">
        <w:rPr>
          <w:sz w:val="2"/>
          <w:szCs w:val="2"/>
        </w:rPr>
        <w:t>trimethyladipic</w:t>
      </w:r>
      <w:proofErr w:type="spellEnd"/>
      <w:r w:rsidRPr="007F5C3A">
        <w:rPr>
          <w:sz w:val="2"/>
          <w:szCs w:val="2"/>
        </w:rPr>
        <w:t xml:space="preserve"> backbone also having a 2methyl or 2ethyl aziridine group (HX752, HX872 and HX877). (2) Curing agents and catalysts as follows: (</w:t>
      </w:r>
      <w:proofErr w:type="spellStart"/>
      <w:r w:rsidRPr="007F5C3A">
        <w:rPr>
          <w:sz w:val="2"/>
          <w:szCs w:val="2"/>
        </w:rPr>
        <w:t>i</w:t>
      </w:r>
      <w:proofErr w:type="spellEnd"/>
      <w:r w:rsidRPr="007F5C3A">
        <w:rPr>
          <w:sz w:val="2"/>
          <w:szCs w:val="2"/>
        </w:rPr>
        <w:t xml:space="preserve">) Triphenyl bismuth (TPB); (ii) Burning rate modifiers as follows: (iii) </w:t>
      </w:r>
      <w:proofErr w:type="spellStart"/>
      <w:r w:rsidRPr="007F5C3A">
        <w:rPr>
          <w:sz w:val="2"/>
          <w:szCs w:val="2"/>
        </w:rPr>
        <w:t>Catocene</w:t>
      </w:r>
      <w:proofErr w:type="spellEnd"/>
      <w:r w:rsidRPr="007F5C3A">
        <w:rPr>
          <w:sz w:val="2"/>
          <w:szCs w:val="2"/>
        </w:rPr>
        <w:t xml:space="preserve">; (iv) </w:t>
      </w:r>
      <w:proofErr w:type="spellStart"/>
      <w:r w:rsidRPr="007F5C3A">
        <w:rPr>
          <w:sz w:val="2"/>
          <w:szCs w:val="2"/>
        </w:rPr>
        <w:t>Nbutylferrocene</w:t>
      </w:r>
      <w:proofErr w:type="spellEnd"/>
      <w:r w:rsidRPr="007F5C3A">
        <w:rPr>
          <w:sz w:val="2"/>
          <w:szCs w:val="2"/>
        </w:rPr>
        <w:t xml:space="preserve">; (v) Other ferrocene derivatives. (3) Nitrate esters and </w:t>
      </w:r>
      <w:proofErr w:type="spellStart"/>
      <w:r w:rsidRPr="007F5C3A">
        <w:rPr>
          <w:sz w:val="2"/>
          <w:szCs w:val="2"/>
        </w:rPr>
        <w:t>nitrato</w:t>
      </w:r>
      <w:proofErr w:type="spellEnd"/>
      <w:r w:rsidRPr="007F5C3A">
        <w:rPr>
          <w:sz w:val="2"/>
          <w:szCs w:val="2"/>
        </w:rPr>
        <w:t xml:space="preserve"> plasticizers as follows: (</w:t>
      </w:r>
      <w:proofErr w:type="spellStart"/>
      <w:r w:rsidRPr="007F5C3A">
        <w:rPr>
          <w:sz w:val="2"/>
          <w:szCs w:val="2"/>
        </w:rPr>
        <w:t>i</w:t>
      </w:r>
      <w:proofErr w:type="spellEnd"/>
      <w:r w:rsidRPr="007F5C3A">
        <w:rPr>
          <w:sz w:val="2"/>
          <w:szCs w:val="2"/>
        </w:rPr>
        <w:t>) 1,2,4butanetriol trinitrate (BTTN). (4) Stabilizers as follows: (</w:t>
      </w:r>
      <w:proofErr w:type="spellStart"/>
      <w:r w:rsidRPr="007F5C3A">
        <w:rPr>
          <w:sz w:val="2"/>
          <w:szCs w:val="2"/>
        </w:rPr>
        <w:t>i</w:t>
      </w:r>
      <w:proofErr w:type="spellEnd"/>
      <w:r w:rsidRPr="007F5C3A">
        <w:rPr>
          <w:sz w:val="2"/>
          <w:szCs w:val="2"/>
        </w:rPr>
        <w:t xml:space="preserve">) </w:t>
      </w:r>
      <w:proofErr w:type="spellStart"/>
      <w:r w:rsidRPr="007F5C3A">
        <w:rPr>
          <w:sz w:val="2"/>
          <w:szCs w:val="2"/>
        </w:rPr>
        <w:t>Nmethylpnitroaniline</w:t>
      </w:r>
      <w:proofErr w:type="spellEnd"/>
      <w:r w:rsidRPr="007F5C3A">
        <w:rPr>
          <w:sz w:val="2"/>
          <w:szCs w:val="2"/>
        </w:rPr>
        <w:t xml:space="preserve">. Item 8—Category II Structural materials usable in the systems in Item 1, as follows: (a) Composite structures, laminates, and manufactures thereof, including resin impregnated </w:t>
      </w:r>
      <w:proofErr w:type="spellStart"/>
      <w:r w:rsidRPr="007F5C3A">
        <w:rPr>
          <w:sz w:val="2"/>
          <w:szCs w:val="2"/>
        </w:rPr>
        <w:t>fibre</w:t>
      </w:r>
      <w:proofErr w:type="spellEnd"/>
      <w:r w:rsidRPr="007F5C3A">
        <w:rPr>
          <w:sz w:val="2"/>
          <w:szCs w:val="2"/>
        </w:rPr>
        <w:t xml:space="preserve"> prepregs and metal coated </w:t>
      </w:r>
      <w:proofErr w:type="spellStart"/>
      <w:r w:rsidRPr="007F5C3A">
        <w:rPr>
          <w:sz w:val="2"/>
          <w:szCs w:val="2"/>
        </w:rPr>
        <w:t>fibre</w:t>
      </w:r>
      <w:proofErr w:type="spellEnd"/>
      <w:r w:rsidRPr="007F5C3A">
        <w:rPr>
          <w:sz w:val="2"/>
          <w:szCs w:val="2"/>
        </w:rPr>
        <w:t xml:space="preserve"> preforms therefor, specially designed for use in the systems in Item 1 and the subsystems in Item 2 made either with </w:t>
      </w:r>
      <w:proofErr w:type="spellStart"/>
      <w:r w:rsidRPr="007F5C3A">
        <w:rPr>
          <w:sz w:val="2"/>
          <w:szCs w:val="2"/>
        </w:rPr>
        <w:t>organix</w:t>
      </w:r>
      <w:proofErr w:type="spellEnd"/>
      <w:r w:rsidRPr="007F5C3A">
        <w:rPr>
          <w:sz w:val="2"/>
          <w:szCs w:val="2"/>
        </w:rPr>
        <w:t xml:space="preserve"> matrix or metal matrix utilizing fibrous or filamentary reinforcements having a specific tensile strength greater than 7.62 × 104 m (3 × 106 inches) and a specific modules greater than 3.18 × 106 m (1.25 × 108 inches), (see §121.1, Category IV (f), and Category XIII (d)); (b) </w:t>
      </w:r>
      <w:proofErr w:type="spellStart"/>
      <w:r w:rsidRPr="007F5C3A">
        <w:rPr>
          <w:sz w:val="2"/>
          <w:szCs w:val="2"/>
        </w:rPr>
        <w:t>Resaturated</w:t>
      </w:r>
      <w:proofErr w:type="spellEnd"/>
      <w:r w:rsidRPr="007F5C3A">
        <w:rPr>
          <w:sz w:val="2"/>
          <w:szCs w:val="2"/>
        </w:rPr>
        <w:t xml:space="preserve"> </w:t>
      </w:r>
      <w:proofErr w:type="spellStart"/>
      <w:r w:rsidRPr="007F5C3A">
        <w:rPr>
          <w:sz w:val="2"/>
          <w:szCs w:val="2"/>
        </w:rPr>
        <w:t>pyrolized</w:t>
      </w:r>
      <w:proofErr w:type="spellEnd"/>
      <w:r w:rsidRPr="007F5C3A">
        <w:rPr>
          <w:sz w:val="2"/>
          <w:szCs w:val="2"/>
        </w:rPr>
        <w:t xml:space="preserve"> (i.e., carbon-carbon) materials designed for rocket systems, (see §121.1 Category IV (f)); (c) Fine grain recrystallized bulk </w:t>
      </w:r>
      <w:proofErr w:type="spellStart"/>
      <w:r w:rsidRPr="007F5C3A">
        <w:rPr>
          <w:sz w:val="2"/>
          <w:szCs w:val="2"/>
        </w:rPr>
        <w:t>graphites</w:t>
      </w:r>
      <w:proofErr w:type="spellEnd"/>
      <w:r w:rsidRPr="007F5C3A">
        <w:rPr>
          <w:sz w:val="2"/>
          <w:szCs w:val="2"/>
        </w:rPr>
        <w:t xml:space="preserve"> (with a bulk density of at least 1.72 g/cc measured at 15 degrees C), pyrolytic, or fibrous reinforced </w:t>
      </w:r>
      <w:proofErr w:type="spellStart"/>
      <w:r w:rsidRPr="007F5C3A">
        <w:rPr>
          <w:sz w:val="2"/>
          <w:szCs w:val="2"/>
        </w:rPr>
        <w:t>graphites</w:t>
      </w:r>
      <w:proofErr w:type="spellEnd"/>
      <w:r w:rsidRPr="007F5C3A">
        <w:rPr>
          <w:sz w:val="2"/>
          <w:szCs w:val="2"/>
        </w:rPr>
        <w:t xml:space="preserve"> useable for rocket nozzles and reentry vehicle nose tips (see §121.1, Category IV (f) and Category XIII; (d) Ceramic composites materials (dielectric constant less than 6 at frequencies from 100 Hz to 10,000 MHz) for use in missile </w:t>
      </w:r>
      <w:proofErr w:type="spellStart"/>
      <w:r w:rsidRPr="007F5C3A">
        <w:rPr>
          <w:sz w:val="2"/>
          <w:szCs w:val="2"/>
        </w:rPr>
        <w:t>radomes</w:t>
      </w:r>
      <w:proofErr w:type="spellEnd"/>
      <w:r w:rsidRPr="007F5C3A">
        <w:rPr>
          <w:sz w:val="2"/>
          <w:szCs w:val="2"/>
        </w:rPr>
        <w:t>, and bulk machinable silicon-carbide reinforced unfired ceramic useable for nose tips (see §121.1, Category IV (f)); Item 9—Category II Instrumentation, navigation and direction finding equipment and systems, and associated production and test equipment as follows; and specially designed components and software therefor: (a) Integrated flight instrument systems, which include gyrostabilizers or automatic pilots and integration software therefor; designed or modified for use in the systems in Item 1 (See §121.1, Category XII(d)); (b) Gyro-</w:t>
      </w:r>
      <w:proofErr w:type="spellStart"/>
      <w:r w:rsidRPr="007F5C3A">
        <w:rPr>
          <w:sz w:val="2"/>
          <w:szCs w:val="2"/>
        </w:rPr>
        <w:t>astro</w:t>
      </w:r>
      <w:proofErr w:type="spellEnd"/>
      <w:r w:rsidRPr="007F5C3A">
        <w:rPr>
          <w:sz w:val="2"/>
          <w:szCs w:val="2"/>
        </w:rPr>
        <w:t xml:space="preserve"> compasses and other devices which derive position or orientation by means of automatically tracking celestial bodies or satellites (see §121.1, Category XV(d)); (c) Accelerometers with a threshold of 0.05 g or less, or a linearity error within 0.25 percent of full scale output, or both, which are designed for use in inertial navigation systems or in guidance systems of all types (see §121.1, Category VIII(e) and Category XII (d)); (d) All types of gyros usable in the systems in Item 1, with a rated drift rate stability of less than 0.5 degree (1 sigma or rms) per hour in a 1 q environment (see §121.1, Category VIII(e) and Category XII(d)); (e) Continuous output accelerometers or gyros of any type, specified to function at acceleration levels greater than 100 g (see §121.1, Category XII(d)); (f) Inertial or other equipment using accelerometers described by subitems (c) and (e) above, and systems incorporating such equipment, and specially designed integration software therefor (see §121.1, Category VIII (e) and Category XII(d)); Notes to Item 9 (1) Items (a) through (f) may be exported as part of a manned aircraft or satellite or in quantities appropriate for replacement parts for manned aircraft. (2) In subitem (d): (</w:t>
      </w:r>
      <w:proofErr w:type="spellStart"/>
      <w:r w:rsidRPr="007F5C3A">
        <w:rPr>
          <w:sz w:val="2"/>
          <w:szCs w:val="2"/>
        </w:rPr>
        <w:t>i</w:t>
      </w:r>
      <w:proofErr w:type="spellEnd"/>
      <w:r w:rsidRPr="007F5C3A">
        <w:rPr>
          <w:sz w:val="2"/>
          <w:szCs w:val="2"/>
        </w:rPr>
        <w:t>) Drift rate is defined as the time rate of output deviation from the desired output. It consists of random and systematic components and is expressed as an equivalent angular displacement per unit time with respect to inertial space. (ii) Stability is defined as standard deviation (1 sigma) of the variation of a particular parameter from its calibrated value measured under stable temperature conditions. This can be expressed as a function of time. Item 10—Category II Flight control systems and “technology” as follows; designed or modified for the systems in Item 1. (a) Hydraulic, mechanical, electro-optical, or electro-mechanical flight control systems (including fly-by-wire systems), (see §121.1, Category IV (h)); (b) Attitude control equipment, (see §121.1, Category IV, (c) and (h)); (c) Design technology for integration of air vehicle fuselage, propulsion system and lifting control surfaces to optimize aerodynamic performance throughout the flight regime of an unmanned air vehicle, (see §121.1, Category VIII (k)); (d) Design technology for integration of the flight control, guidance, and propulsion data into a flight management system for optimization of rocket system trajectory, (see §121.1, Category IV (</w:t>
      </w:r>
      <w:proofErr w:type="spellStart"/>
      <w:r w:rsidRPr="007F5C3A">
        <w:rPr>
          <w:sz w:val="2"/>
          <w:szCs w:val="2"/>
        </w:rPr>
        <w:t>i</w:t>
      </w:r>
      <w:proofErr w:type="spellEnd"/>
      <w:r w:rsidRPr="007F5C3A">
        <w:rPr>
          <w:sz w:val="2"/>
          <w:szCs w:val="2"/>
        </w:rPr>
        <w:t>)). Note to Item 10 Items (a) and (b) may be exported as part of a manned aircraft or satellite or in quantities appropriate for replacement parts for manned aircraft. Item 11—Category II Avionics equipment, “technology” and components as follows; designed or modified for use in the systems in Item 1, and specially designed software therefor: (a) Radar and laser radar systems, including altimeters (see §121.1, Category XI(a)(3)); (b) Passive sensors for determining bearings to specific electromagnetic sources (direction finding equipment) or terrain characteristics (see §121.1, Category XI(b) and (d)); (c) Global Positioning System (GPS) or similar satellite receivers; (1) Capable of providing navigation information under the following operational conditions: (</w:t>
      </w:r>
      <w:proofErr w:type="spellStart"/>
      <w:r w:rsidRPr="007F5C3A">
        <w:rPr>
          <w:sz w:val="2"/>
          <w:szCs w:val="2"/>
        </w:rPr>
        <w:t>i</w:t>
      </w:r>
      <w:proofErr w:type="spellEnd"/>
      <w:r w:rsidRPr="007F5C3A">
        <w:rPr>
          <w:sz w:val="2"/>
          <w:szCs w:val="2"/>
        </w:rPr>
        <w:t>) At speeds in excess of 515 m/sec (1,000 nautical miles/hours); and (ii) At altitudes in excess of 18 km (60,000 feet), (see §121.1, Category XV(d)(2); or (2) Designed or modified for use with unmanned air vehicles covered by Item 1 (see §121.1, Category XV(d)(4)). (d) Electronic assemblies and components specifically designed for military use and operation at temperatures in excess of 125 degrees C, (see §121.1, Category XI(a)(7)). (e) Design technology for protection of avionics and electrical subsystems against electromagnetic pulse (EMP) and electromagnetic interference (EMI) hazards from external sources, as follows, (see §121.1, Category XI (b)). (1) Design technology for shielding systems; (2) Design technology for the configuration of hardened electrical circuits and subsystems; (3) Determination of hardening criteria for the above. Notes to Item 11 (1) Item 11 equipment may be exported as part of a manned aircraft or satellite or in quantities appropriate for replacement parts for manned aircraft. (2) Examples of equipment included in this Item: (</w:t>
      </w:r>
      <w:proofErr w:type="spellStart"/>
      <w:r w:rsidRPr="007F5C3A">
        <w:rPr>
          <w:sz w:val="2"/>
          <w:szCs w:val="2"/>
        </w:rPr>
        <w:t>i</w:t>
      </w:r>
      <w:proofErr w:type="spellEnd"/>
      <w:r w:rsidRPr="007F5C3A">
        <w:rPr>
          <w:sz w:val="2"/>
          <w:szCs w:val="2"/>
        </w:rPr>
        <w:t xml:space="preserve">) Terrain contour mapping equipment; (ii) Scene mapping and correlation (both digital and analog) equipment; (iii) Doppler navigation radar equipment; (iv) Passive interferometer equipment; (v) Imaging sensor equipment (both active and passive); (3) In subitem (a), laser radar systems embody specialized transmission, scanning, receiving and signal processing techniques for utilization of lasers for echo ranging, direction finding and discrimination of targets by location, radial speed and body reflection characteristics. Item 12—Category II Launch support equipment, facilities and software for the systems in Item 1, as follows: (a) Apparatus and devices designed or modified for the handling, control, activation and launching of the systems in Item 1, (see §121.1, Category IV(c)); (b) Vehicles designed or modified for the transport, handling, control, activation and launching of the systems in Item 1, (see §121.1, Category VII(d)); (c) Telemetering and telecontrol equipment usable for unmanned air vehicles or rocket systems, (see §121.1, Category XI(a)); (d) Precision tracking systems: (1) Tracking systems which use a </w:t>
      </w:r>
      <w:proofErr w:type="spellStart"/>
      <w:r w:rsidRPr="007F5C3A">
        <w:rPr>
          <w:sz w:val="2"/>
          <w:szCs w:val="2"/>
        </w:rPr>
        <w:t>translb</w:t>
      </w:r>
      <w:proofErr w:type="spellEnd"/>
      <w:r w:rsidRPr="007F5C3A">
        <w:rPr>
          <w:sz w:val="2"/>
          <w:szCs w:val="2"/>
        </w:rPr>
        <w:t xml:space="preserve"> </w:t>
      </w:r>
      <w:proofErr w:type="spellStart"/>
      <w:r w:rsidRPr="007F5C3A">
        <w:rPr>
          <w:sz w:val="2"/>
          <w:szCs w:val="2"/>
        </w:rPr>
        <w:t>nv</w:t>
      </w:r>
      <w:proofErr w:type="spellEnd"/>
      <w:r w:rsidRPr="007F5C3A">
        <w:rPr>
          <w:sz w:val="2"/>
          <w:szCs w:val="2"/>
        </w:rPr>
        <w:t xml:space="preserve"> installed on the rocket system or unmanned air vehicle in conjunction with either surface or airborne references or navigation satellite systems to provide real-time measurements of in-flight position and velocity, (see §121.1, Category XI(a)); (2) Range instrumentation radars including associated optical/infrared trackers and the specially designed software therefor with all of the following capabilities (see §121.1, Category XI(a)(3)): (</w:t>
      </w:r>
      <w:proofErr w:type="spellStart"/>
      <w:r w:rsidRPr="007F5C3A">
        <w:rPr>
          <w:sz w:val="2"/>
          <w:szCs w:val="2"/>
        </w:rPr>
        <w:t>i</w:t>
      </w:r>
      <w:proofErr w:type="spellEnd"/>
      <w:r w:rsidRPr="007F5C3A">
        <w:rPr>
          <w:sz w:val="2"/>
          <w:szCs w:val="2"/>
        </w:rPr>
        <w:t>) angular resolution better than 3 milli-radians (0.5 mils); (ii) range of 30 km or greater with a range resolution better than 10 meters RMS; (iii) velocity resolution better than 3 meters per second. (3) Software which processes post-flight, recorded data, enabling determination of vehicle position throughout its flight path (see §121.1, Category IV(</w:t>
      </w:r>
      <w:proofErr w:type="spellStart"/>
      <w:r w:rsidRPr="007F5C3A">
        <w:rPr>
          <w:sz w:val="2"/>
          <w:szCs w:val="2"/>
        </w:rPr>
        <w:t>i</w:t>
      </w:r>
      <w:proofErr w:type="spellEnd"/>
      <w:r w:rsidRPr="007F5C3A">
        <w:rPr>
          <w:sz w:val="2"/>
          <w:szCs w:val="2"/>
        </w:rPr>
        <w:t>)). Item 13—Category II Analog computers, digital computers, or digital differential analyzers designed or modified for use in the systems in Item 1 (see §121.1, Category XI (a)(6), having either of the following characteristics: (a) Rated for continuous operation at temperature from below minus 45 degrees C to above plus 55 degrees C; or (b) Designed as ruggedized or “radiation hardened”. Note to Item 13 Item 13 equipment may be exported as part of a manned aircraft or satellite or in quantities appropriate for replacement parts for manned aircraft. Item 14—Category II Analog-to-digital converters, usable in the system in Item 1, having either of the following characteristics: (a) Designed to meet military specifications for ruggedized equipment (see §121.1, Category XI(d)); or, (b) Designed or modified for military use (see §121.1, Category XI(d)); and being one of the following types: (1) Analog-to-digital converter “microcircuits,” which are “radiation hardened” or have all of the following characteristics: (</w:t>
      </w:r>
      <w:proofErr w:type="spellStart"/>
      <w:r w:rsidRPr="007F5C3A">
        <w:rPr>
          <w:sz w:val="2"/>
          <w:szCs w:val="2"/>
        </w:rPr>
        <w:t>i</w:t>
      </w:r>
      <w:proofErr w:type="spellEnd"/>
      <w:r w:rsidRPr="007F5C3A">
        <w:rPr>
          <w:sz w:val="2"/>
          <w:szCs w:val="2"/>
        </w:rPr>
        <w:t>) Having a resolution of 8 bits or more; (ii) Rated for operation in the temperature range from below minus 54 degrees C to above plus 125 degrees C; and (iii) Hermetically sealed. (2) Electrical input type analog-to-digital converter printed circuit boards or modules, with all of the following characteristics: (</w:t>
      </w:r>
      <w:proofErr w:type="spellStart"/>
      <w:r w:rsidRPr="007F5C3A">
        <w:rPr>
          <w:sz w:val="2"/>
          <w:szCs w:val="2"/>
        </w:rPr>
        <w:t>i</w:t>
      </w:r>
      <w:proofErr w:type="spellEnd"/>
      <w:r w:rsidRPr="007F5C3A">
        <w:rPr>
          <w:sz w:val="2"/>
          <w:szCs w:val="2"/>
        </w:rPr>
        <w:t>) Having a resolution of 8 bits or more; (ii) Rated for operation in the temperature range from below minus 45 degrees C to above plus 55 degrees C; and (iii) Incorporated “microcircuits” listed in (1), above. Item 16—Category II Specially designed software, or specially designed software with related specially designed hybrid (combined analog/digital) computers, for modeling, simulation, or design integration of the systems in Item 1 and Item 2 (see §121.1, Category IV(</w:t>
      </w:r>
      <w:proofErr w:type="spellStart"/>
      <w:r w:rsidRPr="007F5C3A">
        <w:rPr>
          <w:sz w:val="2"/>
          <w:szCs w:val="2"/>
        </w:rPr>
        <w:t>i</w:t>
      </w:r>
      <w:proofErr w:type="spellEnd"/>
      <w:r w:rsidRPr="007F5C3A">
        <w:rPr>
          <w:sz w:val="2"/>
          <w:szCs w:val="2"/>
        </w:rPr>
        <w:t xml:space="preserve">) and Category XI(a)(6)). Note to Item 16 The modelling includes in particular the aerodynamic and thermodynamic analysis of the system. Item 17—Category II Materials, devices, and specially designed software for reduced observables such as radar reflectivity, ultraviolet/infrared signatures on acoustic signatures (i.e., stealth technology), for applications usable for the systems in Item 1 or Item 2 (see §121.1, Category XIII (e) and (k)), for example: (a) Structural material and coatings specially designed for reduced radar reflectivity; (b) Coatings, including paints, specially designed for reduced or tailored reflectivity or emissivity in the microwave, infrared or ultraviolet spectra, except when specially used for thermal control of satellites. (c) Specially designed software or databases for analysis of signature reduction. (d) Specially designed radar cross section measurement systems (see §121.1, Category XI(a)(3)). Item 18—Category II Devices for use in protecting rocket systems and unmanned air vehicles against nuclear effects (e.g. Electromagnetic Pulse (EMP), X-rays, combined blast and thermal effects), and usable for the systems in Item 1, as follows (see §121.1, Category IV (c) and (h)): (a) “Radiation Hardened” “microcircuits” and detectors (see §121.1, Category XI(c)(3) Note: This commodity has been formally proposed for movement to category XV(e)(2) in the near future). (b) </w:t>
      </w:r>
      <w:proofErr w:type="spellStart"/>
      <w:r w:rsidRPr="007F5C3A">
        <w:rPr>
          <w:sz w:val="2"/>
          <w:szCs w:val="2"/>
        </w:rPr>
        <w:t>Radomes</w:t>
      </w:r>
      <w:proofErr w:type="spellEnd"/>
      <w:r w:rsidRPr="007F5C3A">
        <w:rPr>
          <w:sz w:val="2"/>
          <w:szCs w:val="2"/>
        </w:rPr>
        <w:t xml:space="preserve"> designed to withstand a combined thermal shock greater than 1000 </w:t>
      </w:r>
      <w:proofErr w:type="spellStart"/>
      <w:r w:rsidRPr="007F5C3A">
        <w:rPr>
          <w:sz w:val="2"/>
          <w:szCs w:val="2"/>
        </w:rPr>
        <w:t>cal</w:t>
      </w:r>
      <w:proofErr w:type="spellEnd"/>
      <w:r w:rsidRPr="007F5C3A">
        <w:rPr>
          <w:sz w:val="2"/>
          <w:szCs w:val="2"/>
        </w:rPr>
        <w:t>/</w:t>
      </w:r>
      <w:proofErr w:type="spellStart"/>
      <w:r w:rsidRPr="007F5C3A">
        <w:rPr>
          <w:sz w:val="2"/>
          <w:szCs w:val="2"/>
        </w:rPr>
        <w:t>sq</w:t>
      </w:r>
      <w:proofErr w:type="spellEnd"/>
      <w:r w:rsidRPr="007F5C3A">
        <w:rPr>
          <w:sz w:val="2"/>
          <w:szCs w:val="2"/>
        </w:rPr>
        <w:t xml:space="preserve"> cm accompanied by a peak over pressure of greater than 50 kPa (7 pounds per square inch) (see §121.1, Category IV(h)). Note to Item 18(a) A detector is defined as a mechanical, electrical, optical or chemical device that automatically identifies and records, or registers a stimulus such as an environmental change in pressure or temperature, an electrical or electromagnetic signal or radiation from a radioactive material. The following pages were removed from the final ITAR for replacement by DDTC's updated version §6(l) of the Export Administration Act of 1979 (50 U.S.C. App. 2405(l)), as amended. In accordance with this provision, the list of MTCR Annex items shall constitute all items on the U.S. Munitions List in §121.16. [58 FR 39287, July 22, 1993, as amended at 71 FR 20539, Apr. 21, 2006; 80 FR 37975, July 2, 2015; 80 FR 78131, Dec. 16, 2015] </w:t>
      </w:r>
    </w:p>
    <w:p w:rsidR="00F8432D" w:rsidRPr="00F8432D" w:rsidRDefault="00F8432D" w:rsidP="00F8432D"/>
    <w:p w:rsidR="00CD4145" w:rsidRDefault="00CD4145" w:rsidP="00CD4145">
      <w:pPr>
        <w:pStyle w:val="Heading2"/>
      </w:pPr>
      <w:r>
        <w:lastRenderedPageBreak/>
        <w:t>**AT: Counterplans**</w:t>
      </w:r>
    </w:p>
    <w:p w:rsidR="0067627F" w:rsidRPr="0067627F" w:rsidRDefault="0067627F" w:rsidP="0067627F">
      <w:pPr>
        <w:pStyle w:val="Heading3"/>
      </w:pPr>
      <w:bookmarkStart w:id="2" w:name="_GoBack"/>
      <w:bookmarkEnd w:id="2"/>
      <w:r>
        <w:lastRenderedPageBreak/>
        <w:t xml:space="preserve">Top Level- </w:t>
      </w:r>
      <w:r w:rsidR="00DC072D">
        <w:t>Gender 1st</w:t>
      </w:r>
    </w:p>
    <w:p w:rsidR="00016550" w:rsidRDefault="00016550" w:rsidP="00016550">
      <w:pPr>
        <w:pStyle w:val="Heading4"/>
      </w:pPr>
      <w:r>
        <w:t>Any policy that doesn’t start from the question of gender reproduces gendered violence</w:t>
      </w:r>
    </w:p>
    <w:p w:rsidR="00016550" w:rsidRDefault="00016550" w:rsidP="00016550">
      <w:r w:rsidRPr="00567BA6">
        <w:rPr>
          <w:rStyle w:val="Style13ptBold"/>
        </w:rPr>
        <w:t>DDA 1</w:t>
      </w:r>
      <w:r>
        <w:t xml:space="preserve"> (Department for Disarmament Affairs, “Gender Perspectives on Disarmament </w:t>
      </w:r>
      <w:proofErr w:type="gramStart"/>
      <w:r>
        <w:t>And</w:t>
      </w:r>
      <w:proofErr w:type="gramEnd"/>
      <w:r>
        <w:t xml:space="preserve"> Development,” The Department for Disarmament Affairs in collaboration with the Office of the Special Adviser on Gender Issues and the Advancement of Women United Nations, March, 2001. </w:t>
      </w:r>
      <w:hyperlink r:id="rId42" w:history="1">
        <w:r>
          <w:rPr>
            <w:rStyle w:val="Hyperlink"/>
          </w:rPr>
          <w:t>http://www.seesac.org/f/img/File/Res/Gender-and-Small-Arms/Gender-Perspectives-on-Disarmament-and-Development-209.pdf</w:t>
        </w:r>
      </w:hyperlink>
      <w:r>
        <w:t>)//Bennerz</w:t>
      </w:r>
    </w:p>
    <w:p w:rsidR="00016550" w:rsidRPr="00DC072D" w:rsidRDefault="00016550" w:rsidP="00016550">
      <w:pPr>
        <w:rPr>
          <w:sz w:val="14"/>
        </w:rPr>
      </w:pPr>
      <w:r w:rsidRPr="002E4908">
        <w:rPr>
          <w:rStyle w:val="StyleUnderline"/>
        </w:rPr>
        <w:t>In international development circles much has been learned about the complex inter-relationship between development, gender equality, community dynamics and peace, as illustrated below</w:t>
      </w:r>
      <w:r w:rsidRPr="00DC072D">
        <w:rPr>
          <w:sz w:val="14"/>
        </w:rPr>
        <w:t xml:space="preserve">. • </w:t>
      </w:r>
      <w:r w:rsidRPr="002E4908">
        <w:rPr>
          <w:rStyle w:val="Emphasis"/>
        </w:rPr>
        <w:t>Gender issues are often overlooked</w:t>
      </w:r>
      <w:r w:rsidRPr="00DC072D">
        <w:rPr>
          <w:sz w:val="14"/>
        </w:rPr>
        <w:t xml:space="preserve">. Despite policy commitments to gender equality and the recognition that these issues are relevant across the entire range of development thinking and action, gender issues are often neglected. </w:t>
      </w:r>
      <w:r w:rsidRPr="00121082">
        <w:rPr>
          <w:rStyle w:val="StyleUnderline"/>
        </w:rPr>
        <w:t>There is a need for strong political will to ensure that they receive adequate attention and the requisite technical competence so that they are effectively addressed</w:t>
      </w:r>
      <w:r w:rsidRPr="00DC072D">
        <w:rPr>
          <w:sz w:val="14"/>
        </w:rPr>
        <w:t xml:space="preserve">. • Gender issues are often misunderstood. In many development initiatives, programmers and analysts often lose sight of the primary objective of a concern for gender, that is, to move towards more equitable relations between women and men. All too often gender issues are conceived as solely concerning the number of women participants or the development of marginal side initiatives for women within mainstream </w:t>
      </w:r>
      <w:proofErr w:type="spellStart"/>
      <w:r w:rsidRPr="00DC072D">
        <w:rPr>
          <w:sz w:val="14"/>
        </w:rPr>
        <w:t>programmes</w:t>
      </w:r>
      <w:proofErr w:type="spellEnd"/>
      <w:r w:rsidRPr="00DC072D">
        <w:rPr>
          <w:sz w:val="14"/>
        </w:rPr>
        <w:t xml:space="preserve">. • </w:t>
      </w:r>
      <w:r w:rsidRPr="00121082">
        <w:rPr>
          <w:rStyle w:val="Emphasis"/>
        </w:rPr>
        <w:t>Without an explicit recognition and understanding of gender inequalities and differences, development initiatives can worsen women’s situation and gender relations.</w:t>
      </w:r>
      <w:r w:rsidRPr="00DC072D">
        <w:rPr>
          <w:sz w:val="14"/>
        </w:rPr>
        <w:t xml:space="preserve"> </w:t>
      </w:r>
      <w:r w:rsidRPr="00121082">
        <w:rPr>
          <w:rStyle w:val="StyleUnderline"/>
        </w:rPr>
        <w:t>Experience has shown that the assumption “both women and men will benefit equally” is false.</w:t>
      </w:r>
      <w:r w:rsidRPr="00DC072D">
        <w:rPr>
          <w:sz w:val="14"/>
        </w:rPr>
        <w:t xml:space="preserve"> </w:t>
      </w:r>
      <w:r w:rsidRPr="00121082">
        <w:rPr>
          <w:rStyle w:val="StyleUnderline"/>
        </w:rPr>
        <w:t xml:space="preserve">The division of </w:t>
      </w:r>
      <w:proofErr w:type="spellStart"/>
      <w:r w:rsidRPr="00121082">
        <w:rPr>
          <w:rStyle w:val="StyleUnderline"/>
        </w:rPr>
        <w:t>labour</w:t>
      </w:r>
      <w:proofErr w:type="spellEnd"/>
      <w:r w:rsidRPr="00121082">
        <w:rPr>
          <w:rStyle w:val="StyleUnderline"/>
        </w:rPr>
        <w:t xml:space="preserve"> and responsibilities</w:t>
      </w:r>
      <w:r w:rsidRPr="00DC072D">
        <w:rPr>
          <w:sz w:val="14"/>
        </w:rPr>
        <w:t xml:space="preserve"> (who does what work), </w:t>
      </w:r>
      <w:r w:rsidRPr="00121082">
        <w:rPr>
          <w:rStyle w:val="StyleUnderline"/>
        </w:rPr>
        <w:t xml:space="preserve">social attitudes, and unequal access to resources all contribute to a situation where policies and </w:t>
      </w:r>
      <w:proofErr w:type="spellStart"/>
      <w:r w:rsidRPr="00121082">
        <w:rPr>
          <w:rStyle w:val="StyleUnderline"/>
        </w:rPr>
        <w:t>programmes</w:t>
      </w:r>
      <w:proofErr w:type="spellEnd"/>
      <w:r w:rsidRPr="00121082">
        <w:rPr>
          <w:rStyle w:val="StyleUnderline"/>
        </w:rPr>
        <w:t xml:space="preserve"> have a different impact on women and men</w:t>
      </w:r>
      <w:r w:rsidRPr="00DC072D">
        <w:rPr>
          <w:sz w:val="14"/>
        </w:rPr>
        <w:t xml:space="preserve">, (for example, education initiatives and poverty reduction strategies). Furthermore, these differences and inequalities influence how women and men participate in and respond to new </w:t>
      </w:r>
      <w:proofErr w:type="spellStart"/>
      <w:r w:rsidRPr="00DC072D">
        <w:rPr>
          <w:sz w:val="14"/>
        </w:rPr>
        <w:t>initia</w:t>
      </w:r>
      <w:proofErr w:type="spellEnd"/>
      <w:r w:rsidRPr="00DC072D">
        <w:rPr>
          <w:sz w:val="14"/>
        </w:rPr>
        <w:t xml:space="preserve"> - </w:t>
      </w:r>
      <w:proofErr w:type="spellStart"/>
      <w:r w:rsidRPr="00DC072D">
        <w:rPr>
          <w:sz w:val="14"/>
        </w:rPr>
        <w:t>tives</w:t>
      </w:r>
      <w:proofErr w:type="spellEnd"/>
      <w:r w:rsidRPr="00DC072D">
        <w:rPr>
          <w:sz w:val="14"/>
        </w:rPr>
        <w:t>. • Gender issues are relevant in understanding post-conflict dynamics. Recent advocacy and scholarship have drawn attention to how and why gender differences and inequalities are relevant during and after armed conflicts. There is growing interest in understanding how gender issues interweave with disarmament initiatives. (See briefing notes 1 on weapons of mass destruction, 3 on small arms and 5 on landmines.)</w:t>
      </w:r>
    </w:p>
    <w:p w:rsidR="00016550" w:rsidRPr="0051348F" w:rsidRDefault="00016550" w:rsidP="00016550"/>
    <w:p w:rsidR="00016550" w:rsidRPr="00016550" w:rsidRDefault="00016550" w:rsidP="00016550"/>
    <w:p w:rsidR="005B19E3" w:rsidRDefault="00DC072D" w:rsidP="005B19E3">
      <w:pPr>
        <w:pStyle w:val="Heading2"/>
      </w:pPr>
      <w:r>
        <w:lastRenderedPageBreak/>
        <w:t>**</w:t>
      </w:r>
      <w:r w:rsidR="005B19E3">
        <w:t>AT: Conditions</w:t>
      </w:r>
      <w:r>
        <w:t xml:space="preserve"> CP**</w:t>
      </w:r>
    </w:p>
    <w:p w:rsidR="000E17A2" w:rsidRPr="000E17A2" w:rsidRDefault="000E17A2" w:rsidP="000E17A2"/>
    <w:p w:rsidR="00DC072D" w:rsidRPr="00DC072D" w:rsidRDefault="00DC072D" w:rsidP="00DC072D">
      <w:pPr>
        <w:pStyle w:val="Heading3"/>
      </w:pPr>
      <w:r>
        <w:lastRenderedPageBreak/>
        <w:t>Conditions Fail</w:t>
      </w:r>
      <w:r w:rsidR="0043323E">
        <w:t>- Generic</w:t>
      </w:r>
    </w:p>
    <w:p w:rsidR="005B19E3" w:rsidRPr="00AE1B8D" w:rsidRDefault="005B19E3" w:rsidP="005B19E3">
      <w:pPr>
        <w:pStyle w:val="Heading4"/>
      </w:pPr>
      <w:r w:rsidRPr="00AE1B8D">
        <w:t xml:space="preserve">Conditions are essentially the </w:t>
      </w:r>
      <w:proofErr w:type="spellStart"/>
      <w:r w:rsidRPr="00AE1B8D">
        <w:t>squo</w:t>
      </w:r>
      <w:proofErr w:type="spellEnd"/>
      <w:r w:rsidRPr="00AE1B8D">
        <w:t xml:space="preserve"> and have empirically failed</w:t>
      </w:r>
    </w:p>
    <w:p w:rsidR="005B19E3" w:rsidRDefault="005B19E3" w:rsidP="005B19E3">
      <w:proofErr w:type="spellStart"/>
      <w:r w:rsidRPr="00AE1B8D">
        <w:rPr>
          <w:rStyle w:val="Style13ptBold"/>
        </w:rPr>
        <w:t>Seelke</w:t>
      </w:r>
      <w:proofErr w:type="spellEnd"/>
      <w:r w:rsidRPr="00AE1B8D">
        <w:rPr>
          <w:rStyle w:val="Style13ptBold"/>
        </w:rPr>
        <w:t xml:space="preserve"> and </w:t>
      </w:r>
      <w:proofErr w:type="spellStart"/>
      <w:r w:rsidRPr="00AE1B8D">
        <w:rPr>
          <w:rStyle w:val="Style13ptBold"/>
        </w:rPr>
        <w:t>Finklea</w:t>
      </w:r>
      <w:proofErr w:type="spellEnd"/>
      <w:r w:rsidRPr="00AE1B8D">
        <w:rPr>
          <w:rStyle w:val="Style13ptBold"/>
        </w:rPr>
        <w:t xml:space="preserve"> 17</w:t>
      </w:r>
      <w:r>
        <w:t xml:space="preserve"> (Clare </w:t>
      </w:r>
      <w:proofErr w:type="spellStart"/>
      <w:r>
        <w:t>Ribando</w:t>
      </w:r>
      <w:proofErr w:type="spellEnd"/>
      <w:r>
        <w:t xml:space="preserve"> </w:t>
      </w:r>
      <w:proofErr w:type="spellStart"/>
      <w:r>
        <w:t>Seelke</w:t>
      </w:r>
      <w:proofErr w:type="spellEnd"/>
      <w:r>
        <w:t xml:space="preserve">, Specialist in Latin American Affairs. Kristin </w:t>
      </w:r>
      <w:proofErr w:type="spellStart"/>
      <w:r>
        <w:t>Finklea</w:t>
      </w:r>
      <w:proofErr w:type="spellEnd"/>
      <w:r>
        <w:t xml:space="preserve">, Specialist in Domestic Security. "U.S.-Mexican Security Cooperation: The Mérida Initiative and Beyond," Congressional Research Service, June 29, 2017, </w:t>
      </w:r>
      <w:hyperlink r:id="rId43" w:history="1">
        <w:r w:rsidRPr="00F112DC">
          <w:rPr>
            <w:rStyle w:val="Hyperlink"/>
          </w:rPr>
          <w:t>https://fas.org/sgp/crs/row/R41349.pdf)//Bennerz</w:t>
        </w:r>
      </w:hyperlink>
    </w:p>
    <w:p w:rsidR="005B19E3" w:rsidRDefault="005B19E3" w:rsidP="005B19E3">
      <w:pPr>
        <w:rPr>
          <w:sz w:val="14"/>
        </w:rPr>
      </w:pPr>
      <w:r w:rsidRPr="00E05D2F">
        <w:rPr>
          <w:rStyle w:val="StyleUnderline"/>
        </w:rPr>
        <w:t>Congress has expressed ongoing concerns about human rights conditions in Mexico. These concerns have intensified as U.S. security assistance to Mexico has increased</w:t>
      </w:r>
      <w:r w:rsidRPr="00DC072D">
        <w:rPr>
          <w:sz w:val="14"/>
        </w:rPr>
        <w:t xml:space="preserve"> under the Mérida Initiative. </w:t>
      </w:r>
      <w:r w:rsidRPr="00E05D2F">
        <w:rPr>
          <w:rStyle w:val="Emphasis"/>
        </w:rPr>
        <w:t>Congress has continued monitoring adherence to the “Leahy laws” that require vetting for Mexican security forces to receive U.S. DOD or State Department support.</w:t>
      </w:r>
      <w:r w:rsidRPr="00DC072D">
        <w:rPr>
          <w:sz w:val="14"/>
        </w:rPr>
        <w:t xml:space="preserve">108 </w:t>
      </w:r>
      <w:r w:rsidRPr="00E05D2F">
        <w:rPr>
          <w:rStyle w:val="StyleUnderline"/>
        </w:rPr>
        <w:t xml:space="preserve">From FY2008 to FY2015, </w:t>
      </w:r>
      <w:r w:rsidRPr="00E05D2F">
        <w:rPr>
          <w:rStyle w:val="Emphasis"/>
        </w:rPr>
        <w:t xml:space="preserve">Congress also conditioned U.S. </w:t>
      </w:r>
      <w:r w:rsidRPr="00AE1B8D">
        <w:rPr>
          <w:rStyle w:val="Emphasis"/>
        </w:rPr>
        <w:t>assistance to the Mexican military and police on compliance with certain human rights standards</w:t>
      </w:r>
      <w:r w:rsidRPr="00DC072D">
        <w:rPr>
          <w:sz w:val="14"/>
        </w:rPr>
        <w:t xml:space="preserve">. </w:t>
      </w:r>
      <w:r w:rsidRPr="00E05D2F">
        <w:rPr>
          <w:rStyle w:val="StyleUnderline"/>
        </w:rPr>
        <w:t>In an October 19, 2015, briefing, a spokesperson said that although the State Department was “unable to confirm and report to Congress that Mexico fully met all of the [human rights] criteria in the Fiscal Year 2014 appropriation legislation</w:t>
      </w:r>
      <w:r w:rsidRPr="00DC072D">
        <w:rPr>
          <w:sz w:val="14"/>
        </w:rPr>
        <w:t xml:space="preserve"> (P.L. 113-76) ... [</w:t>
      </w:r>
      <w:r w:rsidRPr="00697A1F">
        <w:rPr>
          <w:rStyle w:val="StyleUnderline"/>
        </w:rPr>
        <w:t>it continues] to strongly support Mexico’s ongoing efforts</w:t>
      </w:r>
      <w:r w:rsidRPr="00DC072D">
        <w:rPr>
          <w:sz w:val="14"/>
        </w:rPr>
        <w:t xml:space="preserve"> to reform its law enforcement and justice systems.” As a result of the State Department’s decision not to submit a report for Mexico, some $5 million in International Narcotics and Law Enforcement (INCLE) assistance was reprogrammed to Peru. Mexico lost close to $500,000 in foreign military financing (FMF) that was withheld as well. For FY2015, human rights groups again urged the State Department not to submit a human rights progress report for Mexico as required by P.L. 113-235. 109 </w:t>
      </w:r>
      <w:r w:rsidRPr="0002599A">
        <w:rPr>
          <w:rStyle w:val="StyleUnderline"/>
        </w:rPr>
        <w:t>In September 2016, the State Department did submit a report certifying that Mexico was taking steps to improve respect for human rights through the transition to an accusatorial justice system, among other measures.</w:t>
      </w:r>
      <w:r w:rsidRPr="00DC072D">
        <w:rPr>
          <w:sz w:val="14"/>
        </w:rPr>
        <w:t xml:space="preserve">110 </w:t>
      </w:r>
      <w:r w:rsidRPr="0002599A">
        <w:rPr>
          <w:rStyle w:val="Emphasis"/>
        </w:rPr>
        <w:t>The report stated, however, that “emblematic human rights cases ... underscore the continuing challenges and the need for further action to protect human rights and the rule of law.”</w:t>
      </w:r>
      <w:r w:rsidRPr="00DC072D">
        <w:rPr>
          <w:sz w:val="14"/>
        </w:rPr>
        <w:t xml:space="preserve"> The FY2016 Consolidated Appropriations Act (P.L. 114-113) contained conditions similar to those described above in P.L. 113-235, but they applied to FMF rather than to Mérida Initiative aid.111 </w:t>
      </w:r>
      <w:r w:rsidRPr="0002599A">
        <w:rPr>
          <w:rStyle w:val="StyleUnderline"/>
        </w:rPr>
        <w:t>The FY2017 Consolidated Appropriations Act</w:t>
      </w:r>
      <w:r w:rsidRPr="00DC072D">
        <w:rPr>
          <w:sz w:val="14"/>
        </w:rPr>
        <w:t xml:space="preserve"> (P.L. 115-31) </w:t>
      </w:r>
      <w:r w:rsidRPr="0002599A">
        <w:rPr>
          <w:rStyle w:val="StyleUnderline"/>
        </w:rPr>
        <w:t>has</w:t>
      </w:r>
      <w:r w:rsidRPr="00DC072D">
        <w:rPr>
          <w:sz w:val="14"/>
        </w:rPr>
        <w:t xml:space="preserve"> slightly different </w:t>
      </w:r>
      <w:r w:rsidRPr="0002599A">
        <w:rPr>
          <w:rStyle w:val="StyleUnderline"/>
        </w:rPr>
        <w:t>conditions</w:t>
      </w:r>
      <w:r w:rsidRPr="00DC072D">
        <w:rPr>
          <w:sz w:val="14"/>
        </w:rPr>
        <w:t xml:space="preserve">, but they also apply to FMF as opposed to Mérida Initiative aid accounts.112 </w:t>
      </w:r>
      <w:r w:rsidRPr="0002599A">
        <w:rPr>
          <w:rStyle w:val="StyleUnderline"/>
        </w:rPr>
        <w:t xml:space="preserve">The State Department has established a high-level human rights dialogue with Mexico, provided human rights training for Mexican security forces, and implemented a number of human </w:t>
      </w:r>
      <w:proofErr w:type="spellStart"/>
      <w:r w:rsidRPr="0002599A">
        <w:rPr>
          <w:rStyle w:val="StyleUnderline"/>
        </w:rPr>
        <w:t>rightsrelated</w:t>
      </w:r>
      <w:proofErr w:type="spellEnd"/>
      <w:r w:rsidRPr="0002599A">
        <w:rPr>
          <w:rStyle w:val="StyleUnderline"/>
        </w:rPr>
        <w:t xml:space="preserve"> programs</w:t>
      </w:r>
      <w:r w:rsidRPr="00DC072D">
        <w:rPr>
          <w:sz w:val="14"/>
        </w:rPr>
        <w:t>. USAID has supported a $5 million program being implemented by Freedom House to improve protections for Mexican journalists and human rights defenders that is in the process of being extended and augmented. USAID is dedicating $25 million through 2018 for that and other human rights programs focused on helping Mexico develop a national human rights strategy, assist victims of torture and other abuses, and develop and implement legislation related to preventing and punishing human rights abuses. Congress may choose to augment Mérida Initiative funding for human rights programs, such as ongoing training programs for military and police, or newer efforts, such as support for human rights organizations. Human rights conditions in Mexico, as well as compliance with conditions on Mérida assistance, are also likely to continue to be important oversight issues. Along with consideration of providing funds to help secure Mexico’s southern border, Congress may consider how to help mitigate concerns about migrants’ rights in Mexico.</w:t>
      </w:r>
    </w:p>
    <w:p w:rsidR="0043323E" w:rsidRDefault="0043323E" w:rsidP="0043323E">
      <w:pPr>
        <w:pStyle w:val="Heading3"/>
      </w:pPr>
      <w:r>
        <w:lastRenderedPageBreak/>
        <w:t>Conditions Fail- Gender</w:t>
      </w:r>
    </w:p>
    <w:p w:rsidR="0043323E" w:rsidRPr="00676953" w:rsidRDefault="0043323E" w:rsidP="0043323E">
      <w:pPr>
        <w:pStyle w:val="Heading4"/>
        <w:rPr>
          <w:rFonts w:asciiTheme="majorHAnsi" w:hAnsiTheme="majorHAnsi" w:cstheme="majorHAnsi"/>
        </w:rPr>
      </w:pPr>
      <w:r>
        <w:rPr>
          <w:rFonts w:asciiTheme="majorHAnsi" w:hAnsiTheme="majorHAnsi" w:cstheme="majorHAnsi"/>
        </w:rPr>
        <w:t>Conditional human rights constraints fail to solve gender-violence</w:t>
      </w:r>
    </w:p>
    <w:p w:rsidR="0043323E" w:rsidRPr="00676953" w:rsidRDefault="0043323E" w:rsidP="0043323E">
      <w:pPr>
        <w:rPr>
          <w:rStyle w:val="Style13ptBold"/>
          <w:rFonts w:asciiTheme="majorHAnsi" w:hAnsiTheme="majorHAnsi" w:cstheme="majorHAnsi"/>
        </w:rPr>
      </w:pPr>
      <w:r w:rsidRPr="00676953">
        <w:rPr>
          <w:rStyle w:val="Style13ptBold"/>
          <w:rFonts w:asciiTheme="majorHAnsi" w:hAnsiTheme="majorHAnsi" w:cstheme="majorHAnsi"/>
        </w:rPr>
        <w:t>Alley 19</w:t>
      </w:r>
    </w:p>
    <w:p w:rsidR="0043323E" w:rsidRPr="00676953" w:rsidRDefault="0043323E" w:rsidP="0043323E">
      <w:pPr>
        <w:rPr>
          <w:rFonts w:asciiTheme="majorHAnsi" w:hAnsiTheme="majorHAnsi" w:cstheme="majorHAnsi"/>
          <w:b/>
          <w:sz w:val="20"/>
          <w:szCs w:val="20"/>
        </w:rPr>
      </w:pPr>
      <w:r w:rsidRPr="00676953">
        <w:rPr>
          <w:rStyle w:val="Style13ptBold"/>
          <w:rFonts w:asciiTheme="majorHAnsi" w:hAnsiTheme="majorHAnsi" w:cstheme="majorHAnsi"/>
          <w:sz w:val="20"/>
          <w:szCs w:val="20"/>
        </w:rPr>
        <w:t>(Roderic Alley, Centre for Strategic Studies, Victoria University of Wellington, Wellington, New Zealand (2019) Small arms and light weapons: the disjunction problem, Conflict, Security &amp; Development, 19:2, 143-172, DOI: 10.1080/14678802.2019.1570722, JKS)</w:t>
      </w:r>
    </w:p>
    <w:p w:rsidR="0043323E" w:rsidRPr="00056909" w:rsidRDefault="0043323E" w:rsidP="0043323E">
      <w:pPr>
        <w:rPr>
          <w:rFonts w:asciiTheme="majorHAnsi" w:hAnsiTheme="majorHAnsi" w:cstheme="majorHAnsi"/>
          <w:sz w:val="14"/>
        </w:rPr>
      </w:pPr>
      <w:r w:rsidRPr="00056909">
        <w:rPr>
          <w:rStyle w:val="Emphasis"/>
        </w:rPr>
        <w:t>This is lacking for SALW restraints anchored in human rights where conditional, not definitive, determinations prevail</w:t>
      </w:r>
      <w:r w:rsidRPr="00056909">
        <w:rPr>
          <w:rFonts w:asciiTheme="majorHAnsi" w:hAnsiTheme="majorHAnsi" w:cstheme="majorHAnsi"/>
          <w:sz w:val="14"/>
        </w:rPr>
        <w:t xml:space="preserve">. </w:t>
      </w:r>
      <w:r w:rsidRPr="00056909">
        <w:rPr>
          <w:rStyle w:val="StyleUnderline"/>
        </w:rPr>
        <w:t>This is seen in the United States Presidential Directive of 2018 regarding conventional arms transfers. Here, no more than ‘account is taken’ regarding conditions where such transfers may contribute to abuses of human rights, including acts of gender-based violence</w:t>
      </w:r>
      <w:r w:rsidRPr="00056909">
        <w:rPr>
          <w:rFonts w:asciiTheme="majorHAnsi" w:hAnsiTheme="majorHAnsi" w:cstheme="majorHAnsi"/>
          <w:sz w:val="14"/>
        </w:rPr>
        <w:t xml:space="preserve"> or acts of violence against children, violations of IHL, terrorism, mass atrocities or transnational </w:t>
      </w:r>
      <w:proofErr w:type="spellStart"/>
      <w:r w:rsidRPr="00056909">
        <w:rPr>
          <w:rFonts w:asciiTheme="majorHAnsi" w:hAnsiTheme="majorHAnsi" w:cstheme="majorHAnsi"/>
          <w:sz w:val="14"/>
        </w:rPr>
        <w:t>organised</w:t>
      </w:r>
      <w:proofErr w:type="spellEnd"/>
      <w:r w:rsidRPr="00056909">
        <w:rPr>
          <w:rFonts w:asciiTheme="majorHAnsi" w:hAnsiTheme="majorHAnsi" w:cstheme="majorHAnsi"/>
          <w:sz w:val="14"/>
        </w:rPr>
        <w:t xml:space="preserve"> crime.99 Different problems confront the otherwise soundly constructed Nairobi Protocol on Small Arms and Light Weapons in force since 2005.100 They relate to problems confronting African Union–UN Security Council agreement in managing ongoing dispute settlement and conflict resolution.101 States party to the Nairobi Protocol variously in violation of its prescriptions, include Burundi, the DRC, Djibouti, Ethiopia, Eritrea, Kenya, Sudan, Tanzania and Uganda. </w:t>
      </w:r>
      <w:r w:rsidRPr="00056909">
        <w:rPr>
          <w:rStyle w:val="StyleUnderline"/>
        </w:rPr>
        <w:t xml:space="preserve">Overall, the disjunctive gap dividing current state conduct from rights-based, ethical considerations in the transfer and receipt of SALW is substantial. Prospects for eroding its reinforcements depend on the extent to which mitigation of civilian harm is not just </w:t>
      </w:r>
      <w:proofErr w:type="gramStart"/>
      <w:r w:rsidRPr="00056909">
        <w:rPr>
          <w:rStyle w:val="StyleUnderline"/>
        </w:rPr>
        <w:t>acknowledged, but</w:t>
      </w:r>
      <w:proofErr w:type="gramEnd"/>
      <w:r w:rsidRPr="00056909">
        <w:rPr>
          <w:rStyle w:val="StyleUnderline"/>
        </w:rPr>
        <w:t xml:space="preserve"> moved from the margins to </w:t>
      </w:r>
      <w:proofErr w:type="spellStart"/>
      <w:r w:rsidRPr="00056909">
        <w:rPr>
          <w:rStyle w:val="StyleUnderline"/>
        </w:rPr>
        <w:t>centres</w:t>
      </w:r>
      <w:proofErr w:type="spellEnd"/>
      <w:r w:rsidRPr="00056909">
        <w:rPr>
          <w:rStyle w:val="StyleUnderline"/>
        </w:rPr>
        <w:t xml:space="preserve"> of relevant policy determination.</w:t>
      </w:r>
      <w:r w:rsidRPr="00056909">
        <w:rPr>
          <w:rFonts w:asciiTheme="majorHAnsi" w:hAnsiTheme="majorHAnsi" w:cstheme="majorHAnsi"/>
          <w:sz w:val="14"/>
        </w:rPr>
        <w:t xml:space="preserve"> </w:t>
      </w:r>
      <w:r w:rsidRPr="00056909">
        <w:rPr>
          <w:rStyle w:val="StyleUnderline"/>
        </w:rPr>
        <w:t>An ethical failure to do so can risk negative consequences, and appreciation that what is morally right is more often than not politically right is slowly growing.</w:t>
      </w:r>
      <w:r w:rsidRPr="00056909">
        <w:rPr>
          <w:rFonts w:asciiTheme="majorHAnsi" w:hAnsiTheme="majorHAnsi" w:cstheme="majorHAnsi"/>
          <w:sz w:val="14"/>
        </w:rPr>
        <w:t xml:space="preserve"> Foreign policy advantages can accrue to states choosing not to export SALW into locations exhibiting egregious rights violations.</w:t>
      </w:r>
    </w:p>
    <w:p w:rsidR="0043323E" w:rsidRPr="0043323E" w:rsidRDefault="0043323E" w:rsidP="0043323E"/>
    <w:p w:rsidR="00DC072D" w:rsidRDefault="00DC072D" w:rsidP="00DC072D">
      <w:pPr>
        <w:pStyle w:val="Heading3"/>
      </w:pPr>
      <w:r>
        <w:lastRenderedPageBreak/>
        <w:t>No Compliance</w:t>
      </w:r>
    </w:p>
    <w:p w:rsidR="00DC072D" w:rsidRPr="008D6CD5" w:rsidRDefault="00DC072D" w:rsidP="00DC072D">
      <w:pPr>
        <w:pStyle w:val="Heading4"/>
      </w:pPr>
      <w:r w:rsidRPr="008D6CD5">
        <w:t>No way to know if Mexico complies</w:t>
      </w:r>
    </w:p>
    <w:p w:rsidR="00DC072D" w:rsidRDefault="00DC072D" w:rsidP="00DC072D">
      <w:r w:rsidRPr="009D1C32">
        <w:rPr>
          <w:rStyle w:val="Style13ptBold"/>
        </w:rPr>
        <w:t>Lindsay-Poland 18</w:t>
      </w:r>
      <w:r>
        <w:t xml:space="preserve"> (John Lindsay-Poland, researcher specializing in Latin American foreign policy with over 30 years of </w:t>
      </w:r>
      <w:proofErr w:type="gramStart"/>
      <w:r>
        <w:t>experience  "</w:t>
      </w:r>
      <w:proofErr w:type="gramEnd"/>
      <w:r>
        <w:t>How U.S. Guns Sold to Mexico End Up With Security Forces Accused of Crime and Human Rights Abuses," Intercept, 4-26-2018, https://theintercept.com/2018/04/26/mexico-arms-trade-us-gun-sales/)//Bennerz</w:t>
      </w:r>
    </w:p>
    <w:p w:rsidR="00DC072D" w:rsidRDefault="00DC072D" w:rsidP="00DC072D">
      <w:pPr>
        <w:rPr>
          <w:rStyle w:val="StyleUnderline"/>
        </w:rPr>
      </w:pPr>
      <w:r>
        <w:t xml:space="preserve">These are unusual </w:t>
      </w:r>
      <w:proofErr w:type="gramStart"/>
      <w:r>
        <w:t>cases,</w:t>
      </w:r>
      <w:proofErr w:type="gramEnd"/>
      <w:r>
        <w:t xml:space="preserve"> in that we know which weapons were involved. </w:t>
      </w:r>
      <w:r w:rsidRPr="00D87674">
        <w:rPr>
          <w:rStyle w:val="Emphasis"/>
        </w:rPr>
        <w:t>Most homicides in Mexico — including those carried out by state forces — are never investigated, so there is no judicial record identifying the firearms that were used</w:t>
      </w:r>
      <w:r>
        <w:t xml:space="preserve">. But </w:t>
      </w:r>
      <w:r w:rsidRPr="00D87674">
        <w:rPr>
          <w:rStyle w:val="StyleUnderline"/>
        </w:rPr>
        <w:t xml:space="preserve">the volume of U.S. firearms going to Mexico, combined with the well-established record of police and military forces colluding with organized crime and committing gross human rights violations, means that </w:t>
      </w:r>
      <w:r w:rsidRPr="008D6CD5">
        <w:rPr>
          <w:rStyle w:val="StyleUnderline"/>
        </w:rPr>
        <w:t>U.S. guns are certainly at the scene of many more crimes.</w:t>
      </w:r>
    </w:p>
    <w:p w:rsidR="000E17A2" w:rsidRPr="000E17A2" w:rsidRDefault="000E17A2" w:rsidP="000E17A2">
      <w:pPr>
        <w:pStyle w:val="Heading3"/>
      </w:pPr>
      <w:r>
        <w:lastRenderedPageBreak/>
        <w:t>Can’t Solve FMS</w:t>
      </w:r>
    </w:p>
    <w:p w:rsidR="000E17A2" w:rsidRPr="00676953" w:rsidRDefault="000E17A2" w:rsidP="000E17A2">
      <w:pPr>
        <w:pStyle w:val="Heading4"/>
        <w:rPr>
          <w:rFonts w:asciiTheme="majorHAnsi" w:hAnsiTheme="majorHAnsi" w:cstheme="majorHAnsi"/>
        </w:rPr>
      </w:pPr>
      <w:r>
        <w:rPr>
          <w:rFonts w:asciiTheme="majorHAnsi" w:hAnsiTheme="majorHAnsi" w:cstheme="majorHAnsi"/>
        </w:rPr>
        <w:t>Those human rights conditions don’t apply to police receiving FMS</w:t>
      </w:r>
    </w:p>
    <w:p w:rsidR="000E17A2" w:rsidRPr="00676953" w:rsidRDefault="000E17A2" w:rsidP="000E17A2">
      <w:pPr>
        <w:rPr>
          <w:rStyle w:val="Style13ptBold"/>
          <w:rFonts w:asciiTheme="majorHAnsi" w:hAnsiTheme="majorHAnsi" w:cstheme="majorHAnsi"/>
        </w:rPr>
      </w:pPr>
      <w:r w:rsidRPr="00676953">
        <w:rPr>
          <w:rStyle w:val="Style13ptBold"/>
          <w:rFonts w:asciiTheme="majorHAnsi" w:hAnsiTheme="majorHAnsi" w:cstheme="majorHAnsi"/>
        </w:rPr>
        <w:t>AFSC 16</w:t>
      </w:r>
    </w:p>
    <w:p w:rsidR="000E17A2" w:rsidRPr="00676953" w:rsidRDefault="000E17A2" w:rsidP="000E17A2">
      <w:pPr>
        <w:rPr>
          <w:rFonts w:asciiTheme="majorHAnsi" w:hAnsiTheme="majorHAnsi" w:cstheme="majorHAnsi"/>
          <w:b/>
          <w:sz w:val="20"/>
          <w:szCs w:val="20"/>
        </w:rPr>
      </w:pPr>
      <w:r w:rsidRPr="00676953">
        <w:rPr>
          <w:rStyle w:val="Style13ptBold"/>
          <w:rFonts w:asciiTheme="majorHAnsi" w:hAnsiTheme="majorHAnsi" w:cstheme="majorHAnsi"/>
          <w:sz w:val="20"/>
          <w:szCs w:val="20"/>
        </w:rPr>
        <w:t xml:space="preserve">(The American Friends Service Committee (AFSC) is a Quaker organization that promotes lasting peace with justice, as a practical expression of faith in action. The AFSC delegation traveled in Mexico from June 12 to 26, 2016. It was made up of 17 participants, primarily from the United States, as well as from Mexico, Guatemala, and Israel. The group included AFSC staff with long experience in issues of arms transfers and immigration policy, as well as journalists, a videographer, and other activists. We were supported in country by Casa de los Amigos (Mexico City, casadelosamigos.org), Fray </w:t>
      </w:r>
      <w:proofErr w:type="spellStart"/>
      <w:r w:rsidRPr="00676953">
        <w:rPr>
          <w:rStyle w:val="Style13ptBold"/>
          <w:rFonts w:asciiTheme="majorHAnsi" w:hAnsiTheme="majorHAnsi" w:cstheme="majorHAnsi"/>
          <w:sz w:val="20"/>
          <w:szCs w:val="20"/>
        </w:rPr>
        <w:t>Matías</w:t>
      </w:r>
      <w:proofErr w:type="spellEnd"/>
      <w:r w:rsidRPr="00676953">
        <w:rPr>
          <w:rStyle w:val="Style13ptBold"/>
          <w:rFonts w:asciiTheme="majorHAnsi" w:hAnsiTheme="majorHAnsi" w:cstheme="majorHAnsi"/>
          <w:sz w:val="20"/>
          <w:szCs w:val="20"/>
        </w:rPr>
        <w:t xml:space="preserve"> Human Rights Center (Chiapas, cdhfraymatias.org), and the </w:t>
      </w:r>
      <w:proofErr w:type="spellStart"/>
      <w:r w:rsidRPr="00676953">
        <w:rPr>
          <w:rStyle w:val="Style13ptBold"/>
          <w:rFonts w:asciiTheme="majorHAnsi" w:hAnsiTheme="majorHAnsi" w:cstheme="majorHAnsi"/>
          <w:sz w:val="20"/>
          <w:szCs w:val="20"/>
        </w:rPr>
        <w:t>Tlachinollan</w:t>
      </w:r>
      <w:proofErr w:type="spellEnd"/>
      <w:r w:rsidRPr="00676953">
        <w:rPr>
          <w:rStyle w:val="Style13ptBold"/>
          <w:rFonts w:asciiTheme="majorHAnsi" w:hAnsiTheme="majorHAnsi" w:cstheme="majorHAnsi"/>
          <w:sz w:val="20"/>
          <w:szCs w:val="20"/>
        </w:rPr>
        <w:t xml:space="preserve"> Human Rights Center (Guerrero, tlachinollan.org). This report was written by delegation participants, with editorial assistance from Willie Colón, November 2016, WHERE THE GUNS GO, U.S. ARMS AND THE CRISIS OF VIOLENCE IN MEXICO, </w:t>
      </w:r>
      <w:hyperlink r:id="rId44" w:history="1">
        <w:r w:rsidRPr="00676953">
          <w:rPr>
            <w:rStyle w:val="Style13ptBold"/>
            <w:rFonts w:asciiTheme="majorHAnsi" w:hAnsiTheme="majorHAnsi" w:cstheme="majorHAnsi"/>
            <w:sz w:val="20"/>
            <w:szCs w:val="20"/>
          </w:rPr>
          <w:t>https://www.afsc.org/sites/default/files/documents/2016%20Where%20the%20Guns%20Go.pdf</w:t>
        </w:r>
      </w:hyperlink>
      <w:r w:rsidRPr="00676953">
        <w:rPr>
          <w:rStyle w:val="Style13ptBold"/>
          <w:rFonts w:asciiTheme="majorHAnsi" w:hAnsiTheme="majorHAnsi" w:cstheme="majorHAnsi"/>
          <w:sz w:val="20"/>
          <w:szCs w:val="20"/>
        </w:rPr>
        <w:t>, JKS)</w:t>
      </w:r>
    </w:p>
    <w:p w:rsidR="000E17A2" w:rsidRPr="00C93945" w:rsidRDefault="000E17A2" w:rsidP="000E17A2">
      <w:pPr>
        <w:rPr>
          <w:rStyle w:val="StyleUnderline"/>
        </w:rPr>
      </w:pPr>
      <w:r w:rsidRPr="000E17A2">
        <w:rPr>
          <w:rFonts w:asciiTheme="majorHAnsi" w:hAnsiTheme="majorHAnsi" w:cstheme="majorHAnsi"/>
          <w:sz w:val="14"/>
        </w:rPr>
        <w:t xml:space="preserve">In addition to U.S. grant assistance to Mexico, most of which is channeled to U.S. companies, </w:t>
      </w:r>
      <w:r w:rsidRPr="00C93945">
        <w:rPr>
          <w:rStyle w:val="StyleUnderline"/>
        </w:rPr>
        <w:t xml:space="preserve">the United States has also approved the transfer through sales of billions of dollars’ worth of other arms to the Mexican government. </w:t>
      </w:r>
      <w:r w:rsidRPr="000E17A2">
        <w:rPr>
          <w:rFonts w:asciiTheme="majorHAnsi" w:hAnsiTheme="majorHAnsi" w:cstheme="majorHAnsi"/>
          <w:sz w:val="14"/>
        </w:rPr>
        <w:t xml:space="preserve">According to The Washington Post, </w:t>
      </w:r>
      <w:r w:rsidRPr="00C93945">
        <w:rPr>
          <w:rStyle w:val="StyleUnderline"/>
        </w:rPr>
        <w:t>the value of weapons and military equipment sold was $3.5 billion from 2012 to 2015 and included firearms, armored vehicles, helicopters, and other military aircraft.1</w:t>
      </w:r>
      <w:r w:rsidRPr="000E17A2">
        <w:rPr>
          <w:rFonts w:asciiTheme="majorHAnsi" w:hAnsiTheme="majorHAnsi" w:cstheme="majorHAnsi"/>
          <w:sz w:val="14"/>
        </w:rPr>
        <w:t xml:space="preserve">6 “We didn’t sell them just the helicopters,” a former Pentagon official on Mexico policy told The New York Times. “We sold them 15 years of working intimately together that we would not otherwise have.”17 Whatever the pretext or mode of delivery, </w:t>
      </w:r>
      <w:r w:rsidRPr="00C93945">
        <w:rPr>
          <w:rStyle w:val="Emphasis"/>
        </w:rPr>
        <w:t>the evidence is strong that such U.S. military transfers contribute significantly to violence, instability, and the denial of human rights.</w:t>
      </w:r>
      <w:r w:rsidRPr="000E17A2">
        <w:rPr>
          <w:rFonts w:asciiTheme="majorHAnsi" w:hAnsiTheme="majorHAnsi" w:cstheme="majorHAnsi"/>
          <w:sz w:val="14"/>
        </w:rPr>
        <w:t xml:space="preserve"> </w:t>
      </w:r>
      <w:r w:rsidRPr="00C93945">
        <w:rPr>
          <w:rStyle w:val="StyleUnderline"/>
        </w:rPr>
        <w:t xml:space="preserve">Because of the depth of corruption in the Mexican government, police and armed forces blur the lines between official groups and criminals, and </w:t>
      </w:r>
      <w:r w:rsidRPr="00C93945">
        <w:rPr>
          <w:rStyle w:val="Emphasis"/>
        </w:rPr>
        <w:t>legal arms sales</w:t>
      </w:r>
      <w:r w:rsidRPr="00C93945">
        <w:rPr>
          <w:rStyle w:val="StyleUnderline"/>
        </w:rPr>
        <w:t xml:space="preserve"> frequently end up arming criminal gangs and criminal conduct directly. </w:t>
      </w:r>
      <w:r w:rsidRPr="000E17A2">
        <w:rPr>
          <w:rFonts w:asciiTheme="majorHAnsi" w:hAnsiTheme="majorHAnsi" w:cstheme="majorHAnsi"/>
          <w:sz w:val="14"/>
        </w:rPr>
        <w:t xml:space="preserve">Moreover, </w:t>
      </w:r>
      <w:r w:rsidRPr="00C93945">
        <w:rPr>
          <w:rStyle w:val="StyleUnderline"/>
        </w:rPr>
        <w:t xml:space="preserve">the Mexican police and military have a long history of repression against mostly peaceful social movements. </w:t>
      </w:r>
      <w:r w:rsidRPr="000E17A2">
        <w:rPr>
          <w:rFonts w:asciiTheme="majorHAnsi" w:hAnsiTheme="majorHAnsi" w:cstheme="majorHAnsi"/>
          <w:sz w:val="14"/>
        </w:rPr>
        <w:t xml:space="preserve">In 2013 alone, the United States exported to Mexico 5,810 revolvers and pistols, 7,223 rifles, 30 assault rifles, 1,311 machine guns, 7,145 shotguns, 34 grenade launchers, and 20 anti-tank missile launchers, according to data reported to the United Nations. </w:t>
      </w:r>
      <w:r w:rsidRPr="00C93945">
        <w:rPr>
          <w:rStyle w:val="StyleUnderline"/>
        </w:rPr>
        <w:t xml:space="preserve">Among these weapons were U.S.-produced and exported rifles used by the police who attacked and handed over 43 student teachers from </w:t>
      </w:r>
      <w:proofErr w:type="spellStart"/>
      <w:r w:rsidRPr="00C93945">
        <w:rPr>
          <w:rStyle w:val="StyleUnderline"/>
        </w:rPr>
        <w:t>Ayotzinapa</w:t>
      </w:r>
      <w:proofErr w:type="spellEnd"/>
      <w:r w:rsidRPr="00C93945">
        <w:rPr>
          <w:rStyle w:val="StyleUnderline"/>
        </w:rPr>
        <w:t xml:space="preserve"> to a local criminal gang in September 2014</w:t>
      </w:r>
      <w:r w:rsidRPr="000E17A2">
        <w:rPr>
          <w:rFonts w:asciiTheme="majorHAnsi" w:hAnsiTheme="majorHAnsi" w:cstheme="majorHAnsi"/>
          <w:sz w:val="14"/>
        </w:rPr>
        <w:t xml:space="preserve">. Documents from the Mexican defense ministry’s arms registry include the weapons possessed by municipal police in Iguala, who carried out the crime. Among the arms listed: 20 assault rifles produced by Colt’s Manufacturing, headquartered in Hartford, Connecticut. Colt sold the Mexican government those rifles, which arrived in Guerrero in 2013.18 U.S. </w:t>
      </w:r>
      <w:r w:rsidRPr="00C93945">
        <w:rPr>
          <w:rStyle w:val="StyleUnderline"/>
        </w:rPr>
        <w:t>Embassy staff assured us that police who are shown to have committed grave human rights abuses are barred from receiving U.S. training</w:t>
      </w:r>
      <w:r w:rsidRPr="00C93945">
        <w:rPr>
          <w:rStyle w:val="Emphasis"/>
        </w:rPr>
        <w:t>. But the restriction apparently does not apply to police receiving U.S.-exported weapons.</w:t>
      </w:r>
      <w:r w:rsidRPr="000E17A2">
        <w:rPr>
          <w:rFonts w:asciiTheme="majorHAnsi" w:hAnsiTheme="majorHAnsi" w:cstheme="majorHAnsi"/>
          <w:sz w:val="14"/>
        </w:rPr>
        <w:t xml:space="preserve"> </w:t>
      </w:r>
      <w:r w:rsidRPr="00C93945">
        <w:rPr>
          <w:rStyle w:val="StyleUnderline"/>
        </w:rPr>
        <w:t xml:space="preserve">An increasing amount of arms sales to Mexico are made directly by the United States government, through its </w:t>
      </w:r>
      <w:r w:rsidRPr="00C93945">
        <w:rPr>
          <w:rStyle w:val="Emphasis"/>
        </w:rPr>
        <w:t>Foreign Military Sales</w:t>
      </w:r>
      <w:r w:rsidRPr="00C93945">
        <w:rPr>
          <w:rStyle w:val="StyleUnderline"/>
        </w:rPr>
        <w:t xml:space="preserve"> program</w:t>
      </w:r>
      <w:r w:rsidRPr="000E17A2">
        <w:rPr>
          <w:sz w:val="14"/>
        </w:rPr>
        <w:t>, rather than in commercial transactions with the producers, known as Direct Commercial Sales, even though those producers still profit from the sales.</w:t>
      </w:r>
    </w:p>
    <w:p w:rsidR="00DC072D" w:rsidRPr="00DC072D" w:rsidRDefault="00DC072D" w:rsidP="005B19E3">
      <w:pPr>
        <w:rPr>
          <w:sz w:val="14"/>
        </w:rPr>
      </w:pPr>
    </w:p>
    <w:p w:rsidR="005B19E3" w:rsidRDefault="00DC072D" w:rsidP="00DC072D">
      <w:pPr>
        <w:pStyle w:val="Heading3"/>
      </w:pPr>
      <w:r>
        <w:lastRenderedPageBreak/>
        <w:t>AT: Leahy Law (HR Conditions)</w:t>
      </w:r>
    </w:p>
    <w:p w:rsidR="005B19E3" w:rsidRDefault="005B19E3" w:rsidP="005B19E3">
      <w:pPr>
        <w:pStyle w:val="Heading4"/>
      </w:pPr>
      <w:r>
        <w:t>The Leahy Law sucks</w:t>
      </w:r>
    </w:p>
    <w:p w:rsidR="005B19E3" w:rsidRDefault="005B19E3" w:rsidP="005B19E3">
      <w:r w:rsidRPr="008163E8">
        <w:rPr>
          <w:rStyle w:val="Style13ptBold"/>
        </w:rPr>
        <w:t>Amnesty International 19</w:t>
      </w:r>
      <w:r w:rsidRPr="008163E8">
        <w:t xml:space="preserve"> (Amnesty International </w:t>
      </w:r>
      <w:proofErr w:type="gramStart"/>
      <w:r w:rsidRPr="008163E8">
        <w:t>USA  "</w:t>
      </w:r>
      <w:proofErr w:type="gramEnd"/>
      <w:r w:rsidRPr="008163E8">
        <w:t xml:space="preserve">Deconstructing the Leahy Law: Fact vs Fiction," </w:t>
      </w:r>
      <w:r>
        <w:t>2-8-2019</w:t>
      </w:r>
      <w:r w:rsidRPr="008163E8">
        <w:t>, https://www.amnestyusa.org/deconstructing-the-leahy-law-fact-vs-fiction/)//Bennerz</w:t>
      </w:r>
    </w:p>
    <w:p w:rsidR="005B19E3" w:rsidRDefault="005B19E3" w:rsidP="005B19E3">
      <w:pPr>
        <w:rPr>
          <w:sz w:val="16"/>
        </w:rPr>
      </w:pPr>
      <w:r w:rsidRPr="00DC072D">
        <w:rPr>
          <w:sz w:val="16"/>
        </w:rPr>
        <w:t xml:space="preserve">Fiction: The Leahy Law solves the human rights problems of foreign military and police units. Interestingly, </w:t>
      </w:r>
      <w:r w:rsidRPr="00C5100D">
        <w:rPr>
          <w:rStyle w:val="Emphasis"/>
        </w:rPr>
        <w:t>the Leahy Law places the burden on both the U.S. government and human rights organizations</w:t>
      </w:r>
      <w:r w:rsidRPr="00C5100D">
        <w:rPr>
          <w:rStyle w:val="StyleUnderline"/>
        </w:rPr>
        <w:t xml:space="preserve"> to document and compile information regarding alleged abuses</w:t>
      </w:r>
      <w:r w:rsidRPr="00DC072D">
        <w:rPr>
          <w:sz w:val="16"/>
        </w:rPr>
        <w:t xml:space="preserve"> – but the law and associated vetting process is not perfect, </w:t>
      </w:r>
      <w:r w:rsidRPr="00C5100D">
        <w:rPr>
          <w:rStyle w:val="StyleUnderline"/>
        </w:rPr>
        <w:t>nor will it alone solve the human rights problems of foreign security units.</w:t>
      </w:r>
      <w:r>
        <w:rPr>
          <w:rStyle w:val="StyleUnderline"/>
        </w:rPr>
        <w:t xml:space="preserve"> </w:t>
      </w:r>
      <w:r w:rsidRPr="00DC072D">
        <w:rPr>
          <w:sz w:val="16"/>
        </w:rPr>
        <w:t xml:space="preserve">Take for example, the vetting process itself. </w:t>
      </w:r>
      <w:r w:rsidRPr="00C5100D">
        <w:rPr>
          <w:rStyle w:val="Emphasis"/>
        </w:rPr>
        <w:t>The U.S. government currently utilizes Google key word searches as a first step in its online investigation</w:t>
      </w:r>
      <w:r w:rsidRPr="00DC072D">
        <w:rPr>
          <w:sz w:val="16"/>
        </w:rPr>
        <w:t xml:space="preserve"> (and for those who aren’t familiar with this type of search, </w:t>
      </w:r>
      <w:r w:rsidRPr="00C5100D">
        <w:rPr>
          <w:rStyle w:val="StyleUnderline"/>
        </w:rPr>
        <w:t>it does not pick up information in PDFs</w:t>
      </w:r>
      <w:r w:rsidRPr="00DC072D">
        <w:rPr>
          <w:sz w:val="16"/>
        </w:rPr>
        <w:t xml:space="preserve"> – so a tip for fellow human rights organizations: make sure your reports are also available in HTML/text). Additional staff dedicated solely to the vetting process have, however, recently been added to the State Department’s payroll – indicating that this process may be strengthening. </w:t>
      </w:r>
      <w:r w:rsidRPr="008163E8">
        <w:rPr>
          <w:rStyle w:val="StyleUnderline"/>
        </w:rPr>
        <w:t>The Leahy Law is by no means a silver bullet</w:t>
      </w:r>
      <w:r w:rsidRPr="00DC072D">
        <w:rPr>
          <w:sz w:val="16"/>
        </w:rPr>
        <w:t>- take for example the gap in oversight of arms sales which the recently adopted (and. we hope, soon to be signed and ratified by the U.S.) Arms Trade Treaty promises to fill. The Arms Trade Treaty (ATT) requires that arms exporters conduct an assessment of the risk that the arms could be used in committing human rights violations, and to take measures to mitigate that risk or halt the transfer if the risk reaches a certain level.</w:t>
      </w:r>
    </w:p>
    <w:p w:rsidR="00DC072D" w:rsidRDefault="00DC072D" w:rsidP="00DC072D">
      <w:pPr>
        <w:pStyle w:val="Heading4"/>
      </w:pPr>
      <w:r>
        <w:t>Leahy Law is just for FMF</w:t>
      </w:r>
    </w:p>
    <w:p w:rsidR="00DC072D" w:rsidRPr="00813D58" w:rsidRDefault="00DC072D" w:rsidP="00DC072D">
      <w:r w:rsidRPr="00813D58">
        <w:rPr>
          <w:rStyle w:val="Style13ptBold"/>
        </w:rPr>
        <w:t>DOD 19</w:t>
      </w:r>
      <w:r>
        <w:t xml:space="preserve"> (United States Department Of </w:t>
      </w:r>
      <w:proofErr w:type="gramStart"/>
      <w:r>
        <w:t>State  "</w:t>
      </w:r>
      <w:proofErr w:type="gramEnd"/>
      <w:r>
        <w:t>Leahy Law Fact Sheet," Bureau Of Democracy, Human Rights, And Labor, 1-22-2019, https://www.state.gov/key-topics-bureau-of-democracy-human-rights-and-labor/human-rights/leahy-law-fact-sheet/)//Bennerz</w:t>
      </w:r>
    </w:p>
    <w:p w:rsidR="00DC072D" w:rsidRPr="00DC072D" w:rsidRDefault="00DC072D" w:rsidP="00DC072D">
      <w:pPr>
        <w:rPr>
          <w:sz w:val="16"/>
        </w:rPr>
      </w:pPr>
      <w:r w:rsidRPr="00DC072D">
        <w:rPr>
          <w:sz w:val="16"/>
        </w:rPr>
        <w:t xml:space="preserve">What are Leahy laws? </w:t>
      </w:r>
      <w:r w:rsidRPr="00813D58">
        <w:rPr>
          <w:rStyle w:val="StyleUnderline"/>
        </w:rPr>
        <w:t xml:space="preserve">The term “Leahy law” refers to two statutory provisions prohibiting the U.S. Government from </w:t>
      </w:r>
      <w:r w:rsidRPr="00813D58">
        <w:rPr>
          <w:rStyle w:val="Emphasis"/>
        </w:rPr>
        <w:t>using funds for assistance</w:t>
      </w:r>
      <w:r w:rsidRPr="00813D58">
        <w:rPr>
          <w:rStyle w:val="StyleUnderline"/>
        </w:rPr>
        <w:t xml:space="preserve"> to units of foreign security forces where there is credible information implicating that unit in the commission of a gross violation of human rights</w:t>
      </w:r>
      <w:r w:rsidRPr="00DC072D">
        <w:rPr>
          <w:sz w:val="16"/>
        </w:rPr>
        <w:t xml:space="preserve"> (GVHR). One statutory provision applies to the State Department and the other applies to the Department of Defense. The State Department Leahy law was made permanent under section 620M of the Foreign Assistance Act of 1961, 22 U.S.C. 2378d. The U.S. government includes torture, extrajudicial killing, enforced disappearance, and rape under color of law as GVHRs when implementing the Leahy law. Incidents are examined on a fact-specific basis. The State Department Leahy law includes an exception permitting assistance to a unit if the Secretary of State determines and reports to Congress that the government of the implicated foreign security forces unit is taking effective steps to bring the responsible members to justice.</w:t>
      </w:r>
    </w:p>
    <w:p w:rsidR="00DC072D" w:rsidRDefault="00DC072D" w:rsidP="00DC072D">
      <w:pPr>
        <w:rPr>
          <w:rStyle w:val="Style13ptBold"/>
        </w:rPr>
      </w:pPr>
    </w:p>
    <w:p w:rsidR="00DC072D" w:rsidRPr="0065295E" w:rsidRDefault="00DC072D" w:rsidP="00DC072D">
      <w:pPr>
        <w:pStyle w:val="Heading4"/>
      </w:pPr>
      <w:r w:rsidRPr="0065295E">
        <w:t>The US sells billions in arms</w:t>
      </w:r>
    </w:p>
    <w:p w:rsidR="00DC072D" w:rsidRDefault="00DC072D" w:rsidP="00DC072D">
      <w:r w:rsidRPr="0065295E">
        <w:rPr>
          <w:rStyle w:val="Style13ptBold"/>
        </w:rPr>
        <w:t>SAM 19</w:t>
      </w:r>
      <w:r w:rsidRPr="0071571C">
        <w:t xml:space="preserve"> (</w:t>
      </w:r>
      <w:r>
        <w:t xml:space="preserve">Security Assistance Monitor, </w:t>
      </w:r>
      <w:r w:rsidRPr="0071571C">
        <w:t xml:space="preserve">"Arms Sales Dashboard," </w:t>
      </w:r>
      <w:r>
        <w:t>Security Assistance Monitor</w:t>
      </w:r>
      <w:r w:rsidRPr="0071571C">
        <w:t xml:space="preserve">, </w:t>
      </w:r>
      <w:r>
        <w:t>Accurate as of 6-30-2019</w:t>
      </w:r>
      <w:r w:rsidRPr="0071571C">
        <w:t xml:space="preserve">, </w:t>
      </w:r>
      <w:hyperlink r:id="rId45" w:history="1">
        <w:r w:rsidRPr="00F112DC">
          <w:rPr>
            <w:rStyle w:val="Hyperlink"/>
          </w:rPr>
          <w:t>http://securityassistance.org/content/arms-sales-dashboard</w:t>
        </w:r>
      </w:hyperlink>
      <w:r>
        <w:t>, *specifically filtered for 2018 sales from the US to Mexico in DCS and FMs</w:t>
      </w:r>
      <w:r w:rsidRPr="0071571C">
        <w:t>)//</w:t>
      </w:r>
      <w:proofErr w:type="spellStart"/>
      <w:r w:rsidRPr="0071571C">
        <w:t>Bennerz</w:t>
      </w:r>
      <w:proofErr w:type="spellEnd"/>
    </w:p>
    <w:tbl>
      <w:tblPr>
        <w:tblW w:w="0" w:type="auto"/>
        <w:tblInd w:w="-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873"/>
        <w:gridCol w:w="2541"/>
      </w:tblGrid>
      <w:tr w:rsidR="00DC072D" w:rsidRPr="0071571C" w:rsidTr="0013340D">
        <w:trPr>
          <w:trHeight w:val="290"/>
        </w:trPr>
        <w:tc>
          <w:tcPr>
            <w:tcW w:w="2873" w:type="dxa"/>
          </w:tcPr>
          <w:p w:rsidR="00DC072D" w:rsidRPr="0071571C" w:rsidRDefault="00DC072D" w:rsidP="0013340D">
            <w:pPr>
              <w:autoSpaceDE w:val="0"/>
              <w:autoSpaceDN w:val="0"/>
              <w:adjustRightInd w:val="0"/>
              <w:spacing w:after="0" w:line="240" w:lineRule="auto"/>
              <w:rPr>
                <w:color w:val="000000"/>
              </w:rPr>
            </w:pPr>
            <w:r w:rsidRPr="0071571C">
              <w:rPr>
                <w:color w:val="000000"/>
              </w:rPr>
              <w:t>Program Arms Sales Dashboard</w:t>
            </w:r>
          </w:p>
        </w:tc>
        <w:tc>
          <w:tcPr>
            <w:tcW w:w="2541" w:type="dxa"/>
          </w:tcPr>
          <w:p w:rsidR="00DC072D" w:rsidRPr="0071571C" w:rsidRDefault="00DC072D" w:rsidP="0013340D">
            <w:pPr>
              <w:autoSpaceDE w:val="0"/>
              <w:autoSpaceDN w:val="0"/>
              <w:adjustRightInd w:val="0"/>
              <w:spacing w:after="0" w:line="240" w:lineRule="auto"/>
              <w:rPr>
                <w:color w:val="000000"/>
              </w:rPr>
            </w:pPr>
            <w:r w:rsidRPr="0071571C">
              <w:rPr>
                <w:color w:val="000000"/>
              </w:rPr>
              <w:t>Total Amount</w:t>
            </w:r>
          </w:p>
        </w:tc>
      </w:tr>
      <w:tr w:rsidR="00DC072D" w:rsidRPr="0071571C" w:rsidTr="0013340D">
        <w:trPr>
          <w:trHeight w:val="290"/>
        </w:trPr>
        <w:tc>
          <w:tcPr>
            <w:tcW w:w="2873" w:type="dxa"/>
          </w:tcPr>
          <w:p w:rsidR="00DC072D" w:rsidRPr="0071571C" w:rsidRDefault="00DC072D" w:rsidP="0013340D">
            <w:pPr>
              <w:autoSpaceDE w:val="0"/>
              <w:autoSpaceDN w:val="0"/>
              <w:adjustRightInd w:val="0"/>
              <w:spacing w:after="0" w:line="240" w:lineRule="auto"/>
              <w:rPr>
                <w:color w:val="000000"/>
              </w:rPr>
            </w:pPr>
            <w:r w:rsidRPr="0071571C">
              <w:rPr>
                <w:color w:val="000000"/>
              </w:rPr>
              <w:t>Foreign Military Sales</w:t>
            </w:r>
          </w:p>
        </w:tc>
        <w:tc>
          <w:tcPr>
            <w:tcW w:w="2541" w:type="dxa"/>
          </w:tcPr>
          <w:p w:rsidR="00DC072D" w:rsidRPr="0071571C" w:rsidRDefault="00DC072D" w:rsidP="0013340D">
            <w:pPr>
              <w:autoSpaceDE w:val="0"/>
              <w:autoSpaceDN w:val="0"/>
              <w:adjustRightInd w:val="0"/>
              <w:spacing w:after="0" w:line="240" w:lineRule="auto"/>
              <w:jc w:val="right"/>
              <w:rPr>
                <w:color w:val="000000"/>
              </w:rPr>
            </w:pPr>
            <w:r w:rsidRPr="0071571C">
              <w:rPr>
                <w:color w:val="000000"/>
              </w:rPr>
              <w:t>1339400000</w:t>
            </w:r>
          </w:p>
        </w:tc>
      </w:tr>
      <w:tr w:rsidR="00DC072D" w:rsidRPr="0071571C" w:rsidTr="0013340D">
        <w:trPr>
          <w:trHeight w:val="290"/>
        </w:trPr>
        <w:tc>
          <w:tcPr>
            <w:tcW w:w="2873" w:type="dxa"/>
          </w:tcPr>
          <w:p w:rsidR="00DC072D" w:rsidRPr="0071571C" w:rsidRDefault="00DC072D" w:rsidP="0013340D">
            <w:pPr>
              <w:autoSpaceDE w:val="0"/>
              <w:autoSpaceDN w:val="0"/>
              <w:adjustRightInd w:val="0"/>
              <w:spacing w:after="0" w:line="240" w:lineRule="auto"/>
              <w:rPr>
                <w:color w:val="000000"/>
              </w:rPr>
            </w:pPr>
            <w:r w:rsidRPr="0071571C">
              <w:rPr>
                <w:color w:val="000000"/>
              </w:rPr>
              <w:t>Direct Commercial Sales</w:t>
            </w:r>
          </w:p>
        </w:tc>
        <w:tc>
          <w:tcPr>
            <w:tcW w:w="2541" w:type="dxa"/>
          </w:tcPr>
          <w:p w:rsidR="00DC072D" w:rsidRPr="0071571C" w:rsidRDefault="00DC072D" w:rsidP="0013340D">
            <w:pPr>
              <w:autoSpaceDE w:val="0"/>
              <w:autoSpaceDN w:val="0"/>
              <w:adjustRightInd w:val="0"/>
              <w:spacing w:after="0" w:line="240" w:lineRule="auto"/>
              <w:jc w:val="right"/>
              <w:rPr>
                <w:color w:val="000000"/>
              </w:rPr>
            </w:pPr>
            <w:r w:rsidRPr="0071571C">
              <w:rPr>
                <w:color w:val="000000"/>
              </w:rPr>
              <w:t>140364750</w:t>
            </w:r>
          </w:p>
        </w:tc>
      </w:tr>
    </w:tbl>
    <w:p w:rsidR="00DC072D" w:rsidRDefault="00DC072D" w:rsidP="00DC072D"/>
    <w:p w:rsidR="00DC072D" w:rsidRDefault="00DC072D" w:rsidP="00DC072D">
      <w:pPr>
        <w:pStyle w:val="Heading4"/>
      </w:pPr>
      <w:r>
        <w:lastRenderedPageBreak/>
        <w:t>The US gives under 4 million in FMF—means Leahy Law doesn’t do anything</w:t>
      </w:r>
    </w:p>
    <w:p w:rsidR="00DC072D" w:rsidRPr="00813D58" w:rsidRDefault="00DC072D" w:rsidP="00DC072D">
      <w:r w:rsidRPr="00EE5A3C">
        <w:rPr>
          <w:rStyle w:val="Style13ptBold"/>
        </w:rPr>
        <w:t>SAM 19</w:t>
      </w:r>
      <w:r w:rsidRPr="006D0F16">
        <w:t xml:space="preserve"> (</w:t>
      </w:r>
      <w:r>
        <w:t>Security Assistance Monitor</w:t>
      </w:r>
      <w:r w:rsidRPr="006D0F16">
        <w:t xml:space="preserve">  "Data," </w:t>
      </w:r>
      <w:r>
        <w:t xml:space="preserve">Security Assistance Monitor, Accurate as of 6-30-2019, </w:t>
      </w:r>
      <w:hyperlink r:id="rId46" w:history="1">
        <w:r w:rsidRPr="00F112DC">
          <w:rPr>
            <w:rStyle w:val="Hyperlink"/>
          </w:rPr>
          <w:t>http://securityassistance.org/data/program/military/Mexico/</w:t>
        </w:r>
      </w:hyperlink>
      <w:r>
        <w:t>, *specifically filtered for US security aid to Mexico in 2018</w:t>
      </w:r>
      <w:r w:rsidRPr="006D0F16">
        <w:t>)//</w:t>
      </w:r>
      <w:proofErr w:type="spellStart"/>
      <w:r w:rsidRPr="006D0F16">
        <w:t>Bennerz</w:t>
      </w:r>
      <w:proofErr w:type="spellEnd"/>
    </w:p>
    <w:tbl>
      <w:tblPr>
        <w:tblW w:w="85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040"/>
        <w:gridCol w:w="2500"/>
      </w:tblGrid>
      <w:tr w:rsidR="00DC072D" w:rsidRPr="00133B2C" w:rsidTr="0013340D">
        <w:trPr>
          <w:trHeight w:val="285"/>
        </w:trPr>
        <w:tc>
          <w:tcPr>
            <w:tcW w:w="6040" w:type="dxa"/>
            <w:shd w:val="clear" w:color="auto" w:fill="auto"/>
            <w:noWrap/>
            <w:vAlign w:val="bottom"/>
            <w:hideMark/>
          </w:tcPr>
          <w:p w:rsidR="00DC072D" w:rsidRPr="00133B2C" w:rsidRDefault="00DC072D" w:rsidP="0013340D">
            <w:pPr>
              <w:spacing w:after="0" w:line="240" w:lineRule="auto"/>
              <w:rPr>
                <w:rFonts w:eastAsia="Times New Roman"/>
                <w:color w:val="000000"/>
              </w:rPr>
            </w:pPr>
            <w:r w:rsidRPr="00133B2C">
              <w:rPr>
                <w:rFonts w:eastAsia="Times New Roman"/>
                <w:color w:val="000000"/>
              </w:rPr>
              <w:t>Fiscal Year</w:t>
            </w:r>
          </w:p>
        </w:tc>
        <w:tc>
          <w:tcPr>
            <w:tcW w:w="2500" w:type="dxa"/>
            <w:shd w:val="clear" w:color="auto" w:fill="auto"/>
            <w:noWrap/>
            <w:vAlign w:val="bottom"/>
            <w:hideMark/>
          </w:tcPr>
          <w:p w:rsidR="00DC072D" w:rsidRPr="00133B2C" w:rsidRDefault="00DC072D" w:rsidP="0013340D">
            <w:pPr>
              <w:spacing w:after="0" w:line="240" w:lineRule="auto"/>
              <w:rPr>
                <w:rFonts w:eastAsia="Times New Roman"/>
                <w:color w:val="000000"/>
              </w:rPr>
            </w:pPr>
            <w:r w:rsidRPr="00133B2C">
              <w:rPr>
                <w:rFonts w:eastAsia="Times New Roman"/>
                <w:color w:val="000000"/>
              </w:rPr>
              <w:t>2018</w:t>
            </w:r>
          </w:p>
        </w:tc>
      </w:tr>
      <w:tr w:rsidR="00DC072D" w:rsidRPr="00133B2C" w:rsidTr="0013340D">
        <w:trPr>
          <w:trHeight w:val="285"/>
        </w:trPr>
        <w:tc>
          <w:tcPr>
            <w:tcW w:w="6040" w:type="dxa"/>
            <w:shd w:val="clear" w:color="auto" w:fill="auto"/>
            <w:noWrap/>
            <w:vAlign w:val="bottom"/>
            <w:hideMark/>
          </w:tcPr>
          <w:p w:rsidR="00DC072D" w:rsidRPr="00133B2C" w:rsidRDefault="00DC072D" w:rsidP="0013340D">
            <w:pPr>
              <w:spacing w:after="0" w:line="240" w:lineRule="auto"/>
              <w:rPr>
                <w:rFonts w:eastAsia="Times New Roman"/>
                <w:color w:val="000000"/>
              </w:rPr>
            </w:pPr>
            <w:r w:rsidRPr="00133B2C">
              <w:rPr>
                <w:rFonts w:eastAsia="Times New Roman"/>
                <w:color w:val="000000"/>
              </w:rPr>
              <w:t>Program</w:t>
            </w:r>
          </w:p>
        </w:tc>
        <w:tc>
          <w:tcPr>
            <w:tcW w:w="2500" w:type="dxa"/>
            <w:shd w:val="clear" w:color="auto" w:fill="auto"/>
            <w:noWrap/>
            <w:vAlign w:val="bottom"/>
            <w:hideMark/>
          </w:tcPr>
          <w:p w:rsidR="00DC072D" w:rsidRPr="00133B2C" w:rsidRDefault="00DC072D" w:rsidP="0013340D">
            <w:pPr>
              <w:spacing w:after="0" w:line="240" w:lineRule="auto"/>
              <w:rPr>
                <w:rFonts w:eastAsia="Times New Roman"/>
                <w:color w:val="000000"/>
              </w:rPr>
            </w:pPr>
            <w:r w:rsidRPr="00133B2C">
              <w:rPr>
                <w:rFonts w:eastAsia="Times New Roman"/>
                <w:color w:val="000000"/>
              </w:rPr>
              <w:t>Total</w:t>
            </w:r>
          </w:p>
        </w:tc>
      </w:tr>
      <w:tr w:rsidR="00DC072D" w:rsidRPr="00133B2C" w:rsidTr="0013340D">
        <w:trPr>
          <w:trHeight w:val="285"/>
        </w:trPr>
        <w:tc>
          <w:tcPr>
            <w:tcW w:w="6040" w:type="dxa"/>
            <w:shd w:val="clear" w:color="auto" w:fill="auto"/>
            <w:noWrap/>
            <w:vAlign w:val="bottom"/>
            <w:hideMark/>
          </w:tcPr>
          <w:p w:rsidR="00DC072D" w:rsidRPr="00133B2C" w:rsidRDefault="00DC072D" w:rsidP="0013340D">
            <w:pPr>
              <w:spacing w:after="0" w:line="240" w:lineRule="auto"/>
              <w:rPr>
                <w:rFonts w:eastAsia="Times New Roman"/>
                <w:color w:val="000000"/>
              </w:rPr>
            </w:pPr>
            <w:r w:rsidRPr="00133B2C">
              <w:rPr>
                <w:rFonts w:eastAsia="Times New Roman"/>
                <w:color w:val="000000"/>
              </w:rPr>
              <w:t>Aviation Leadership Program</w:t>
            </w:r>
          </w:p>
        </w:tc>
        <w:tc>
          <w:tcPr>
            <w:tcW w:w="2500" w:type="dxa"/>
            <w:shd w:val="clear" w:color="auto" w:fill="auto"/>
            <w:noWrap/>
            <w:vAlign w:val="bottom"/>
            <w:hideMark/>
          </w:tcPr>
          <w:p w:rsidR="00DC072D" w:rsidRPr="00133B2C" w:rsidRDefault="00DC072D" w:rsidP="0013340D">
            <w:pPr>
              <w:spacing w:after="0" w:line="240" w:lineRule="auto"/>
              <w:rPr>
                <w:rFonts w:eastAsia="Times New Roman"/>
                <w:color w:val="000000"/>
              </w:rPr>
            </w:pPr>
          </w:p>
        </w:tc>
      </w:tr>
      <w:tr w:rsidR="00DC072D" w:rsidRPr="00133B2C" w:rsidTr="0013340D">
        <w:trPr>
          <w:trHeight w:val="285"/>
        </w:trPr>
        <w:tc>
          <w:tcPr>
            <w:tcW w:w="6040" w:type="dxa"/>
            <w:shd w:val="clear" w:color="auto" w:fill="auto"/>
            <w:noWrap/>
            <w:vAlign w:val="bottom"/>
            <w:hideMark/>
          </w:tcPr>
          <w:p w:rsidR="00DC072D" w:rsidRPr="00133B2C" w:rsidRDefault="00DC072D" w:rsidP="0013340D">
            <w:pPr>
              <w:spacing w:after="0" w:line="240" w:lineRule="auto"/>
              <w:rPr>
                <w:rFonts w:eastAsia="Times New Roman"/>
                <w:color w:val="000000"/>
              </w:rPr>
            </w:pPr>
            <w:r w:rsidRPr="00133B2C">
              <w:rPr>
                <w:rFonts w:eastAsia="Times New Roman"/>
                <w:color w:val="000000"/>
              </w:rPr>
              <w:t>Combating Terrorism Fellowship Program</w:t>
            </w:r>
          </w:p>
        </w:tc>
        <w:tc>
          <w:tcPr>
            <w:tcW w:w="2500" w:type="dxa"/>
            <w:shd w:val="clear" w:color="auto" w:fill="auto"/>
            <w:noWrap/>
            <w:vAlign w:val="bottom"/>
            <w:hideMark/>
          </w:tcPr>
          <w:p w:rsidR="00DC072D" w:rsidRPr="00133B2C" w:rsidRDefault="00DC072D" w:rsidP="0013340D">
            <w:pPr>
              <w:spacing w:after="0" w:line="240" w:lineRule="auto"/>
              <w:rPr>
                <w:rFonts w:eastAsia="Times New Roman"/>
                <w:color w:val="000000"/>
              </w:rPr>
            </w:pPr>
          </w:p>
        </w:tc>
      </w:tr>
      <w:tr w:rsidR="00DC072D" w:rsidRPr="00133B2C" w:rsidTr="0013340D">
        <w:trPr>
          <w:trHeight w:val="285"/>
        </w:trPr>
        <w:tc>
          <w:tcPr>
            <w:tcW w:w="6040" w:type="dxa"/>
            <w:shd w:val="clear" w:color="auto" w:fill="auto"/>
            <w:noWrap/>
            <w:vAlign w:val="bottom"/>
            <w:hideMark/>
          </w:tcPr>
          <w:p w:rsidR="00DC072D" w:rsidRPr="00133B2C" w:rsidRDefault="00DC072D" w:rsidP="0013340D">
            <w:pPr>
              <w:spacing w:after="0" w:line="240" w:lineRule="auto"/>
              <w:rPr>
                <w:rFonts w:eastAsia="Times New Roman"/>
                <w:color w:val="000000"/>
              </w:rPr>
            </w:pPr>
            <w:r w:rsidRPr="00133B2C">
              <w:rPr>
                <w:rFonts w:eastAsia="Times New Roman"/>
                <w:color w:val="000000"/>
              </w:rPr>
              <w:t>Cooperative Threat Reduction</w:t>
            </w:r>
          </w:p>
        </w:tc>
        <w:tc>
          <w:tcPr>
            <w:tcW w:w="2500" w:type="dxa"/>
            <w:shd w:val="clear" w:color="auto" w:fill="auto"/>
            <w:noWrap/>
            <w:vAlign w:val="bottom"/>
            <w:hideMark/>
          </w:tcPr>
          <w:p w:rsidR="00DC072D" w:rsidRPr="00133B2C" w:rsidRDefault="00DC072D" w:rsidP="0013340D">
            <w:pPr>
              <w:spacing w:after="0" w:line="240" w:lineRule="auto"/>
              <w:rPr>
                <w:rFonts w:eastAsia="Times New Roman"/>
                <w:color w:val="000000"/>
              </w:rPr>
            </w:pPr>
          </w:p>
        </w:tc>
      </w:tr>
      <w:tr w:rsidR="00DC072D" w:rsidRPr="00133B2C" w:rsidTr="0013340D">
        <w:trPr>
          <w:trHeight w:val="285"/>
        </w:trPr>
        <w:tc>
          <w:tcPr>
            <w:tcW w:w="6040" w:type="dxa"/>
            <w:shd w:val="clear" w:color="auto" w:fill="auto"/>
            <w:noWrap/>
            <w:vAlign w:val="bottom"/>
            <w:hideMark/>
          </w:tcPr>
          <w:p w:rsidR="00DC072D" w:rsidRPr="00133B2C" w:rsidRDefault="00DC072D" w:rsidP="0013340D">
            <w:pPr>
              <w:spacing w:after="0" w:line="240" w:lineRule="auto"/>
              <w:rPr>
                <w:rFonts w:eastAsia="Times New Roman"/>
                <w:color w:val="000000"/>
              </w:rPr>
            </w:pPr>
            <w:r w:rsidRPr="00133B2C">
              <w:rPr>
                <w:rFonts w:eastAsia="Times New Roman"/>
                <w:color w:val="000000"/>
              </w:rPr>
              <w:t>Developing Country Combined Exercise Program</w:t>
            </w:r>
          </w:p>
        </w:tc>
        <w:tc>
          <w:tcPr>
            <w:tcW w:w="2500" w:type="dxa"/>
            <w:shd w:val="clear" w:color="auto" w:fill="auto"/>
            <w:noWrap/>
            <w:vAlign w:val="bottom"/>
            <w:hideMark/>
          </w:tcPr>
          <w:p w:rsidR="00DC072D" w:rsidRPr="00133B2C" w:rsidRDefault="00DC072D" w:rsidP="0013340D">
            <w:pPr>
              <w:spacing w:after="0" w:line="240" w:lineRule="auto"/>
              <w:rPr>
                <w:rFonts w:eastAsia="Times New Roman"/>
                <w:color w:val="000000"/>
              </w:rPr>
            </w:pPr>
          </w:p>
        </w:tc>
      </w:tr>
      <w:tr w:rsidR="00DC072D" w:rsidRPr="00133B2C" w:rsidTr="0013340D">
        <w:trPr>
          <w:trHeight w:val="285"/>
        </w:trPr>
        <w:tc>
          <w:tcPr>
            <w:tcW w:w="6040" w:type="dxa"/>
            <w:shd w:val="clear" w:color="auto" w:fill="auto"/>
            <w:noWrap/>
            <w:vAlign w:val="bottom"/>
            <w:hideMark/>
          </w:tcPr>
          <w:p w:rsidR="00DC072D" w:rsidRPr="00133B2C" w:rsidRDefault="00DC072D" w:rsidP="0013340D">
            <w:pPr>
              <w:spacing w:after="0" w:line="240" w:lineRule="auto"/>
              <w:rPr>
                <w:rFonts w:eastAsia="Times New Roman"/>
                <w:color w:val="000000"/>
              </w:rPr>
            </w:pPr>
            <w:r w:rsidRPr="00133B2C">
              <w:rPr>
                <w:rFonts w:eastAsia="Times New Roman"/>
                <w:color w:val="000000"/>
              </w:rPr>
              <w:t>Excess Defense Articles</w:t>
            </w:r>
          </w:p>
        </w:tc>
        <w:tc>
          <w:tcPr>
            <w:tcW w:w="2500" w:type="dxa"/>
            <w:shd w:val="clear" w:color="auto" w:fill="auto"/>
            <w:noWrap/>
            <w:vAlign w:val="bottom"/>
            <w:hideMark/>
          </w:tcPr>
          <w:p w:rsidR="00DC072D" w:rsidRPr="00133B2C" w:rsidRDefault="00DC072D" w:rsidP="0013340D">
            <w:pPr>
              <w:spacing w:after="0" w:line="240" w:lineRule="auto"/>
              <w:rPr>
                <w:rFonts w:eastAsia="Times New Roman"/>
                <w:color w:val="000000"/>
              </w:rPr>
            </w:pPr>
          </w:p>
        </w:tc>
      </w:tr>
      <w:tr w:rsidR="00DC072D" w:rsidRPr="00133B2C" w:rsidTr="0013340D">
        <w:trPr>
          <w:trHeight w:val="285"/>
        </w:trPr>
        <w:tc>
          <w:tcPr>
            <w:tcW w:w="6040" w:type="dxa"/>
            <w:shd w:val="clear" w:color="auto" w:fill="auto"/>
            <w:noWrap/>
            <w:vAlign w:val="bottom"/>
            <w:hideMark/>
          </w:tcPr>
          <w:p w:rsidR="00DC072D" w:rsidRPr="00133B2C" w:rsidRDefault="00DC072D" w:rsidP="0013340D">
            <w:pPr>
              <w:spacing w:after="0" w:line="240" w:lineRule="auto"/>
              <w:rPr>
                <w:rStyle w:val="StyleUnderline"/>
              </w:rPr>
            </w:pPr>
            <w:r w:rsidRPr="00133B2C">
              <w:rPr>
                <w:rStyle w:val="StyleUnderline"/>
              </w:rPr>
              <w:t>Foreign Military Financing</w:t>
            </w:r>
          </w:p>
        </w:tc>
        <w:tc>
          <w:tcPr>
            <w:tcW w:w="2500" w:type="dxa"/>
            <w:shd w:val="clear" w:color="auto" w:fill="auto"/>
            <w:noWrap/>
            <w:vAlign w:val="bottom"/>
            <w:hideMark/>
          </w:tcPr>
          <w:p w:rsidR="00DC072D" w:rsidRPr="00133B2C" w:rsidRDefault="00DC072D" w:rsidP="0013340D">
            <w:pPr>
              <w:spacing w:after="0" w:line="240" w:lineRule="auto"/>
              <w:jc w:val="right"/>
              <w:rPr>
                <w:rStyle w:val="StyleUnderline"/>
              </w:rPr>
            </w:pPr>
            <w:r w:rsidRPr="00133B2C">
              <w:rPr>
                <w:rStyle w:val="StyleUnderline"/>
              </w:rPr>
              <w:t>$3,750,000</w:t>
            </w:r>
          </w:p>
        </w:tc>
      </w:tr>
      <w:tr w:rsidR="00DC072D" w:rsidRPr="00133B2C" w:rsidTr="0013340D">
        <w:trPr>
          <w:trHeight w:val="285"/>
        </w:trPr>
        <w:tc>
          <w:tcPr>
            <w:tcW w:w="6040" w:type="dxa"/>
            <w:shd w:val="clear" w:color="auto" w:fill="auto"/>
            <w:noWrap/>
            <w:vAlign w:val="bottom"/>
            <w:hideMark/>
          </w:tcPr>
          <w:p w:rsidR="00DC072D" w:rsidRPr="00133B2C" w:rsidRDefault="00DC072D" w:rsidP="0013340D">
            <w:pPr>
              <w:spacing w:after="0" w:line="240" w:lineRule="auto"/>
              <w:rPr>
                <w:rFonts w:eastAsia="Times New Roman"/>
                <w:color w:val="000000"/>
              </w:rPr>
            </w:pPr>
            <w:r w:rsidRPr="00133B2C">
              <w:rPr>
                <w:rFonts w:eastAsia="Times New Roman"/>
                <w:color w:val="000000"/>
              </w:rPr>
              <w:t>International Military Education and Training</w:t>
            </w:r>
          </w:p>
        </w:tc>
        <w:tc>
          <w:tcPr>
            <w:tcW w:w="2500" w:type="dxa"/>
            <w:shd w:val="clear" w:color="auto" w:fill="auto"/>
            <w:noWrap/>
            <w:vAlign w:val="bottom"/>
            <w:hideMark/>
          </w:tcPr>
          <w:p w:rsidR="00DC072D" w:rsidRPr="00133B2C" w:rsidRDefault="00DC072D" w:rsidP="0013340D">
            <w:pPr>
              <w:spacing w:after="0" w:line="240" w:lineRule="auto"/>
              <w:jc w:val="right"/>
              <w:rPr>
                <w:rFonts w:eastAsia="Times New Roman"/>
                <w:color w:val="000000"/>
              </w:rPr>
            </w:pPr>
            <w:r w:rsidRPr="00133B2C">
              <w:rPr>
                <w:rFonts w:eastAsia="Times New Roman"/>
                <w:color w:val="000000"/>
              </w:rPr>
              <w:t>$1,353,000</w:t>
            </w:r>
          </w:p>
        </w:tc>
      </w:tr>
      <w:tr w:rsidR="00DC072D" w:rsidRPr="00133B2C" w:rsidTr="0013340D">
        <w:trPr>
          <w:trHeight w:val="285"/>
        </w:trPr>
        <w:tc>
          <w:tcPr>
            <w:tcW w:w="6040" w:type="dxa"/>
            <w:shd w:val="clear" w:color="auto" w:fill="auto"/>
            <w:noWrap/>
            <w:vAlign w:val="bottom"/>
            <w:hideMark/>
          </w:tcPr>
          <w:p w:rsidR="00DC072D" w:rsidRPr="00133B2C" w:rsidRDefault="00DC072D" w:rsidP="0013340D">
            <w:pPr>
              <w:spacing w:after="0" w:line="240" w:lineRule="auto"/>
              <w:rPr>
                <w:rFonts w:eastAsia="Times New Roman"/>
                <w:color w:val="000000"/>
              </w:rPr>
            </w:pPr>
            <w:r w:rsidRPr="00133B2C">
              <w:rPr>
                <w:rFonts w:eastAsia="Times New Roman"/>
                <w:color w:val="000000"/>
              </w:rPr>
              <w:t>International Narcotics Control and Law Enforcement</w:t>
            </w:r>
          </w:p>
        </w:tc>
        <w:tc>
          <w:tcPr>
            <w:tcW w:w="2500" w:type="dxa"/>
            <w:shd w:val="clear" w:color="auto" w:fill="auto"/>
            <w:noWrap/>
            <w:vAlign w:val="bottom"/>
            <w:hideMark/>
          </w:tcPr>
          <w:p w:rsidR="00DC072D" w:rsidRPr="00133B2C" w:rsidRDefault="00DC072D" w:rsidP="0013340D">
            <w:pPr>
              <w:spacing w:after="0" w:line="240" w:lineRule="auto"/>
              <w:jc w:val="right"/>
              <w:rPr>
                <w:rFonts w:eastAsia="Times New Roman"/>
                <w:color w:val="000000"/>
              </w:rPr>
            </w:pPr>
            <w:r w:rsidRPr="00133B2C">
              <w:rPr>
                <w:rFonts w:eastAsia="Times New Roman"/>
                <w:color w:val="000000"/>
              </w:rPr>
              <w:t>$100,000,000</w:t>
            </w:r>
          </w:p>
        </w:tc>
      </w:tr>
      <w:tr w:rsidR="00DC072D" w:rsidRPr="00133B2C" w:rsidTr="0013340D">
        <w:trPr>
          <w:trHeight w:val="285"/>
        </w:trPr>
        <w:tc>
          <w:tcPr>
            <w:tcW w:w="6040" w:type="dxa"/>
            <w:shd w:val="clear" w:color="auto" w:fill="auto"/>
            <w:noWrap/>
            <w:vAlign w:val="bottom"/>
            <w:hideMark/>
          </w:tcPr>
          <w:p w:rsidR="00DC072D" w:rsidRPr="00133B2C" w:rsidRDefault="00DC072D" w:rsidP="0013340D">
            <w:pPr>
              <w:spacing w:after="0" w:line="240" w:lineRule="auto"/>
              <w:rPr>
                <w:rFonts w:eastAsia="Times New Roman"/>
                <w:color w:val="000000"/>
              </w:rPr>
            </w:pPr>
            <w:r w:rsidRPr="00133B2C">
              <w:rPr>
                <w:rFonts w:eastAsia="Times New Roman"/>
                <w:color w:val="000000"/>
              </w:rPr>
              <w:t>Nonproliferation, Anti-Terrorism, Demining, and Related Programs</w:t>
            </w:r>
          </w:p>
        </w:tc>
        <w:tc>
          <w:tcPr>
            <w:tcW w:w="2500" w:type="dxa"/>
            <w:shd w:val="clear" w:color="auto" w:fill="auto"/>
            <w:noWrap/>
            <w:vAlign w:val="bottom"/>
            <w:hideMark/>
          </w:tcPr>
          <w:p w:rsidR="00DC072D" w:rsidRPr="00133B2C" w:rsidRDefault="00DC072D" w:rsidP="0013340D">
            <w:pPr>
              <w:spacing w:after="0" w:line="240" w:lineRule="auto"/>
              <w:jc w:val="right"/>
              <w:rPr>
                <w:rFonts w:eastAsia="Times New Roman"/>
                <w:color w:val="000000"/>
              </w:rPr>
            </w:pPr>
            <w:r w:rsidRPr="00133B2C">
              <w:rPr>
                <w:rFonts w:eastAsia="Times New Roman"/>
                <w:color w:val="000000"/>
              </w:rPr>
              <w:t>$1,160,000</w:t>
            </w:r>
          </w:p>
        </w:tc>
      </w:tr>
      <w:tr w:rsidR="00DC072D" w:rsidRPr="00133B2C" w:rsidTr="0013340D">
        <w:trPr>
          <w:trHeight w:val="285"/>
        </w:trPr>
        <w:tc>
          <w:tcPr>
            <w:tcW w:w="6040" w:type="dxa"/>
            <w:shd w:val="clear" w:color="auto" w:fill="auto"/>
            <w:noWrap/>
            <w:vAlign w:val="bottom"/>
            <w:hideMark/>
          </w:tcPr>
          <w:p w:rsidR="00DC072D" w:rsidRPr="00133B2C" w:rsidRDefault="00DC072D" w:rsidP="0013340D">
            <w:pPr>
              <w:spacing w:after="0" w:line="240" w:lineRule="auto"/>
              <w:rPr>
                <w:rFonts w:eastAsia="Times New Roman"/>
                <w:color w:val="000000"/>
              </w:rPr>
            </w:pPr>
            <w:r w:rsidRPr="00133B2C">
              <w:rPr>
                <w:rFonts w:eastAsia="Times New Roman"/>
                <w:color w:val="000000"/>
              </w:rPr>
              <w:t>Regional Centers for Security Studies</w:t>
            </w:r>
          </w:p>
        </w:tc>
        <w:tc>
          <w:tcPr>
            <w:tcW w:w="2500" w:type="dxa"/>
            <w:shd w:val="clear" w:color="auto" w:fill="auto"/>
            <w:noWrap/>
            <w:vAlign w:val="bottom"/>
            <w:hideMark/>
          </w:tcPr>
          <w:p w:rsidR="00DC072D" w:rsidRPr="00133B2C" w:rsidRDefault="00DC072D" w:rsidP="0013340D">
            <w:pPr>
              <w:spacing w:after="0" w:line="240" w:lineRule="auto"/>
              <w:rPr>
                <w:rFonts w:eastAsia="Times New Roman"/>
                <w:color w:val="000000"/>
              </w:rPr>
            </w:pPr>
          </w:p>
        </w:tc>
      </w:tr>
      <w:tr w:rsidR="00DC072D" w:rsidRPr="00133B2C" w:rsidTr="0013340D">
        <w:trPr>
          <w:trHeight w:val="285"/>
        </w:trPr>
        <w:tc>
          <w:tcPr>
            <w:tcW w:w="6040" w:type="dxa"/>
            <w:shd w:val="clear" w:color="auto" w:fill="auto"/>
            <w:noWrap/>
            <w:vAlign w:val="bottom"/>
            <w:hideMark/>
          </w:tcPr>
          <w:p w:rsidR="00DC072D" w:rsidRPr="00133B2C" w:rsidRDefault="00DC072D" w:rsidP="0013340D">
            <w:pPr>
              <w:spacing w:after="0" w:line="240" w:lineRule="auto"/>
              <w:rPr>
                <w:rFonts w:eastAsia="Times New Roman"/>
                <w:color w:val="000000"/>
              </w:rPr>
            </w:pPr>
            <w:r w:rsidRPr="00133B2C">
              <w:rPr>
                <w:rFonts w:eastAsia="Times New Roman"/>
                <w:color w:val="000000"/>
              </w:rPr>
              <w:t>Section 1004 Counter-Drug Assistance</w:t>
            </w:r>
          </w:p>
        </w:tc>
        <w:tc>
          <w:tcPr>
            <w:tcW w:w="2500" w:type="dxa"/>
            <w:shd w:val="clear" w:color="auto" w:fill="auto"/>
            <w:noWrap/>
            <w:vAlign w:val="bottom"/>
            <w:hideMark/>
          </w:tcPr>
          <w:p w:rsidR="00DC072D" w:rsidRPr="00133B2C" w:rsidRDefault="00DC072D" w:rsidP="0013340D">
            <w:pPr>
              <w:spacing w:after="0" w:line="240" w:lineRule="auto"/>
              <w:rPr>
                <w:rFonts w:eastAsia="Times New Roman"/>
                <w:color w:val="000000"/>
              </w:rPr>
            </w:pPr>
          </w:p>
        </w:tc>
      </w:tr>
      <w:tr w:rsidR="00DC072D" w:rsidRPr="00133B2C" w:rsidTr="0013340D">
        <w:trPr>
          <w:trHeight w:val="285"/>
        </w:trPr>
        <w:tc>
          <w:tcPr>
            <w:tcW w:w="6040" w:type="dxa"/>
            <w:shd w:val="clear" w:color="auto" w:fill="auto"/>
            <w:noWrap/>
            <w:vAlign w:val="bottom"/>
            <w:hideMark/>
          </w:tcPr>
          <w:p w:rsidR="00DC072D" w:rsidRPr="00133B2C" w:rsidRDefault="00DC072D" w:rsidP="0013340D">
            <w:pPr>
              <w:spacing w:after="0" w:line="240" w:lineRule="auto"/>
              <w:rPr>
                <w:rFonts w:eastAsia="Times New Roman"/>
                <w:color w:val="000000"/>
              </w:rPr>
            </w:pPr>
            <w:r w:rsidRPr="00133B2C">
              <w:rPr>
                <w:rFonts w:eastAsia="Times New Roman"/>
                <w:color w:val="000000"/>
              </w:rPr>
              <w:t>Section 1033 Counter-Drug Assistance</w:t>
            </w:r>
          </w:p>
        </w:tc>
        <w:tc>
          <w:tcPr>
            <w:tcW w:w="2500" w:type="dxa"/>
            <w:shd w:val="clear" w:color="auto" w:fill="auto"/>
            <w:noWrap/>
            <w:vAlign w:val="bottom"/>
            <w:hideMark/>
          </w:tcPr>
          <w:p w:rsidR="00DC072D" w:rsidRPr="00133B2C" w:rsidRDefault="00DC072D" w:rsidP="0013340D">
            <w:pPr>
              <w:spacing w:after="0" w:line="240" w:lineRule="auto"/>
              <w:rPr>
                <w:rFonts w:eastAsia="Times New Roman"/>
                <w:color w:val="000000"/>
              </w:rPr>
            </w:pPr>
          </w:p>
        </w:tc>
      </w:tr>
      <w:tr w:rsidR="00DC072D" w:rsidRPr="00133B2C" w:rsidTr="0013340D">
        <w:trPr>
          <w:trHeight w:val="285"/>
        </w:trPr>
        <w:tc>
          <w:tcPr>
            <w:tcW w:w="6040" w:type="dxa"/>
            <w:shd w:val="clear" w:color="auto" w:fill="auto"/>
            <w:noWrap/>
            <w:vAlign w:val="bottom"/>
            <w:hideMark/>
          </w:tcPr>
          <w:p w:rsidR="00DC072D" w:rsidRPr="00133B2C" w:rsidRDefault="00DC072D" w:rsidP="0013340D">
            <w:pPr>
              <w:spacing w:after="0" w:line="240" w:lineRule="auto"/>
              <w:rPr>
                <w:rFonts w:eastAsia="Times New Roman"/>
                <w:color w:val="000000"/>
              </w:rPr>
            </w:pPr>
            <w:r w:rsidRPr="00133B2C">
              <w:rPr>
                <w:rFonts w:eastAsia="Times New Roman"/>
                <w:color w:val="000000"/>
              </w:rPr>
              <w:t>Section 333 Building Partner Capacity</w:t>
            </w:r>
          </w:p>
        </w:tc>
        <w:tc>
          <w:tcPr>
            <w:tcW w:w="2500" w:type="dxa"/>
            <w:shd w:val="clear" w:color="auto" w:fill="auto"/>
            <w:noWrap/>
            <w:vAlign w:val="bottom"/>
            <w:hideMark/>
          </w:tcPr>
          <w:p w:rsidR="00DC072D" w:rsidRPr="00133B2C" w:rsidRDefault="00DC072D" w:rsidP="0013340D">
            <w:pPr>
              <w:spacing w:after="0" w:line="240" w:lineRule="auto"/>
              <w:jc w:val="right"/>
              <w:rPr>
                <w:rFonts w:eastAsia="Times New Roman"/>
                <w:color w:val="000000"/>
              </w:rPr>
            </w:pPr>
            <w:r w:rsidRPr="00133B2C">
              <w:rPr>
                <w:rFonts w:eastAsia="Times New Roman"/>
                <w:color w:val="000000"/>
              </w:rPr>
              <w:t>$752,096</w:t>
            </w:r>
          </w:p>
        </w:tc>
      </w:tr>
      <w:tr w:rsidR="00DC072D" w:rsidRPr="00133B2C" w:rsidTr="0013340D">
        <w:trPr>
          <w:trHeight w:val="285"/>
        </w:trPr>
        <w:tc>
          <w:tcPr>
            <w:tcW w:w="6040" w:type="dxa"/>
            <w:shd w:val="clear" w:color="auto" w:fill="auto"/>
            <w:noWrap/>
            <w:vAlign w:val="bottom"/>
            <w:hideMark/>
          </w:tcPr>
          <w:p w:rsidR="00DC072D" w:rsidRPr="00133B2C" w:rsidRDefault="00DC072D" w:rsidP="0013340D">
            <w:pPr>
              <w:spacing w:after="0" w:line="240" w:lineRule="auto"/>
              <w:rPr>
                <w:rFonts w:eastAsia="Times New Roman"/>
                <w:color w:val="000000"/>
              </w:rPr>
            </w:pPr>
            <w:r w:rsidRPr="00133B2C">
              <w:rPr>
                <w:rFonts w:eastAsia="Times New Roman"/>
                <w:color w:val="000000"/>
              </w:rPr>
              <w:t>Service Academies</w:t>
            </w:r>
          </w:p>
        </w:tc>
        <w:tc>
          <w:tcPr>
            <w:tcW w:w="2500" w:type="dxa"/>
            <w:shd w:val="clear" w:color="auto" w:fill="auto"/>
            <w:noWrap/>
            <w:vAlign w:val="bottom"/>
            <w:hideMark/>
          </w:tcPr>
          <w:p w:rsidR="00DC072D" w:rsidRPr="00133B2C" w:rsidRDefault="00DC072D" w:rsidP="0013340D">
            <w:pPr>
              <w:spacing w:after="0" w:line="240" w:lineRule="auto"/>
              <w:rPr>
                <w:rFonts w:eastAsia="Times New Roman"/>
                <w:color w:val="000000"/>
              </w:rPr>
            </w:pPr>
          </w:p>
        </w:tc>
      </w:tr>
      <w:tr w:rsidR="00DC072D" w:rsidRPr="00133B2C" w:rsidTr="0013340D">
        <w:trPr>
          <w:trHeight w:val="285"/>
        </w:trPr>
        <w:tc>
          <w:tcPr>
            <w:tcW w:w="6040" w:type="dxa"/>
            <w:shd w:val="clear" w:color="auto" w:fill="auto"/>
            <w:noWrap/>
            <w:vAlign w:val="bottom"/>
            <w:hideMark/>
          </w:tcPr>
          <w:p w:rsidR="00DC072D" w:rsidRPr="00133B2C" w:rsidRDefault="00DC072D" w:rsidP="0013340D">
            <w:pPr>
              <w:spacing w:after="0" w:line="240" w:lineRule="auto"/>
              <w:rPr>
                <w:rFonts w:ascii="Times New Roman" w:eastAsia="Times New Roman" w:hAnsi="Times New Roman" w:cs="Times New Roman"/>
                <w:sz w:val="20"/>
                <w:szCs w:val="20"/>
              </w:rPr>
            </w:pPr>
          </w:p>
        </w:tc>
        <w:tc>
          <w:tcPr>
            <w:tcW w:w="2500" w:type="dxa"/>
            <w:shd w:val="clear" w:color="auto" w:fill="auto"/>
            <w:noWrap/>
            <w:vAlign w:val="bottom"/>
            <w:hideMark/>
          </w:tcPr>
          <w:p w:rsidR="00DC072D" w:rsidRPr="00133B2C" w:rsidRDefault="00DC072D" w:rsidP="0013340D">
            <w:pPr>
              <w:spacing w:after="0" w:line="240" w:lineRule="auto"/>
              <w:jc w:val="right"/>
              <w:rPr>
                <w:rFonts w:eastAsia="Times New Roman"/>
                <w:color w:val="000000"/>
              </w:rPr>
            </w:pPr>
            <w:r w:rsidRPr="00133B2C">
              <w:rPr>
                <w:rFonts w:eastAsia="Times New Roman"/>
                <w:color w:val="000000"/>
              </w:rPr>
              <w:t>$107,015,096</w:t>
            </w:r>
          </w:p>
        </w:tc>
      </w:tr>
    </w:tbl>
    <w:p w:rsidR="00DC072D" w:rsidRDefault="00DC072D" w:rsidP="00DC072D">
      <w:pPr>
        <w:rPr>
          <w:rStyle w:val="StyleUnderline"/>
        </w:rPr>
      </w:pPr>
    </w:p>
    <w:p w:rsidR="00DC072D" w:rsidRPr="00DC072D" w:rsidRDefault="00DC072D" w:rsidP="005B19E3">
      <w:pPr>
        <w:rPr>
          <w:sz w:val="16"/>
        </w:rPr>
      </w:pPr>
    </w:p>
    <w:p w:rsidR="005B19E3" w:rsidRDefault="005B19E3" w:rsidP="005B19E3"/>
    <w:p w:rsidR="0043323E" w:rsidRDefault="0043323E" w:rsidP="0043323E">
      <w:pPr>
        <w:pStyle w:val="Heading2"/>
      </w:pPr>
      <w:r>
        <w:lastRenderedPageBreak/>
        <w:t>**</w:t>
      </w:r>
      <w:r w:rsidR="00405D4B">
        <w:t>AT: ATT CP</w:t>
      </w:r>
      <w:r>
        <w:t>**</w:t>
      </w:r>
    </w:p>
    <w:p w:rsidR="0013340D" w:rsidRDefault="0013340D" w:rsidP="0013340D">
      <w:pPr>
        <w:pStyle w:val="Heading3"/>
      </w:pPr>
      <w:r>
        <w:lastRenderedPageBreak/>
        <w:t>ATT Fails- Gender</w:t>
      </w:r>
    </w:p>
    <w:p w:rsidR="0013340D" w:rsidRDefault="0013340D" w:rsidP="0013340D">
      <w:pPr>
        <w:pStyle w:val="Heading4"/>
      </w:pPr>
      <w:r>
        <w:t>The ATT has vague criteria which allows for states to make their own decisions – only the plan solves gender-based violence</w:t>
      </w:r>
    </w:p>
    <w:p w:rsidR="0013340D" w:rsidRPr="00D95BA3" w:rsidRDefault="0013340D" w:rsidP="0013340D">
      <w:pPr>
        <w:rPr>
          <w:sz w:val="18"/>
          <w:szCs w:val="18"/>
        </w:rPr>
      </w:pPr>
      <w:r>
        <w:rPr>
          <w:rStyle w:val="Style13ptBold"/>
        </w:rPr>
        <w:t xml:space="preserve">Rosengren No Date – </w:t>
      </w:r>
      <w:r w:rsidRPr="00D95BA3">
        <w:rPr>
          <w:sz w:val="18"/>
          <w:szCs w:val="18"/>
        </w:rPr>
        <w:t xml:space="preserve">(Emma Rosengren, PhD Student at the Department of Economic History, Stockholm University, Sweden, “Addressing the impacts of the arms trade on gender-based violence,” Women's International League for Peace and Freedom, </w:t>
      </w:r>
      <w:hyperlink r:id="rId47" w:history="1">
        <w:r w:rsidRPr="00D95BA3">
          <w:rPr>
            <w:rStyle w:val="Hyperlink"/>
            <w:sz w:val="18"/>
            <w:szCs w:val="18"/>
          </w:rPr>
          <w:t>https://www.peacewomen.org/assets/file/ATT/summary.pdf</w:t>
        </w:r>
      </w:hyperlink>
      <w:r w:rsidRPr="00D95BA3">
        <w:rPr>
          <w:sz w:val="18"/>
          <w:szCs w:val="18"/>
        </w:rPr>
        <w:t>) // S.Y.</w:t>
      </w:r>
    </w:p>
    <w:p w:rsidR="0013340D" w:rsidRDefault="0013340D" w:rsidP="0013340D">
      <w:pPr>
        <w:rPr>
          <w:sz w:val="16"/>
        </w:rPr>
      </w:pPr>
      <w:r w:rsidRPr="004875EF">
        <w:rPr>
          <w:rStyle w:val="StyleUnderline"/>
        </w:rPr>
        <w:t>In this</w:t>
      </w:r>
      <w:r w:rsidRPr="00D95BA3">
        <w:rPr>
          <w:sz w:val="16"/>
        </w:rPr>
        <w:t xml:space="preserve"> side </w:t>
      </w:r>
      <w:r w:rsidRPr="004875EF">
        <w:rPr>
          <w:rStyle w:val="StyleUnderline"/>
        </w:rPr>
        <w:t>event</w:t>
      </w:r>
      <w:r w:rsidRPr="00D95BA3">
        <w:rPr>
          <w:sz w:val="16"/>
        </w:rPr>
        <w:t xml:space="preserve"> attended by more than 100 participants, </w:t>
      </w:r>
      <w:r w:rsidRPr="004875EF">
        <w:rPr>
          <w:rStyle w:val="StyleUnderline"/>
        </w:rPr>
        <w:t>arranged by</w:t>
      </w:r>
      <w:r w:rsidRPr="00D95BA3">
        <w:rPr>
          <w:sz w:val="16"/>
        </w:rPr>
        <w:t xml:space="preserve"> the Women’s International League for Peace and Freedom (</w:t>
      </w:r>
      <w:r w:rsidRPr="004875EF">
        <w:rPr>
          <w:rStyle w:val="StyleUnderline"/>
        </w:rPr>
        <w:t>WILPF</w:t>
      </w:r>
      <w:r w:rsidRPr="00D95BA3">
        <w:rPr>
          <w:sz w:val="16"/>
        </w:rPr>
        <w:t>), the Women’s Network of the International Action Network on Small Arms (</w:t>
      </w:r>
      <w:r w:rsidRPr="004875EF">
        <w:rPr>
          <w:rStyle w:val="StyleUnderline"/>
        </w:rPr>
        <w:t>IANSA</w:t>
      </w:r>
      <w:r w:rsidRPr="00D95BA3">
        <w:rPr>
          <w:sz w:val="16"/>
        </w:rPr>
        <w:t xml:space="preserve">), </w:t>
      </w:r>
      <w:r w:rsidRPr="004875EF">
        <w:rPr>
          <w:rStyle w:val="StyleUnderline"/>
        </w:rPr>
        <w:t>and Amnesty International</w:t>
      </w:r>
      <w:r w:rsidRPr="00D95BA3">
        <w:rPr>
          <w:sz w:val="16"/>
        </w:rPr>
        <w:t xml:space="preserve"> in cooperation with the Permanent Mission of Finland to the United Nations, </w:t>
      </w:r>
      <w:r w:rsidRPr="004875EF">
        <w:rPr>
          <w:rStyle w:val="StyleUnderline"/>
        </w:rPr>
        <w:t>speakers addressed the important issue of how the arms trade treaty (ATT) could include, and thereby contribute to preventing, gender-based violence</w:t>
      </w:r>
      <w:r w:rsidRPr="00D95BA3">
        <w:rPr>
          <w:sz w:val="16"/>
        </w:rPr>
        <w:t xml:space="preserve">. The seminar was chaired by Rita Resch, Head of the ATT delegation of Finland. Madeleine Rees, Secretary General of WILPF, stressed that the </w:t>
      </w:r>
      <w:r w:rsidRPr="004875EF">
        <w:rPr>
          <w:rStyle w:val="StyleUnderline"/>
        </w:rPr>
        <w:t xml:space="preserve">ATT will be written within a legal framework of international law in which gender mainstreaming in the UN is already an obligation, thus </w:t>
      </w:r>
      <w:r w:rsidRPr="004875EF">
        <w:rPr>
          <w:rStyle w:val="Emphasis"/>
        </w:rPr>
        <w:t>an ATT that does not take gender-based violence into account is not an option</w:t>
      </w:r>
      <w:r w:rsidRPr="00D95BA3">
        <w:rPr>
          <w:sz w:val="16"/>
        </w:rPr>
        <w:t xml:space="preserve">. According to Ms. Rees, </w:t>
      </w:r>
      <w:r w:rsidRPr="004875EF">
        <w:rPr>
          <w:rStyle w:val="StyleUnderline"/>
        </w:rPr>
        <w:t xml:space="preserve">the ATT must have preventive elements in order to be effective, and it has to be reflective of the obligation to protect. These elements include both negative </w:t>
      </w:r>
      <w:proofErr w:type="gramStart"/>
      <w:r w:rsidRPr="004875EF">
        <w:rPr>
          <w:rStyle w:val="StyleUnderline"/>
        </w:rPr>
        <w:t>obligation</w:t>
      </w:r>
      <w:proofErr w:type="gramEnd"/>
      <w:r w:rsidRPr="004875EF">
        <w:rPr>
          <w:rStyle w:val="StyleUnderline"/>
        </w:rPr>
        <w:t xml:space="preserve"> not to sell arms if there is a risk that it could be used to facilitate gender-based violence, but also positive obligations to prevent, protect, and punish, as well as to provide compensation to victims</w:t>
      </w:r>
      <w:r w:rsidRPr="00D95BA3">
        <w:rPr>
          <w:sz w:val="16"/>
        </w:rPr>
        <w:t xml:space="preserve">. In terms of what should be included in a risk assessment, Ms. Rees argue that </w:t>
      </w:r>
      <w:r w:rsidRPr="004875EF">
        <w:rPr>
          <w:rStyle w:val="Emphasis"/>
        </w:rPr>
        <w:t xml:space="preserve">if states are left to interpret </w:t>
      </w:r>
      <w:r w:rsidRPr="004875EF">
        <w:rPr>
          <w:rStyle w:val="StyleUnderline"/>
        </w:rPr>
        <w:t xml:space="preserve">and decide on </w:t>
      </w:r>
      <w:r w:rsidRPr="004875EF">
        <w:rPr>
          <w:rStyle w:val="Emphasis"/>
        </w:rPr>
        <w:t>criteria</w:t>
      </w:r>
      <w:r w:rsidRPr="004875EF">
        <w:rPr>
          <w:rStyle w:val="StyleUnderline"/>
        </w:rPr>
        <w:t xml:space="preserve"> themselves, or if the criteria are not specific enough, </w:t>
      </w:r>
      <w:r w:rsidRPr="004875EF">
        <w:rPr>
          <w:rStyle w:val="Emphasis"/>
        </w:rPr>
        <w:t>states will set their own standards, which will</w:t>
      </w:r>
      <w:r w:rsidRPr="004875EF">
        <w:rPr>
          <w:rStyle w:val="StyleUnderline"/>
        </w:rPr>
        <w:t xml:space="preserve"> likely </w:t>
      </w:r>
      <w:r w:rsidRPr="004875EF">
        <w:rPr>
          <w:rStyle w:val="Emphasis"/>
        </w:rPr>
        <w:t>lead to violations of human rights</w:t>
      </w:r>
      <w:r w:rsidRPr="004875EF">
        <w:rPr>
          <w:rStyle w:val="StyleUnderline"/>
        </w:rPr>
        <w:t xml:space="preserve"> through irresponsible arms transfers.</w:t>
      </w:r>
      <w:r w:rsidRPr="00D95BA3">
        <w:rPr>
          <w:sz w:val="16"/>
        </w:rPr>
        <w:t xml:space="preserve"> By sharing her first-hand experience on how armed violence is a huge threat to women’s security, </w:t>
      </w:r>
      <w:proofErr w:type="spellStart"/>
      <w:r w:rsidRPr="00D95BA3">
        <w:rPr>
          <w:sz w:val="16"/>
        </w:rPr>
        <w:t>Marren</w:t>
      </w:r>
      <w:proofErr w:type="spellEnd"/>
      <w:r w:rsidRPr="00D95BA3">
        <w:rPr>
          <w:sz w:val="16"/>
        </w:rPr>
        <w:t xml:space="preserve"> </w:t>
      </w:r>
      <w:proofErr w:type="spellStart"/>
      <w:r w:rsidRPr="00D95BA3">
        <w:rPr>
          <w:sz w:val="16"/>
        </w:rPr>
        <w:t>Akatsa-Bukachi</w:t>
      </w:r>
      <w:proofErr w:type="spellEnd"/>
      <w:r w:rsidRPr="00D95BA3">
        <w:rPr>
          <w:sz w:val="16"/>
        </w:rPr>
        <w:t xml:space="preserve">, Executive Director of the Eastern African Sub-regional Support Initiative for the Advancement of Women (EASSI), put emphasis on why </w:t>
      </w:r>
      <w:r w:rsidRPr="004875EF">
        <w:rPr>
          <w:rStyle w:val="StyleUnderline"/>
        </w:rPr>
        <w:t>an ATT cannot be allowed to leave gender-related violence out of its criteria. Firearms help making rape possible, she noted, and too many women suffer from this reality every day</w:t>
      </w:r>
      <w:r w:rsidRPr="00D95BA3">
        <w:rPr>
          <w:sz w:val="16"/>
        </w:rPr>
        <w:t xml:space="preserve">. This clearly has negative consequences for women’s physical and psychological health, but also for the society as a whole. </w:t>
      </w:r>
      <w:r w:rsidRPr="004875EF">
        <w:rPr>
          <w:rStyle w:val="StyleUnderline"/>
        </w:rPr>
        <w:t xml:space="preserve">The different impact of small arms and light weapons (SALW) on men, women, boys, and girls is clear proof of why </w:t>
      </w:r>
      <w:r w:rsidRPr="004875EF">
        <w:rPr>
          <w:rStyle w:val="Emphasis"/>
        </w:rPr>
        <w:t>both SALW and gender based violence</w:t>
      </w:r>
      <w:r w:rsidRPr="004875EF">
        <w:rPr>
          <w:rStyle w:val="StyleUnderline"/>
        </w:rPr>
        <w:t xml:space="preserve">, including sexualized violence and rape, </w:t>
      </w:r>
      <w:r w:rsidRPr="004875EF">
        <w:rPr>
          <w:rStyle w:val="Emphasis"/>
        </w:rPr>
        <w:t>have to be included in the ATT</w:t>
      </w:r>
      <w:r w:rsidRPr="00D95BA3">
        <w:rPr>
          <w:sz w:val="16"/>
        </w:rPr>
        <w:t xml:space="preserve">. Ms. </w:t>
      </w:r>
      <w:proofErr w:type="spellStart"/>
      <w:r w:rsidRPr="00D95BA3">
        <w:rPr>
          <w:sz w:val="16"/>
        </w:rPr>
        <w:t>Akatsa-Bukachi</w:t>
      </w:r>
      <w:proofErr w:type="spellEnd"/>
      <w:r w:rsidRPr="00D95BA3">
        <w:rPr>
          <w:sz w:val="16"/>
        </w:rPr>
        <w:t xml:space="preserve"> called for the creation of a critical mass in the negotiation room in </w:t>
      </w:r>
      <w:proofErr w:type="spellStart"/>
      <w:r w:rsidRPr="00D95BA3">
        <w:rPr>
          <w:sz w:val="16"/>
        </w:rPr>
        <w:t>favour</w:t>
      </w:r>
      <w:proofErr w:type="spellEnd"/>
      <w:r w:rsidRPr="00D95BA3">
        <w:rPr>
          <w:sz w:val="16"/>
        </w:rPr>
        <w:t xml:space="preserve"> of including this topic in the ATT criteria. Dr. Dan </w:t>
      </w:r>
      <w:proofErr w:type="spellStart"/>
      <w:r w:rsidRPr="00D95BA3">
        <w:rPr>
          <w:sz w:val="16"/>
        </w:rPr>
        <w:t>Kuwali</w:t>
      </w:r>
      <w:proofErr w:type="spellEnd"/>
      <w:r w:rsidRPr="00D95BA3">
        <w:rPr>
          <w:sz w:val="16"/>
        </w:rPr>
        <w:t xml:space="preserve"> of the Republic of Malawi argued that wars today have no frontiers, and that conflict-related rape is a clear example of that. He emphasized that while gender-based violence does not exclusively apply to women, it is necessary to highlight that men most often are the perpetrators and that women are most often the victims. He also argued that rape as a manifestation of dominance is so widespread due to the fact that SALW and ammunition is too easily accessible, cheap, and easy to use. In this regard, he also said that firearms are used as a license to oppress, both in the private and in the public. The legal framework on Women, Peace and Security manifested in UN Security Council resolutions 1325 and 1820 and the Beijing Platform for Action are only a few examples of how the UN has already focused on gender-based violence, hence </w:t>
      </w:r>
      <w:r w:rsidRPr="004875EF">
        <w:rPr>
          <w:rStyle w:val="StyleUnderline"/>
        </w:rPr>
        <w:t>it has to be included as a specific criteria and in the goals and objectives of the ATT</w:t>
      </w:r>
      <w:r w:rsidRPr="00D95BA3">
        <w:rPr>
          <w:sz w:val="16"/>
        </w:rPr>
        <w:t xml:space="preserve">. Clare da Silva of Amnesty International presented the main priorities of her organization, arguing that the criteria of the ATT must be comprehensive while also including details regarding risk assessment. She stressed that it is important that all relevant information about end-users, usage, and misuse are taken into account, and that </w:t>
      </w:r>
      <w:r w:rsidRPr="00D95BA3">
        <w:rPr>
          <w:rStyle w:val="StyleUnderline"/>
        </w:rPr>
        <w:t>states should be required to investigate if an arms transfer is likely to be used to facilitate gender -based violence.</w:t>
      </w:r>
      <w:r w:rsidRPr="00D95BA3">
        <w:rPr>
          <w:sz w:val="16"/>
        </w:rPr>
        <w:t xml:space="preserve"> Likewise, the scope of the treaty has to do the same, and all conventional arms that do and can facilitate the identified violations have to be included. In order to ensure efficiency, effective control mechanisms with high inter-national standards are necessary, as well as an obligation to implement these standards including risk assessment. According to Ms. da Silva, </w:t>
      </w:r>
      <w:r w:rsidRPr="00D95BA3">
        <w:rPr>
          <w:rStyle w:val="StyleUnderline"/>
        </w:rPr>
        <w:t>by including gender-based violence in the criteria of the ATT, both exporters and importers are obliged to ensure that violations will not take place. Several participants raised different concerns</w:t>
      </w:r>
      <w:r w:rsidRPr="00D95BA3">
        <w:rPr>
          <w:sz w:val="16"/>
        </w:rPr>
        <w:t xml:space="preserve"> in the Q&amp;A session, </w:t>
      </w:r>
      <w:r w:rsidRPr="00D95BA3">
        <w:rPr>
          <w:rStyle w:val="StyleUnderline"/>
        </w:rPr>
        <w:t xml:space="preserve">including the importance of reaching out to </w:t>
      </w:r>
      <w:r w:rsidRPr="00D95BA3">
        <w:rPr>
          <w:rStyle w:val="StyleUnderline"/>
        </w:rPr>
        <w:lastRenderedPageBreak/>
        <w:t xml:space="preserve">states that have not already asked for gender-based violence to be included in the operational part of the treaty. </w:t>
      </w:r>
      <w:r w:rsidRPr="00D95BA3">
        <w:rPr>
          <w:sz w:val="16"/>
        </w:rPr>
        <w:t xml:space="preserve">Clearly, the critical mass needed for the ATT to contribute to prevent gender-based violence has started to take </w:t>
      </w:r>
      <w:proofErr w:type="gramStart"/>
      <w:r w:rsidRPr="00D95BA3">
        <w:rPr>
          <w:sz w:val="16"/>
        </w:rPr>
        <w:t>form, but</w:t>
      </w:r>
      <w:proofErr w:type="gramEnd"/>
      <w:r w:rsidRPr="00D95BA3">
        <w:rPr>
          <w:sz w:val="16"/>
        </w:rPr>
        <w:t xml:space="preserve"> will have to grow during the coming days. The diverse experiences of the panelists in this seminar clearly shows that in order to increase women’s security, the ATT should require states to not allow an international transfer of conventional arms where there is a substantial risk that the arms under consideration are likely to be used to perpetrate or facilitate acts of gender-based violence, including rape and other forms of sexual violence.</w:t>
      </w:r>
    </w:p>
    <w:p w:rsidR="0013340D" w:rsidRDefault="0013340D" w:rsidP="0013340D">
      <w:pPr>
        <w:pStyle w:val="Heading4"/>
      </w:pPr>
      <w:r>
        <w:t xml:space="preserve">The Arms Trade Treaty doesn’t solve GBV – states always find a way to sidestep </w:t>
      </w:r>
    </w:p>
    <w:p w:rsidR="0013340D" w:rsidRPr="00CB386F" w:rsidRDefault="0013340D" w:rsidP="0013340D">
      <w:pPr>
        <w:rPr>
          <w:rStyle w:val="Style13ptBold"/>
        </w:rPr>
      </w:pPr>
      <w:r>
        <w:rPr>
          <w:rStyle w:val="Style13ptBold"/>
        </w:rPr>
        <w:t xml:space="preserve">Green et al 13 – </w:t>
      </w:r>
      <w:r w:rsidRPr="00CB386F">
        <w:rPr>
          <w:sz w:val="18"/>
          <w:szCs w:val="18"/>
        </w:rPr>
        <w:t xml:space="preserve">(Caroline Green, </w:t>
      </w:r>
      <w:proofErr w:type="spellStart"/>
      <w:r w:rsidRPr="00CB386F">
        <w:rPr>
          <w:sz w:val="18"/>
          <w:szCs w:val="18"/>
        </w:rPr>
        <w:t>Deepayan</w:t>
      </w:r>
      <w:proofErr w:type="spellEnd"/>
      <w:r w:rsidRPr="00CB386F">
        <w:rPr>
          <w:sz w:val="18"/>
          <w:szCs w:val="18"/>
        </w:rPr>
        <w:t xml:space="preserve"> </w:t>
      </w:r>
      <w:proofErr w:type="spellStart"/>
      <w:r w:rsidRPr="00CB386F">
        <w:rPr>
          <w:sz w:val="18"/>
          <w:szCs w:val="18"/>
        </w:rPr>
        <w:t>Basu</w:t>
      </w:r>
      <w:proofErr w:type="spellEnd"/>
      <w:r w:rsidRPr="00CB386F">
        <w:rPr>
          <w:sz w:val="18"/>
          <w:szCs w:val="18"/>
        </w:rPr>
        <w:t xml:space="preserve"> Ray, Claire Mortimer &amp; Kate Stone;  former Gender Policy Adviser at Oxfam GB,  Director of Arms Control, Centre for Armed Violence Reduction, PhD at the University of East Anglia,  “Gender-based violence and the Arms Trade Treaty: reflections from a campaigning and legal perspective,” Gender &amp; Development, 21:3, 551-562, </w:t>
      </w:r>
      <w:hyperlink r:id="rId48" w:history="1">
        <w:r w:rsidRPr="00CB386F">
          <w:rPr>
            <w:rStyle w:val="Hyperlink"/>
            <w:sz w:val="18"/>
            <w:szCs w:val="18"/>
          </w:rPr>
          <w:t>https://www-tandfonline-com.proxy.lib.umich.edu/doi/full/10.1080/13552074.2013.847001</w:t>
        </w:r>
      </w:hyperlink>
      <w:r w:rsidRPr="00CB386F">
        <w:rPr>
          <w:sz w:val="18"/>
          <w:szCs w:val="18"/>
        </w:rPr>
        <w:t>) // S.Y.</w:t>
      </w:r>
    </w:p>
    <w:p w:rsidR="0013340D" w:rsidRPr="00CB386F" w:rsidRDefault="0013340D" w:rsidP="0013340D">
      <w:pPr>
        <w:rPr>
          <w:sz w:val="16"/>
        </w:rPr>
      </w:pPr>
      <w:r w:rsidRPr="00CB386F">
        <w:rPr>
          <w:sz w:val="16"/>
        </w:rPr>
        <w:t>Drafting the ATT: keeping GBV on the agenda</w:t>
      </w:r>
    </w:p>
    <w:p w:rsidR="0013340D" w:rsidRPr="00CB386F" w:rsidRDefault="0013340D" w:rsidP="0013340D">
      <w:pPr>
        <w:rPr>
          <w:sz w:val="16"/>
        </w:rPr>
      </w:pPr>
      <w:r w:rsidRPr="00CB386F">
        <w:rPr>
          <w:sz w:val="16"/>
        </w:rPr>
        <w:t xml:space="preserve">During the 2012 and 2013 Diplomatic Conferences, </w:t>
      </w:r>
      <w:r w:rsidRPr="00FE65CF">
        <w:rPr>
          <w:rStyle w:val="StyleUnderline"/>
        </w:rPr>
        <w:t>campaigners and states which championed the GBV issue applied sustained pressure to ensure language assessing the risk of GBV made it into the draft Treaty</w:t>
      </w:r>
      <w:r w:rsidRPr="00CB386F">
        <w:rPr>
          <w:sz w:val="16"/>
        </w:rPr>
        <w:t xml:space="preserve"> (and did not drop out at final draft stage). </w:t>
      </w:r>
      <w:r w:rsidRPr="00FE65CF">
        <w:rPr>
          <w:rStyle w:val="StyleUnderline"/>
        </w:rPr>
        <w:t xml:space="preserve">Champions of strong obligations relating to GBV in the ATT </w:t>
      </w:r>
      <w:r w:rsidRPr="00FE65CF">
        <w:rPr>
          <w:rStyle w:val="Emphasis"/>
        </w:rPr>
        <w:t>included Iceland, Trinidad and Tobago, Norway, Finland, Kenya, and Malawi</w:t>
      </w:r>
      <w:r w:rsidRPr="00FE65CF">
        <w:rPr>
          <w:rStyle w:val="StyleUnderline"/>
        </w:rPr>
        <w:t>.</w:t>
      </w:r>
      <w:r w:rsidRPr="00CB386F">
        <w:rPr>
          <w:sz w:val="16"/>
        </w:rPr>
        <w:t xml:space="preserve"> These countries worked hard to find common ground and craft treaty language that had the greatest buy-in and resonance with negotiating states. </w:t>
      </w:r>
      <w:r w:rsidRPr="00FE65CF">
        <w:rPr>
          <w:rStyle w:val="StyleUnderline"/>
        </w:rPr>
        <w:t>Some went as far as to make GBV one of their ‘red-line’ negotiating positions</w:t>
      </w:r>
      <w:r w:rsidRPr="00CB386F">
        <w:rPr>
          <w:sz w:val="16"/>
        </w:rPr>
        <w:t>.5</w:t>
      </w:r>
    </w:p>
    <w:p w:rsidR="0013340D" w:rsidRPr="00CB386F" w:rsidRDefault="0013340D" w:rsidP="0013340D">
      <w:pPr>
        <w:rPr>
          <w:sz w:val="16"/>
        </w:rPr>
      </w:pPr>
      <w:r w:rsidRPr="00CB386F">
        <w:rPr>
          <w:sz w:val="16"/>
        </w:rPr>
        <w:t>Their clear leadership, and strong articulation of unambiguous treaty language, persuaded the silent majority of states to lend their support to the issue and the language suggestions for treaty text.</w:t>
      </w:r>
    </w:p>
    <w:p w:rsidR="0013340D" w:rsidRPr="00CB386F" w:rsidRDefault="0013340D" w:rsidP="0013340D">
      <w:pPr>
        <w:rPr>
          <w:rStyle w:val="StyleUnderline"/>
        </w:rPr>
      </w:pPr>
      <w:r w:rsidRPr="00FE65CF">
        <w:rPr>
          <w:rStyle w:val="StyleUnderline"/>
        </w:rPr>
        <w:t>GBV first appeared in the National Assessment section of the final draft Treaty text of the July 2012 Diplomatic Conference</w:t>
      </w:r>
      <w:r w:rsidRPr="00CB386F">
        <w:rPr>
          <w:sz w:val="16"/>
        </w:rPr>
        <w:t xml:space="preserve">. At this point, </w:t>
      </w:r>
      <w:r w:rsidRPr="00FE65CF">
        <w:rPr>
          <w:rStyle w:val="StyleUnderline"/>
        </w:rPr>
        <w:t>the principle of putting international humanitarian and human rights law at the heart of the Treaty's risk assessment</w:t>
      </w:r>
      <w:r w:rsidRPr="00CB386F">
        <w:rPr>
          <w:sz w:val="16"/>
        </w:rPr>
        <w:t xml:space="preserve"> </w:t>
      </w:r>
      <w:r w:rsidRPr="00FE65CF">
        <w:rPr>
          <w:rStyle w:val="StyleUnderline"/>
        </w:rPr>
        <w:t xml:space="preserve">provisions was close to being won, and GBV fitted well within </w:t>
      </w:r>
      <w:r w:rsidRPr="00CB386F">
        <w:rPr>
          <w:rStyle w:val="StyleUnderline"/>
        </w:rPr>
        <w:t xml:space="preserve">that narrative. However, some states rejected the inclusion of language on GBV and VAW for a variety of reasons. </w:t>
      </w:r>
      <w:r w:rsidRPr="00CB386F">
        <w:rPr>
          <w:rStyle w:val="Emphasis"/>
        </w:rPr>
        <w:t>Some argued</w:t>
      </w:r>
      <w:r w:rsidRPr="00CB386F">
        <w:rPr>
          <w:rStyle w:val="StyleUnderline"/>
        </w:rPr>
        <w:t xml:space="preserve"> that the </w:t>
      </w:r>
      <w:r w:rsidRPr="00CB386F">
        <w:rPr>
          <w:rStyle w:val="Emphasis"/>
        </w:rPr>
        <w:t>concept of GBV was insufficiently defined</w:t>
      </w:r>
      <w:r w:rsidRPr="00CB386F">
        <w:rPr>
          <w:rStyle w:val="StyleUnderline"/>
        </w:rPr>
        <w:t xml:space="preserve"> to appear in a legally binding text, and that specific </w:t>
      </w:r>
      <w:r w:rsidRPr="00CB386F">
        <w:rPr>
          <w:rStyle w:val="Emphasis"/>
        </w:rPr>
        <w:t>provisions were unnecessary</w:t>
      </w:r>
      <w:r w:rsidRPr="00CB386F">
        <w:rPr>
          <w:rStyle w:val="StyleUnderline"/>
        </w:rPr>
        <w:t xml:space="preserve"> since it was already included through the references to human rights and humanitarian law.</w:t>
      </w:r>
    </w:p>
    <w:p w:rsidR="0013340D" w:rsidRPr="00CB386F" w:rsidRDefault="0013340D" w:rsidP="0013340D">
      <w:pPr>
        <w:rPr>
          <w:sz w:val="16"/>
        </w:rPr>
      </w:pPr>
      <w:r w:rsidRPr="00CB386F">
        <w:rPr>
          <w:sz w:val="16"/>
        </w:rPr>
        <w:t xml:space="preserve">Bearing in mind these tensions, the fact that GBV appeared at all in these early drafts was a signal of the strength of the champion state–civil society alliance. </w:t>
      </w:r>
      <w:r w:rsidRPr="00CB386F">
        <w:rPr>
          <w:rStyle w:val="Emphasis"/>
        </w:rPr>
        <w:t>However, language of the provision was so weak as to render it almost meaningles</w:t>
      </w:r>
      <w:r w:rsidRPr="00CB386F">
        <w:rPr>
          <w:sz w:val="16"/>
        </w:rPr>
        <w:t>s; a clear reflection of the political concessions that were being explored to achieve consensus</w:t>
      </w:r>
      <w:r w:rsidRPr="00CB386F">
        <w:rPr>
          <w:rStyle w:val="StyleUnderline"/>
        </w:rPr>
        <w:t xml:space="preserve">. GBV had effectively been relegated, alongside other potentially controversial issues, to a section which only obliged states to ‘consider taking feasible measures’ </w:t>
      </w:r>
      <w:r w:rsidRPr="00CB386F">
        <w:rPr>
          <w:sz w:val="16"/>
        </w:rPr>
        <w:t xml:space="preserve">(Draft of the Arms Trade Treaty 2012, Article 4) </w:t>
      </w:r>
      <w:r w:rsidRPr="00CB386F">
        <w:rPr>
          <w:rStyle w:val="StyleUnderline"/>
        </w:rPr>
        <w:t>to avoid GBV</w:t>
      </w:r>
      <w:r w:rsidRPr="00CB386F">
        <w:rPr>
          <w:sz w:val="16"/>
        </w:rPr>
        <w:t>. This was in stark contrast to much stronger language dealing with violations of human rights and humanitarian law.</w:t>
      </w:r>
    </w:p>
    <w:p w:rsidR="0013340D" w:rsidRDefault="0013340D" w:rsidP="0013340D">
      <w:pPr>
        <w:rPr>
          <w:sz w:val="16"/>
        </w:rPr>
      </w:pPr>
      <w:r w:rsidRPr="00CB386F">
        <w:rPr>
          <w:rStyle w:val="StyleUnderline"/>
        </w:rPr>
        <w:t>Campaigners and states championing the issue were particularly concerned that this would result in States Parties treating GBV as a ‘lesser’ category of abuse, which would be inconsistent with the treaty's stronger provisions on violations of human rights and humanitarian law</w:t>
      </w:r>
      <w:r w:rsidRPr="00CB386F">
        <w:rPr>
          <w:sz w:val="16"/>
        </w:rPr>
        <w:t xml:space="preserve">. In order to avoid this, </w:t>
      </w:r>
      <w:r w:rsidRPr="00CB386F">
        <w:rPr>
          <w:rStyle w:val="StyleUnderline"/>
        </w:rPr>
        <w:t>there were suggestions</w:t>
      </w:r>
      <w:r w:rsidRPr="00CB386F">
        <w:rPr>
          <w:sz w:val="16"/>
        </w:rPr>
        <w:t xml:space="preserve"> during the second conference in March 2013 </w:t>
      </w:r>
      <w:r w:rsidRPr="00CB386F">
        <w:rPr>
          <w:rStyle w:val="StyleUnderline"/>
        </w:rPr>
        <w:t>that GBV should simply be referenced in the Preamble</w:t>
      </w:r>
      <w:r w:rsidRPr="00CB386F">
        <w:rPr>
          <w:sz w:val="16"/>
        </w:rPr>
        <w:t xml:space="preserve"> (separate from the risk-assessment obligations of the treaty). </w:t>
      </w:r>
      <w:r w:rsidRPr="00CB386F">
        <w:rPr>
          <w:rStyle w:val="StyleUnderline"/>
        </w:rPr>
        <w:t>This would not have created the new, global, operational norm on assessing risks of GBV in arms transfers which proponents were aiming for.</w:t>
      </w:r>
      <w:r w:rsidRPr="00CB386F">
        <w:rPr>
          <w:sz w:val="16"/>
        </w:rPr>
        <w:t xml:space="preserve"> The eventual strong language on GBV in the operational part of the treaty was due in large part to campaigners and champion governments collaborating to win over other states</w:t>
      </w:r>
    </w:p>
    <w:p w:rsidR="0013340D" w:rsidRDefault="0013340D" w:rsidP="0013340D">
      <w:pPr>
        <w:pStyle w:val="Heading3"/>
      </w:pPr>
      <w:r>
        <w:lastRenderedPageBreak/>
        <w:t>ATT Fails- Small Arms</w:t>
      </w:r>
    </w:p>
    <w:p w:rsidR="0013340D" w:rsidRDefault="0013340D" w:rsidP="0013340D">
      <w:pPr>
        <w:pStyle w:val="Heading4"/>
      </w:pPr>
      <w:r>
        <w:t>Specifically, the CP can’t solve for small arms</w:t>
      </w:r>
    </w:p>
    <w:p w:rsidR="0013340D" w:rsidRPr="00BD24BD" w:rsidRDefault="0013340D" w:rsidP="0013340D">
      <w:pPr>
        <w:rPr>
          <w:rStyle w:val="Style13ptBold"/>
        </w:rPr>
      </w:pPr>
      <w:proofErr w:type="spellStart"/>
      <w:r>
        <w:rPr>
          <w:rStyle w:val="Style13ptBold"/>
        </w:rPr>
        <w:t>Lito</w:t>
      </w:r>
      <w:proofErr w:type="spellEnd"/>
      <w:r>
        <w:rPr>
          <w:rStyle w:val="Style13ptBold"/>
        </w:rPr>
        <w:t xml:space="preserve"> and Davies 13 – </w:t>
      </w:r>
      <w:r w:rsidRPr="00BD24BD">
        <w:rPr>
          <w:sz w:val="18"/>
          <w:szCs w:val="18"/>
        </w:rPr>
        <w:t xml:space="preserve">(Melina </w:t>
      </w:r>
      <w:proofErr w:type="spellStart"/>
      <w:r w:rsidRPr="00BD24BD">
        <w:rPr>
          <w:sz w:val="18"/>
          <w:szCs w:val="18"/>
        </w:rPr>
        <w:t>Lito</w:t>
      </w:r>
      <w:proofErr w:type="spellEnd"/>
      <w:r w:rsidRPr="00BD24BD">
        <w:rPr>
          <w:sz w:val="18"/>
          <w:szCs w:val="18"/>
        </w:rPr>
        <w:t xml:space="preserve"> and Sara E. Davies, Program Director at the Women Peace &amp; Security Program and Senior Research Fellow at Griffith University, “UN Arms Treaty Waters Down Role of Weapons in Sexual- and Gender-Based Violence,” IPI Global Observatory, March 19, 2013, </w:t>
      </w:r>
      <w:hyperlink r:id="rId49" w:history="1">
        <w:r w:rsidRPr="00BD24BD">
          <w:rPr>
            <w:rStyle w:val="Hyperlink"/>
            <w:sz w:val="18"/>
            <w:szCs w:val="18"/>
          </w:rPr>
          <w:t>https://theglobalobservatory.org/2013/03/un-arms-treaty-waters-down-role-of-weapons-in-sexual-and-gender-based-violence/</w:t>
        </w:r>
      </w:hyperlink>
      <w:r w:rsidRPr="00BD24BD">
        <w:rPr>
          <w:sz w:val="18"/>
          <w:szCs w:val="18"/>
        </w:rPr>
        <w:t>) // S.Y.</w:t>
      </w:r>
    </w:p>
    <w:p w:rsidR="0013340D" w:rsidRPr="00BD24BD" w:rsidRDefault="0013340D" w:rsidP="0013340D">
      <w:pPr>
        <w:rPr>
          <w:sz w:val="16"/>
        </w:rPr>
      </w:pPr>
      <w:r w:rsidRPr="00232348">
        <w:rPr>
          <w:rStyle w:val="StyleUnderline"/>
        </w:rPr>
        <w:t>The connection between small arms/light weapons and aggravated violence against women and girls was powerfully acknowledged in last week’s agreed conclusions of the UN Commission of the Status of Women</w:t>
      </w:r>
      <w:r w:rsidRPr="00BD24BD">
        <w:rPr>
          <w:sz w:val="16"/>
        </w:rPr>
        <w:t xml:space="preserve"> (CSW); this week, </w:t>
      </w:r>
      <w:r w:rsidRPr="00232348">
        <w:rPr>
          <w:rStyle w:val="Emphasis"/>
        </w:rPr>
        <w:t>however, that connection is about to be weakened in the proposed Arms Trade Treaty (ATT)</w:t>
      </w:r>
      <w:r w:rsidRPr="00BD24BD">
        <w:rPr>
          <w:sz w:val="16"/>
        </w:rPr>
        <w:t xml:space="preserve">, which begins negotiations on the text this week. </w:t>
      </w:r>
      <w:r w:rsidRPr="00232348">
        <w:rPr>
          <w:rStyle w:val="StyleUnderline"/>
        </w:rPr>
        <w:t>The</w:t>
      </w:r>
      <w:r w:rsidRPr="00BD24BD">
        <w:rPr>
          <w:sz w:val="16"/>
        </w:rPr>
        <w:t xml:space="preserve"> draft </w:t>
      </w:r>
      <w:r w:rsidRPr="00232348">
        <w:rPr>
          <w:rStyle w:val="StyleUnderline"/>
        </w:rPr>
        <w:t>text of the ATT has provided a loophole for some member states to consider acts of sexual and gender-violence as not legitimate grounds for prohibiting a weapons transfer</w:t>
      </w:r>
      <w:r w:rsidRPr="00BD24BD">
        <w:rPr>
          <w:sz w:val="16"/>
        </w:rPr>
        <w:t>. Given Australia’s role as chair of upcoming ATT conference, there are ways the Australian government could help reverse this.</w:t>
      </w:r>
    </w:p>
    <w:p w:rsidR="0013340D" w:rsidRPr="00BD24BD" w:rsidRDefault="0013340D" w:rsidP="0013340D">
      <w:pPr>
        <w:rPr>
          <w:sz w:val="16"/>
        </w:rPr>
      </w:pPr>
      <w:r w:rsidRPr="00BD24BD">
        <w:rPr>
          <w:sz w:val="16"/>
        </w:rPr>
        <w:t>Key Conclusions</w:t>
      </w:r>
    </w:p>
    <w:p w:rsidR="0013340D" w:rsidRPr="00BD24BD" w:rsidRDefault="0013340D" w:rsidP="0013340D">
      <w:pPr>
        <w:rPr>
          <w:sz w:val="16"/>
        </w:rPr>
      </w:pPr>
      <w:r w:rsidRPr="00232348">
        <w:rPr>
          <w:rStyle w:val="StyleUnderline"/>
        </w:rPr>
        <w:t>Article 4</w:t>
      </w:r>
      <w:r w:rsidRPr="00BD24BD">
        <w:rPr>
          <w:sz w:val="16"/>
        </w:rPr>
        <w:t xml:space="preserve"> in the draft text of the proposed Arms Trade Treaty ha</w:t>
      </w:r>
      <w:r w:rsidRPr="00232348">
        <w:rPr>
          <w:rStyle w:val="StyleUnderline"/>
        </w:rPr>
        <w:t xml:space="preserve">s significantly </w:t>
      </w:r>
      <w:proofErr w:type="gramStart"/>
      <w:r w:rsidRPr="00232348">
        <w:rPr>
          <w:rStyle w:val="StyleUnderline"/>
        </w:rPr>
        <w:t>watered down</w:t>
      </w:r>
      <w:proofErr w:type="gramEnd"/>
      <w:r w:rsidRPr="00232348">
        <w:rPr>
          <w:rStyle w:val="StyleUnderline"/>
        </w:rPr>
        <w:t xml:space="preserve"> language around sexual- and gender-based violence as a condition for preventing arms trades.</w:t>
      </w:r>
    </w:p>
    <w:p w:rsidR="0013340D" w:rsidRPr="00232348" w:rsidRDefault="0013340D" w:rsidP="0013340D">
      <w:pPr>
        <w:rPr>
          <w:rStyle w:val="StyleUnderline"/>
        </w:rPr>
      </w:pPr>
      <w:r w:rsidRPr="00232348">
        <w:rPr>
          <w:rStyle w:val="StyleUnderline"/>
        </w:rPr>
        <w:t>Though only 75 member states have declared support for the inclusion of gender in the ATT, there is strong political and legal precedent for its inclusion.</w:t>
      </w:r>
    </w:p>
    <w:p w:rsidR="0013340D" w:rsidRPr="00BD24BD" w:rsidRDefault="0013340D" w:rsidP="0013340D">
      <w:pPr>
        <w:rPr>
          <w:sz w:val="16"/>
        </w:rPr>
      </w:pPr>
      <w:r w:rsidRPr="00BD24BD">
        <w:rPr>
          <w:sz w:val="16"/>
        </w:rPr>
        <w:t>As chair of the ATT, the Australian government is well-positioned to advocate in favor of SGBV’s inclusion in Article 4.</w:t>
      </w:r>
    </w:p>
    <w:p w:rsidR="0013340D" w:rsidRPr="00BD24BD" w:rsidRDefault="0013340D" w:rsidP="0013340D">
      <w:pPr>
        <w:rPr>
          <w:sz w:val="16"/>
        </w:rPr>
      </w:pPr>
      <w:r w:rsidRPr="00BD24BD">
        <w:rPr>
          <w:sz w:val="16"/>
        </w:rPr>
        <w:t>Analysis</w:t>
      </w:r>
    </w:p>
    <w:p w:rsidR="0013340D" w:rsidRPr="00BD24BD" w:rsidRDefault="0013340D" w:rsidP="0013340D">
      <w:pPr>
        <w:rPr>
          <w:sz w:val="16"/>
        </w:rPr>
      </w:pPr>
      <w:r w:rsidRPr="00BD24BD">
        <w:rPr>
          <w:sz w:val="16"/>
        </w:rPr>
        <w:t>From March 18-28, 2013, member states will convene at the UN Conference of an Arms Trade Treaty in an attempt to pass what they failed to do in July 2012: establish common international standards for the import, export and transfer of conventional arms.</w:t>
      </w:r>
    </w:p>
    <w:p w:rsidR="0013340D" w:rsidRPr="00232348" w:rsidRDefault="0013340D" w:rsidP="0013340D">
      <w:pPr>
        <w:rPr>
          <w:rStyle w:val="StyleUnderline"/>
        </w:rPr>
      </w:pPr>
      <w:r w:rsidRPr="00BD24BD">
        <w:rPr>
          <w:sz w:val="16"/>
        </w:rPr>
        <w:t xml:space="preserve">Analysts following the ATT process have noted a number of the problems with the draft text.  One of these concerns relates to Article 4, where states are to establish a “national risk assessment criteria’” that will reduce arms sales and transfers if they could pose a threat to international peace and security. Presently </w:t>
      </w:r>
      <w:r w:rsidRPr="00232348">
        <w:rPr>
          <w:rStyle w:val="StyleUnderline"/>
        </w:rPr>
        <w:t>within Article 4, the only time gender-based violence appears is in Article 4 (6) which calls for exporting states to take “feasible measures” to ensure that weapons transfers and sales are not used for, among other things, gender-based violence.  These measures are not mandatory and in contrast to earlier Article 4(2) and 4(5), both of which refer to any violation of international humanitarian law and international human rights law as grounds for the transfer to not occur.</w:t>
      </w:r>
    </w:p>
    <w:p w:rsidR="0013340D" w:rsidRPr="00715883" w:rsidRDefault="0013340D" w:rsidP="0013340D">
      <w:pPr>
        <w:rPr>
          <w:rStyle w:val="StyleUnderline"/>
        </w:rPr>
      </w:pPr>
      <w:r w:rsidRPr="00BD24BD">
        <w:rPr>
          <w:sz w:val="16"/>
        </w:rPr>
        <w:t xml:space="preserve">As Reaching Critical Will has outlined, </w:t>
      </w:r>
      <w:r w:rsidRPr="00715883">
        <w:rPr>
          <w:rStyle w:val="StyleUnderline"/>
        </w:rPr>
        <w:t>this is unacceptable for two reasons. First, gender-based violence</w:t>
      </w:r>
      <w:r w:rsidRPr="00BD24BD">
        <w:rPr>
          <w:sz w:val="16"/>
        </w:rPr>
        <w:t xml:space="preserve"> —particularly acts of widespread and systematic sexual and gender-based violence (SGBV)—</w:t>
      </w:r>
      <w:r w:rsidRPr="00715883">
        <w:rPr>
          <w:rStyle w:val="StyleUnderline"/>
        </w:rPr>
        <w:t>can violate international law under the 1998 Rome Statute. As such, demarcating gender-based violence from 4(2) to be listed in 4(6) either gives way to a view held by some states that acts of sexual and gender-violence do not always violate international law or that these acts are not legitimate grounds for prohibiting a weapons transfer.</w:t>
      </w:r>
    </w:p>
    <w:p w:rsidR="0013340D" w:rsidRPr="00BD24BD" w:rsidRDefault="0013340D" w:rsidP="0013340D">
      <w:pPr>
        <w:rPr>
          <w:sz w:val="16"/>
        </w:rPr>
      </w:pPr>
      <w:r w:rsidRPr="00715883">
        <w:rPr>
          <w:rStyle w:val="StyleUnderline"/>
        </w:rPr>
        <w:t>There is strong political and legal precedent for</w:t>
      </w:r>
      <w:r w:rsidRPr="00BD24BD">
        <w:rPr>
          <w:sz w:val="16"/>
        </w:rPr>
        <w:t xml:space="preserve"> this to be reversed and for the term </w:t>
      </w:r>
      <w:r w:rsidRPr="00715883">
        <w:rPr>
          <w:rStyle w:val="StyleUnderline"/>
        </w:rPr>
        <w:t>SGBV to be included in any national risk assessment criteria</w:t>
      </w:r>
      <w:r w:rsidRPr="00BD24BD">
        <w:rPr>
          <w:sz w:val="16"/>
        </w:rPr>
        <w:t xml:space="preserve"> that would lead to denial of a weapons transfer on the grounds that these acts are both a violation of international law and a threat on international peace and security. For example, </w:t>
      </w:r>
      <w:r w:rsidRPr="00715883">
        <w:rPr>
          <w:rStyle w:val="StyleUnderline"/>
        </w:rPr>
        <w:t>in 2000, the United Nations Security Council passed Resolution 1325 that stated</w:t>
      </w:r>
      <w:r w:rsidRPr="00BD24BD">
        <w:rPr>
          <w:sz w:val="16"/>
        </w:rPr>
        <w:t xml:space="preserve"> in its preamble, “</w:t>
      </w:r>
      <w:r w:rsidRPr="00715883">
        <w:rPr>
          <w:rStyle w:val="StyleUnderline"/>
        </w:rPr>
        <w:t xml:space="preserve">Recognizing that an understanding of the impact of armed conflict on women and girls, effective institutional </w:t>
      </w:r>
      <w:r w:rsidRPr="00715883">
        <w:rPr>
          <w:rStyle w:val="StyleUnderline"/>
        </w:rPr>
        <w:lastRenderedPageBreak/>
        <w:t>arrangements to guarantee their protection and full participation in the peace process can significantly contribute to the maintenance and promotion of international peace and security</w:t>
      </w:r>
      <w:r w:rsidRPr="00BD24BD">
        <w:rPr>
          <w:sz w:val="16"/>
        </w:rPr>
        <w:t>.”</w:t>
      </w:r>
    </w:p>
    <w:p w:rsidR="0013340D" w:rsidRPr="00BD24BD" w:rsidRDefault="0013340D" w:rsidP="0013340D">
      <w:pPr>
        <w:rPr>
          <w:sz w:val="16"/>
        </w:rPr>
      </w:pPr>
      <w:r w:rsidRPr="00BD24BD">
        <w:rPr>
          <w:sz w:val="16"/>
        </w:rPr>
        <w:t>As we discuss below, numerous Security Council resolutions have since passed linking international peace and security with the prevention of SGBV and the prevention of illicit trade in conventional arms (as presently stated in the draft ATT preamble).</w:t>
      </w:r>
    </w:p>
    <w:p w:rsidR="0013340D" w:rsidRPr="00BD24BD" w:rsidRDefault="0013340D" w:rsidP="0013340D">
      <w:pPr>
        <w:rPr>
          <w:sz w:val="16"/>
        </w:rPr>
      </w:pPr>
      <w:r w:rsidRPr="00BD24BD">
        <w:rPr>
          <w:sz w:val="16"/>
        </w:rPr>
        <w:t>In February 2013, Australia issued a statement to the Security Council outlining its support for the Presidential Statement on the Protection of Civilians.  In this statement, Ambassador Gary Quinlan, Australia’s Permanent Ambassador to the UN, referred to the need for the ATT to pass into international law. Indeed, the Australian statement described the ATT as being essential for upholding the Protection of Civilians and maintenance of international peace and security: “Some 2,000 people–mostly civilians, many women and children–are killed every day from the illicit and irresponsible trade in weapons. We can fix this.”</w:t>
      </w:r>
    </w:p>
    <w:p w:rsidR="0013340D" w:rsidRPr="00BD24BD" w:rsidRDefault="0013340D" w:rsidP="0013340D">
      <w:pPr>
        <w:rPr>
          <w:sz w:val="16"/>
        </w:rPr>
      </w:pPr>
      <w:r w:rsidRPr="00BD24BD">
        <w:rPr>
          <w:sz w:val="16"/>
        </w:rPr>
        <w:t>Given Australia’s role as chair of upcoming ATT conference, there are three areas where the Australian government could advocate in favor of SGBV inclusion in Article 4(2).</w:t>
      </w:r>
    </w:p>
    <w:p w:rsidR="0013340D" w:rsidRPr="00BD24BD" w:rsidRDefault="0013340D" w:rsidP="0013340D">
      <w:pPr>
        <w:rPr>
          <w:sz w:val="16"/>
        </w:rPr>
      </w:pPr>
      <w:r w:rsidRPr="00BD24BD">
        <w:rPr>
          <w:sz w:val="16"/>
        </w:rPr>
        <w:t>First, it is surprising that so few states (75) have declared support for the inclusion of gender in the ATT; the numbers are very small in the Asia-Pacific, with only Australia, New Zealand, and South Korea. Australia’s co-members from the Group of Friends on Protection of Civilians include crucial members from regional blocs (i.e., Brazil and Japan) but are yet to commit. There is a risk that Australia and other states may walk away from the gender references to secure the treaty’s passage.  This would have damaging consequences for the ATT itself and the broader Women Peace and Security (WPS) agenda.   The alternative option to walking away would be that Australia proactively appeals for support from other Groups of Friends bodies (including the Responsibility to Protect) to strengthen these references in the ATT.</w:t>
      </w:r>
    </w:p>
    <w:p w:rsidR="0013340D" w:rsidRPr="00BD24BD" w:rsidRDefault="0013340D" w:rsidP="0013340D">
      <w:pPr>
        <w:rPr>
          <w:sz w:val="16"/>
        </w:rPr>
      </w:pPr>
      <w:r w:rsidRPr="00BD24BD">
        <w:rPr>
          <w:sz w:val="16"/>
        </w:rPr>
        <w:t xml:space="preserve">Second, as noted above, </w:t>
      </w:r>
      <w:r w:rsidRPr="00FF309E">
        <w:rPr>
          <w:rStyle w:val="StyleUnderline"/>
        </w:rPr>
        <w:t xml:space="preserve">the UN Security Council has repeatedly affirmed a relationship between SGBV and armed conflict, </w:t>
      </w:r>
      <w:r w:rsidRPr="00FF309E">
        <w:rPr>
          <w:rStyle w:val="Emphasis"/>
        </w:rPr>
        <w:t>including small-arms supply</w:t>
      </w:r>
      <w:r w:rsidRPr="00BD24BD">
        <w:rPr>
          <w:sz w:val="16"/>
        </w:rPr>
        <w:t xml:space="preserve">. Furthermore, </w:t>
      </w:r>
      <w:r w:rsidRPr="00FF309E">
        <w:rPr>
          <w:rStyle w:val="StyleUnderline"/>
        </w:rPr>
        <w:t>the Security Council approved in Resolution 1960</w:t>
      </w:r>
      <w:r w:rsidRPr="00BD24BD">
        <w:rPr>
          <w:sz w:val="16"/>
        </w:rPr>
        <w:t xml:space="preserve">, compiling information concerning countries and armed groups at risk of SGBV in situations of conflict and civil unrest, </w:t>
      </w:r>
      <w:r w:rsidRPr="00FF309E">
        <w:rPr>
          <w:rStyle w:val="StyleUnderline"/>
        </w:rPr>
        <w:t xml:space="preserve">which led to report S/2010/498 and S/2011/598. Both reports </w:t>
      </w:r>
      <w:r w:rsidRPr="00FF309E">
        <w:rPr>
          <w:rStyle w:val="Emphasis"/>
        </w:rPr>
        <w:t xml:space="preserve">specifically </w:t>
      </w:r>
      <w:proofErr w:type="gramStart"/>
      <w:r w:rsidRPr="00FF309E">
        <w:rPr>
          <w:rStyle w:val="Emphasis"/>
        </w:rPr>
        <w:t>links</w:t>
      </w:r>
      <w:proofErr w:type="gramEnd"/>
      <w:r w:rsidRPr="00FF309E">
        <w:rPr>
          <w:rStyle w:val="Emphasis"/>
        </w:rPr>
        <w:t xml:space="preserve"> control of small arms and weapons trade to curbing gender violence</w:t>
      </w:r>
      <w:r w:rsidRPr="00BD24BD">
        <w:rPr>
          <w:sz w:val="16"/>
        </w:rPr>
        <w:t xml:space="preserve"> (S/2010/498, Annex 1 Goal 17; S/2011/598, Annex 1, Output 3.2.1). In S/2012/33, numerous situations such as Somalia and Sudan, were identified by the Secretary-General as being situations of extreme SGBV risk because of the uncontrolled flow of arms. These reports document situations of armed conflict and civil unrest where risk of SGBV is high.</w:t>
      </w:r>
    </w:p>
    <w:p w:rsidR="0013340D" w:rsidRPr="003F6383" w:rsidRDefault="0013340D" w:rsidP="0013340D">
      <w:pPr>
        <w:rPr>
          <w:rStyle w:val="StyleUnderline"/>
        </w:rPr>
      </w:pPr>
      <w:r w:rsidRPr="003F6383">
        <w:rPr>
          <w:rStyle w:val="StyleUnderline"/>
        </w:rPr>
        <w:t>Such reports on situations of risk</w:t>
      </w:r>
      <w:r w:rsidRPr="00BD24BD">
        <w:rPr>
          <w:sz w:val="16"/>
        </w:rPr>
        <w:t>, like S/2012/33—presented to both the General Assembly and the Security Council—</w:t>
      </w:r>
      <w:r w:rsidRPr="003F6383">
        <w:rPr>
          <w:rStyle w:val="StyleUnderline"/>
        </w:rPr>
        <w:t>would complement the national risk assessments and could be useful inclusions for strengthening oversight of the implementation of the ATT.</w:t>
      </w:r>
      <w:r w:rsidRPr="00BD24BD">
        <w:rPr>
          <w:sz w:val="16"/>
        </w:rPr>
        <w:t xml:space="preserve"> Again, given that Australia has been an advocate of the Women, Peace and Security (WPS) agenda, this is the opportunity to </w:t>
      </w:r>
      <w:r w:rsidRPr="003F6383">
        <w:rPr>
          <w:rStyle w:val="StyleUnderline"/>
        </w:rPr>
        <w:t>use evidence of prior UNSC consensus on relationship between SGBV and small arms to push for ATT and WPS language to advocate for support</w:t>
      </w:r>
      <w:r w:rsidRPr="00BD24BD">
        <w:rPr>
          <w:sz w:val="16"/>
        </w:rPr>
        <w:t>, rather than walk away from in</w:t>
      </w:r>
      <w:r w:rsidRPr="003F6383">
        <w:rPr>
          <w:rStyle w:val="StyleUnderline"/>
        </w:rPr>
        <w:t>clusion of SGBV into the mandatory criteria for national risk assessment under draft ATT Article 4.</w:t>
      </w:r>
    </w:p>
    <w:p w:rsidR="0013340D" w:rsidRPr="00BD24BD" w:rsidRDefault="0013340D" w:rsidP="0013340D">
      <w:pPr>
        <w:rPr>
          <w:sz w:val="16"/>
        </w:rPr>
      </w:pPr>
      <w:r w:rsidRPr="00BD24BD">
        <w:rPr>
          <w:sz w:val="16"/>
        </w:rPr>
        <w:t>Third, there is concern at present that within the Security Council itself there is a degree of pushback on the pursuit of the WPS agenda.  Some permanent and non-permanent UNSC members have questioned whether acts of widespread SGBV in situations of civil unrest, for example, are a matter for the Council’s deliberations. As such, the relegation of gender-based violence to the less prescriptive and mandatory Article 4(6) would set a dangerous precedent and must be challenged.</w:t>
      </w:r>
    </w:p>
    <w:p w:rsidR="0013340D" w:rsidRPr="00BD24BD" w:rsidRDefault="0013340D" w:rsidP="0013340D">
      <w:pPr>
        <w:rPr>
          <w:sz w:val="16"/>
        </w:rPr>
      </w:pPr>
      <w:r w:rsidRPr="00BD24BD">
        <w:rPr>
          <w:sz w:val="16"/>
        </w:rPr>
        <w:t>Australia should support the United Kingdom and seek alliances with regional allies–from within the Security Council and without–to ensure that the ATT does not allow states to undertake the sale or transfer of arms to parties who have or are likely to commit SGBV crimes.</w:t>
      </w:r>
    </w:p>
    <w:p w:rsidR="0013340D" w:rsidRPr="0013340D" w:rsidRDefault="0013340D" w:rsidP="0013340D"/>
    <w:p w:rsidR="0043323E" w:rsidRPr="0043323E" w:rsidRDefault="0043323E" w:rsidP="0043323E">
      <w:pPr>
        <w:pStyle w:val="Heading3"/>
      </w:pPr>
      <w:r>
        <w:lastRenderedPageBreak/>
        <w:t>ATT Fails- Generic</w:t>
      </w:r>
    </w:p>
    <w:p w:rsidR="00405D4B" w:rsidRDefault="00405D4B" w:rsidP="00405D4B">
      <w:pPr>
        <w:pStyle w:val="Heading4"/>
      </w:pPr>
      <w:r>
        <w:t xml:space="preserve">ATT </w:t>
      </w:r>
      <w:r w:rsidR="0043323E">
        <w:t>fails to stop arms exports- weak implementation and transparency</w:t>
      </w:r>
    </w:p>
    <w:p w:rsidR="00405D4B" w:rsidRDefault="00405D4B" w:rsidP="00405D4B">
      <w:r w:rsidRPr="00376C4E">
        <w:rPr>
          <w:rStyle w:val="Style13ptBold"/>
        </w:rPr>
        <w:t>Knight 17</w:t>
      </w:r>
      <w:r w:rsidRPr="00376C4E">
        <w:t xml:space="preserve"> (Ben Knight</w:t>
      </w:r>
      <w:r>
        <w:t xml:space="preserve">, journalist.  </w:t>
      </w:r>
      <w:r w:rsidRPr="00376C4E">
        <w:t>"UN's Arms Trade Treaty 'too weak to make a difference'," DW, 11-9-2017, https://www.dw.com/en/uns-arms-trade-treaty-too-weak-to-make-a-difference/a-40452550)//Bennerz</w:t>
      </w:r>
    </w:p>
    <w:p w:rsidR="00405D4B" w:rsidRPr="0043323E" w:rsidRDefault="00405D4B" w:rsidP="00405D4B">
      <w:pPr>
        <w:rPr>
          <w:sz w:val="14"/>
        </w:rPr>
      </w:pPr>
      <w:r w:rsidRPr="0043323E">
        <w:rPr>
          <w:sz w:val="14"/>
        </w:rPr>
        <w:t>Diplomats from over 100 countries met in Geneva, Switzerland on Monday to discuss why the United Nations' landmark Arms Trade Treaty (</w:t>
      </w:r>
      <w:r w:rsidRPr="00346E80">
        <w:rPr>
          <w:rStyle w:val="StyleUnderline"/>
        </w:rPr>
        <w:t>ATT</w:t>
      </w:r>
      <w:proofErr w:type="gramStart"/>
      <w:r w:rsidRPr="0043323E">
        <w:rPr>
          <w:sz w:val="14"/>
        </w:rPr>
        <w:t>),which</w:t>
      </w:r>
      <w:proofErr w:type="gramEnd"/>
      <w:r w:rsidRPr="0043323E">
        <w:rPr>
          <w:sz w:val="14"/>
        </w:rPr>
        <w:t xml:space="preserve"> came into force three years ago</w:t>
      </w:r>
      <w:r w:rsidRPr="00346E80">
        <w:rPr>
          <w:rStyle w:val="StyleUnderline"/>
        </w:rPr>
        <w:t>, has so far failed to stop the flow of weapons to the world's war zones.</w:t>
      </w:r>
      <w:r>
        <w:rPr>
          <w:rStyle w:val="StyleUnderline"/>
        </w:rPr>
        <w:t xml:space="preserve"> </w:t>
      </w:r>
      <w:r w:rsidRPr="0043323E">
        <w:rPr>
          <w:sz w:val="14"/>
        </w:rPr>
        <w:t xml:space="preserve">Celebrated as a paradigm shift in the regulation of the international arms trade, </w:t>
      </w:r>
      <w:r w:rsidRPr="00346E80">
        <w:rPr>
          <w:rStyle w:val="Emphasis"/>
        </w:rPr>
        <w:t>the ATT now looks like a disappointment, according to statements issued by NGOs instrumental in campaigning for it and then drawing it up.</w:t>
      </w:r>
      <w:r>
        <w:rPr>
          <w:rStyle w:val="Emphasis"/>
        </w:rPr>
        <w:t xml:space="preserve"> </w:t>
      </w:r>
      <w:r w:rsidRPr="0043323E">
        <w:rPr>
          <w:sz w:val="14"/>
        </w:rPr>
        <w:t xml:space="preserve">"About </w:t>
      </w:r>
      <w:r w:rsidRPr="00346E80">
        <w:rPr>
          <w:rStyle w:val="StyleUnderline"/>
        </w:rPr>
        <w:t>half a million people are killed every year by firearms, and millions more are trapped in brutal conflicts fueled by reckless arms sales</w:t>
      </w:r>
      <w:r w:rsidRPr="0043323E">
        <w:rPr>
          <w:sz w:val="14"/>
        </w:rPr>
        <w:t>," James Lynch, Head of Arms Control and Human Rights at Amnesty International, said in a statement. "</w:t>
      </w:r>
      <w:r w:rsidRPr="00346E80">
        <w:rPr>
          <w:rStyle w:val="StyleUnderline"/>
        </w:rPr>
        <w:t xml:space="preserve">The Arms Trade Treaty promised to save countless lives by reigning in this massive, secretive industry, but at the moment </w:t>
      </w:r>
      <w:r w:rsidRPr="00346E80">
        <w:rPr>
          <w:rStyle w:val="Emphasis"/>
        </w:rPr>
        <w:t>weak implementation and a lack of transparency</w:t>
      </w:r>
      <w:r w:rsidRPr="00346E80">
        <w:rPr>
          <w:rStyle w:val="StyleUnderline"/>
        </w:rPr>
        <w:t xml:space="preserve"> are threatening to undermine it."</w:t>
      </w:r>
      <w:r>
        <w:rPr>
          <w:rStyle w:val="StyleUnderline"/>
        </w:rPr>
        <w:t xml:space="preserve"> </w:t>
      </w:r>
      <w:r w:rsidRPr="0043323E">
        <w:rPr>
          <w:sz w:val="14"/>
        </w:rPr>
        <w:t xml:space="preserve">The ATT is supposed to commit nations to stopping the export of conventional weapons if, as Amnesty puts it, "there is an overriding risk they could contribute to serious violations of international human rights or humanitarian law." USA </w:t>
      </w:r>
      <w:proofErr w:type="spellStart"/>
      <w:r w:rsidRPr="0043323E">
        <w:rPr>
          <w:sz w:val="14"/>
        </w:rPr>
        <w:t>unterzeichnet</w:t>
      </w:r>
      <w:proofErr w:type="spellEnd"/>
      <w:r w:rsidRPr="0043323E">
        <w:rPr>
          <w:sz w:val="14"/>
        </w:rPr>
        <w:t xml:space="preserve"> </w:t>
      </w:r>
      <w:proofErr w:type="spellStart"/>
      <w:r w:rsidRPr="0043323E">
        <w:rPr>
          <w:sz w:val="14"/>
        </w:rPr>
        <w:t>Waffenhandelsabkommen</w:t>
      </w:r>
      <w:proofErr w:type="spellEnd"/>
      <w:r w:rsidRPr="0043323E">
        <w:rPr>
          <w:sz w:val="14"/>
        </w:rPr>
        <w:t xml:space="preserve"> (picture-alliance/</w:t>
      </w:r>
      <w:proofErr w:type="spellStart"/>
      <w:r w:rsidRPr="0043323E">
        <w:rPr>
          <w:sz w:val="14"/>
        </w:rPr>
        <w:t>dpa</w:t>
      </w:r>
      <w:proofErr w:type="spellEnd"/>
      <w:r w:rsidRPr="0043323E">
        <w:rPr>
          <w:sz w:val="14"/>
        </w:rPr>
        <w:t xml:space="preserve">) US Secretary of State John Kerry signed the ATT in 2013 A rule no one follows Attending the third Conference of States Parties to the ATT was Amnesty's </w:t>
      </w:r>
      <w:proofErr w:type="spellStart"/>
      <w:r w:rsidRPr="0043323E">
        <w:rPr>
          <w:sz w:val="14"/>
        </w:rPr>
        <w:t>Rasha</w:t>
      </w:r>
      <w:proofErr w:type="spellEnd"/>
      <w:r w:rsidRPr="0043323E">
        <w:rPr>
          <w:sz w:val="14"/>
        </w:rPr>
        <w:t xml:space="preserve"> Abdul Rahim, who explained that </w:t>
      </w:r>
      <w:r w:rsidRPr="00346E80">
        <w:rPr>
          <w:rStyle w:val="StyleUnderline"/>
        </w:rPr>
        <w:t>diplomats</w:t>
      </w:r>
      <w:r w:rsidRPr="0043323E">
        <w:rPr>
          <w:sz w:val="14"/>
        </w:rPr>
        <w:t xml:space="preserve"> there still </w:t>
      </w:r>
      <w:r w:rsidRPr="00346E80">
        <w:rPr>
          <w:rStyle w:val="StyleUnderline"/>
        </w:rPr>
        <w:t>considered the treaty "in its infancy."</w:t>
      </w:r>
      <w:r w:rsidRPr="0043323E">
        <w:rPr>
          <w:sz w:val="14"/>
        </w:rPr>
        <w:t xml:space="preserve"> "I tend to agree that it's too early to tell what the full impact of the treaty is," she told DW. "However, </w:t>
      </w:r>
      <w:r w:rsidRPr="00CA3448">
        <w:rPr>
          <w:rStyle w:val="StyleUnderline"/>
        </w:rPr>
        <w:t xml:space="preserve">we are really concerned with </w:t>
      </w:r>
      <w:r w:rsidRPr="00CA3448">
        <w:rPr>
          <w:rStyle w:val="Emphasis"/>
        </w:rPr>
        <w:t>the business-as-usual approach</w:t>
      </w:r>
      <w:r w:rsidRPr="00CA3448">
        <w:rPr>
          <w:rStyle w:val="StyleUnderline"/>
        </w:rPr>
        <w:t xml:space="preserve"> that we're seeing with some state parties. We're frustrated that we're not seeing as </w:t>
      </w:r>
      <w:r w:rsidRPr="00CA3448">
        <w:rPr>
          <w:rStyle w:val="Emphasis"/>
        </w:rPr>
        <w:t>robust and transparent</w:t>
      </w:r>
      <w:r w:rsidRPr="00CA3448">
        <w:rPr>
          <w:rStyle w:val="StyleUnderline"/>
        </w:rPr>
        <w:t xml:space="preserve"> regulation of the arms trade as we would like."</w:t>
      </w:r>
      <w:r>
        <w:rPr>
          <w:rStyle w:val="StyleUnderline"/>
        </w:rPr>
        <w:t xml:space="preserve"> </w:t>
      </w:r>
      <w:r w:rsidRPr="0043323E">
        <w:rPr>
          <w:sz w:val="14"/>
        </w:rPr>
        <w:t xml:space="preserve">Andrew Smith, </w:t>
      </w:r>
      <w:r w:rsidRPr="00CA3448">
        <w:rPr>
          <w:rStyle w:val="StyleUnderline"/>
        </w:rPr>
        <w:t>spokesman for the Campaign Against Arms Trade (CAAT)</w:t>
      </w:r>
      <w:r w:rsidRPr="0043323E">
        <w:rPr>
          <w:sz w:val="14"/>
        </w:rPr>
        <w:t xml:space="preserve">, </w:t>
      </w:r>
      <w:r w:rsidRPr="00CA3448">
        <w:rPr>
          <w:rStyle w:val="StyleUnderline"/>
        </w:rPr>
        <w:t>said there had always been problems with the ATT.</w:t>
      </w:r>
      <w:r w:rsidRPr="0043323E">
        <w:rPr>
          <w:sz w:val="14"/>
        </w:rPr>
        <w:t xml:space="preserve"> "</w:t>
      </w:r>
      <w:r w:rsidRPr="00CA3448">
        <w:rPr>
          <w:rStyle w:val="Emphasis"/>
        </w:rPr>
        <w:t>We aren't aware of any arms exports that have actually been stopped by the ATT</w:t>
      </w:r>
      <w:r w:rsidRPr="0043323E">
        <w:rPr>
          <w:sz w:val="14"/>
        </w:rPr>
        <w:t>," he said. "</w:t>
      </w:r>
      <w:r w:rsidRPr="00CA3448">
        <w:rPr>
          <w:rStyle w:val="StyleUnderline"/>
        </w:rPr>
        <w:t xml:space="preserve">It's evident that the treaty is </w:t>
      </w:r>
      <w:r w:rsidRPr="00CA3448">
        <w:rPr>
          <w:rStyle w:val="Emphasis"/>
        </w:rPr>
        <w:t>too weak</w:t>
      </w:r>
      <w:r w:rsidRPr="00CA3448">
        <w:rPr>
          <w:rStyle w:val="StyleUnderline"/>
        </w:rPr>
        <w:t xml:space="preserve"> to make any meaningful difference."</w:t>
      </w:r>
      <w:r w:rsidRPr="0043323E">
        <w:rPr>
          <w:sz w:val="14"/>
        </w:rPr>
        <w:t xml:space="preserve"> But, as Amnesty's Rahim pointed out, "it's really difficult to tell" whether the ATT has had any effect, because "when states don't authorize an arms transfer, they don't usually give a reason for doing so." </w:t>
      </w:r>
      <w:r w:rsidRPr="00640710">
        <w:rPr>
          <w:rStyle w:val="StyleUnderline"/>
        </w:rPr>
        <w:t>Several countries</w:t>
      </w:r>
      <w:r w:rsidRPr="0043323E">
        <w:rPr>
          <w:sz w:val="14"/>
        </w:rPr>
        <w:t xml:space="preserve"> including Germany, which ratified the ATT in 2014, </w:t>
      </w:r>
      <w:r w:rsidRPr="00E90692">
        <w:rPr>
          <w:rStyle w:val="StyleUnderline"/>
        </w:rPr>
        <w:t>have guidelines that the government is supposed to follow when it approves weapons exports, but they remain just that – guidelines, not laws</w:t>
      </w:r>
      <w:r w:rsidRPr="0043323E">
        <w:rPr>
          <w:sz w:val="14"/>
        </w:rPr>
        <w:t xml:space="preserve">. </w:t>
      </w:r>
      <w:r w:rsidRPr="00E90692">
        <w:rPr>
          <w:rStyle w:val="StyleUnderline"/>
        </w:rPr>
        <w:t xml:space="preserve">CAAT were skeptical because the major arms exporting countries had been getting behind the ATT while maintaining, like Germany, that they already had robust arms export controls. The treaty was also being championed by arms companies - </w:t>
      </w:r>
      <w:r w:rsidRPr="00E90692">
        <w:rPr>
          <w:rStyle w:val="Emphasis"/>
        </w:rPr>
        <w:t>not exactly a sign that it was particularly tough.</w:t>
      </w:r>
      <w:r>
        <w:rPr>
          <w:rStyle w:val="Emphasis"/>
        </w:rPr>
        <w:t xml:space="preserve"> </w:t>
      </w:r>
      <w:r w:rsidRPr="0043323E">
        <w:rPr>
          <w:sz w:val="14"/>
        </w:rPr>
        <w:t xml:space="preserve">"But </w:t>
      </w:r>
      <w:r w:rsidRPr="00E90692">
        <w:rPr>
          <w:rStyle w:val="StyleUnderline"/>
        </w:rPr>
        <w:t>there are also major shortcomings in the treaty itself</w:t>
      </w:r>
      <w:r w:rsidRPr="0043323E">
        <w:rPr>
          <w:sz w:val="14"/>
        </w:rPr>
        <w:t>," Smith of the CAAT said. "</w:t>
      </w:r>
      <w:r w:rsidRPr="00E90692">
        <w:rPr>
          <w:rStyle w:val="StyleUnderline"/>
        </w:rPr>
        <w:t>It's not entirely clear</w:t>
      </w:r>
      <w:r w:rsidRPr="0043323E">
        <w:rPr>
          <w:sz w:val="14"/>
        </w:rPr>
        <w:t xml:space="preserve"> from reading it </w:t>
      </w:r>
      <w:r w:rsidRPr="00E90692">
        <w:rPr>
          <w:rStyle w:val="StyleUnderline"/>
        </w:rPr>
        <w:t>who would enforce the rules or how they would be enforced, or what would happen to anyone who broke them."</w:t>
      </w:r>
      <w:r>
        <w:rPr>
          <w:rStyle w:val="StyleUnderline"/>
        </w:rPr>
        <w:t xml:space="preserve"> </w:t>
      </w:r>
      <w:r w:rsidRPr="0043323E">
        <w:rPr>
          <w:sz w:val="14"/>
        </w:rPr>
        <w:t xml:space="preserve">Mark Bromley, co-director of the arms control program at the Stockholm International Peace Research Institute (SIPRI), was more patient. "People are looking it at through the rubric of previous instruments such as the land mine treaty, which banned a whole class of weapons, and that was never something the ATT was ever going to do. </w:t>
      </w:r>
      <w:r w:rsidRPr="00E90692">
        <w:rPr>
          <w:rStyle w:val="StyleUnderline"/>
        </w:rPr>
        <w:t>It was always about a much softer process of trying to create standards about the way states regulate the arms trade."</w:t>
      </w:r>
      <w:r w:rsidRPr="0043323E">
        <w:rPr>
          <w:sz w:val="14"/>
        </w:rPr>
        <w:t xml:space="preserve"> It's in such an area—persuading countries to be more transparent, for instance—that the ATT summit could make progress this week. Airstrikes in Sanaa (picture-alliance/</w:t>
      </w:r>
      <w:proofErr w:type="spellStart"/>
      <w:r w:rsidRPr="0043323E">
        <w:rPr>
          <w:sz w:val="14"/>
        </w:rPr>
        <w:t>dpa</w:t>
      </w:r>
      <w:proofErr w:type="spellEnd"/>
      <w:r w:rsidRPr="0043323E">
        <w:rPr>
          <w:sz w:val="14"/>
        </w:rPr>
        <w:t xml:space="preserve">/M. Mohammed) Yemen has been the subject of a relentless Saudi bombing campaign The destruction of Yemen The ATT has so far been signed by 130 countries, and ratified by 89, including some of the world's biggest arms exporters: the UK, France, and Germany. Other major arms exporters, including the US and Israel, have signed the agreement, but not yet ratified it, while Russia and China have done neither. </w:t>
      </w:r>
      <w:r w:rsidRPr="00376C4E">
        <w:rPr>
          <w:rStyle w:val="Emphasis"/>
        </w:rPr>
        <w:t>Amnesty listed several examples of countries signing the treaty and then ignoring it.</w:t>
      </w:r>
      <w:r w:rsidRPr="0043323E">
        <w:rPr>
          <w:sz w:val="14"/>
        </w:rPr>
        <w:t xml:space="preserve"> </w:t>
      </w:r>
      <w:r w:rsidRPr="00376C4E">
        <w:rPr>
          <w:rStyle w:val="StyleUnderline"/>
        </w:rPr>
        <w:t xml:space="preserve">For instance, France, the UK, and Italy, who all ratified the ATT in April 2014, have carried on sending all kinds of conventional weapons to Egypt while the government there continues to brutally </w:t>
      </w:r>
      <w:proofErr w:type="spellStart"/>
      <w:r w:rsidRPr="00376C4E">
        <w:rPr>
          <w:rStyle w:val="StyleUnderline"/>
        </w:rPr>
        <w:t>crack down</w:t>
      </w:r>
      <w:proofErr w:type="spellEnd"/>
      <w:r w:rsidRPr="00376C4E">
        <w:rPr>
          <w:rStyle w:val="StyleUnderline"/>
        </w:rPr>
        <w:t xml:space="preserve"> on dissent by killing and torturing thousands of protesters.</w:t>
      </w:r>
      <w:r>
        <w:rPr>
          <w:rStyle w:val="StyleUnderline"/>
        </w:rPr>
        <w:t xml:space="preserve"> </w:t>
      </w:r>
      <w:r w:rsidRPr="0043323E">
        <w:rPr>
          <w:sz w:val="14"/>
        </w:rPr>
        <w:t xml:space="preserve">Perhaps the most egregious single example of an ATT signatory ignoring the treaty is the UK's recent $4.7-billion (3.9-billion-euro) arms deal with Saudi Arabia, a country that has been leading a relentless bombing campaign in the Yemen Civil War since 2015. According to Sally Copley, Oxfam Britain's head of campaigns, Yemen is currently suffering "the </w:t>
      </w:r>
      <w:r w:rsidRPr="0043323E">
        <w:rPr>
          <w:sz w:val="14"/>
        </w:rPr>
        <w:lastRenderedPageBreak/>
        <w:t>world's worst humanitarian crisis," involving both a "borderline famine" and a massive cholera epidemic. "When you are witness to the suffering in Yemen it is hard to understand or excuse how the UK government talks the talk on arms control while it walks the walk of arms sales," Copley said in a statement. "On the one hand it fuels a war with massive arms sales while it sends aid to help the people it is harming." SIPRI figures show exports to Saudi Arabia made up 48 percent of the UK's arms exports from 2012 to 2016, while in May this year the US agreed a $110 billion worth of potential arms sales to Saudi Arabia. Those deals included $4.6 billion worth of guided air-to-ground munitions—a total of 104,000 bombs of the type that have been used in the Yemen war. Other deliveries in 2015-16 included 13,726 anti-tank missiles; 3,870 guided bombs; 60 combat helicopters and 1,279 armored vehicles and four fighter ground attack aircraft.</w:t>
      </w:r>
    </w:p>
    <w:p w:rsidR="00405D4B" w:rsidRDefault="0043323E" w:rsidP="0043323E">
      <w:pPr>
        <w:pStyle w:val="Heading3"/>
      </w:pPr>
      <w:r>
        <w:lastRenderedPageBreak/>
        <w:t>No Enforcement</w:t>
      </w:r>
    </w:p>
    <w:p w:rsidR="00405D4B" w:rsidRDefault="00405D4B" w:rsidP="00405D4B">
      <w:pPr>
        <w:pStyle w:val="Heading4"/>
      </w:pPr>
      <w:r>
        <w:t xml:space="preserve">ATT </w:t>
      </w:r>
      <w:r w:rsidR="0043323E">
        <w:t xml:space="preserve">has no enforcement mechanism </w:t>
      </w:r>
    </w:p>
    <w:p w:rsidR="00405D4B" w:rsidRDefault="00405D4B" w:rsidP="00405D4B">
      <w:r w:rsidRPr="00BA73B1">
        <w:rPr>
          <w:rStyle w:val="Style13ptBold"/>
        </w:rPr>
        <w:t xml:space="preserve">Countryman and </w:t>
      </w:r>
      <w:proofErr w:type="spellStart"/>
      <w:r w:rsidRPr="00BA73B1">
        <w:rPr>
          <w:rStyle w:val="Style13ptBold"/>
        </w:rPr>
        <w:t>Stohl</w:t>
      </w:r>
      <w:proofErr w:type="spellEnd"/>
      <w:r w:rsidRPr="00BA73B1">
        <w:rPr>
          <w:rStyle w:val="Style13ptBold"/>
        </w:rPr>
        <w:t xml:space="preserve"> </w:t>
      </w:r>
      <w:r>
        <w:rPr>
          <w:rStyle w:val="Style13ptBold"/>
        </w:rPr>
        <w:t>5/10</w:t>
      </w:r>
      <w:r>
        <w:t xml:space="preserve"> (Thomas M. </w:t>
      </w:r>
      <w:proofErr w:type="gramStart"/>
      <w:r>
        <w:t>Countryman  and</w:t>
      </w:r>
      <w:proofErr w:type="gramEnd"/>
      <w:r>
        <w:t xml:space="preserve"> Rachel </w:t>
      </w:r>
      <w:proofErr w:type="spellStart"/>
      <w:r>
        <w:t>Stohl</w:t>
      </w:r>
      <w:proofErr w:type="spellEnd"/>
      <w:r>
        <w:t xml:space="preserve">  "Leaving the Arms Trade Treaty would be another shot in America’s foot," Defense News, 5-10-2019, https://www.defensenews.com/opinion/commentary/2019/05/10/leaving-the-arms-trade-treaty-would-be-another-shot-in-americas-foot/)//Bennerz</w:t>
      </w:r>
    </w:p>
    <w:p w:rsidR="00405D4B" w:rsidRPr="00BA73B1" w:rsidRDefault="00405D4B" w:rsidP="00405D4B">
      <w:pPr>
        <w:rPr>
          <w:b/>
          <w:iCs/>
          <w:u w:val="single"/>
        </w:rPr>
      </w:pPr>
      <w:r w:rsidRPr="0043323E">
        <w:rPr>
          <w:sz w:val="16"/>
        </w:rPr>
        <w:t xml:space="preserve">The president repeated the false claims that the ATT could lead to United Nations bureaucrats taking guns away from American citizens. But the treaty explicitly says that administration of the ATT is purely the responsibility of national governments, consistent with their own constitutional and legal systems. </w:t>
      </w:r>
      <w:r w:rsidRPr="00605D6E">
        <w:rPr>
          <w:rStyle w:val="StyleUnderline"/>
        </w:rPr>
        <w:t>The ATT does not create any supranational bureaucracy that requires the United States to give up its sovereignty to foreign countries in making any arms transfer decisions</w:t>
      </w:r>
      <w:r w:rsidRPr="0043323E">
        <w:rPr>
          <w:sz w:val="16"/>
        </w:rPr>
        <w:t xml:space="preserve">. And most importantly, </w:t>
      </w:r>
      <w:r w:rsidRPr="00605D6E">
        <w:rPr>
          <w:rStyle w:val="Emphasis"/>
        </w:rPr>
        <w:t>the ATT only regulates the international trade in weapons and has no effect</w:t>
      </w:r>
      <w:r w:rsidRPr="0043323E">
        <w:rPr>
          <w:sz w:val="16"/>
        </w:rPr>
        <w:t xml:space="preserve"> — in the United States or elsewhere — </w:t>
      </w:r>
      <w:r w:rsidRPr="00605D6E">
        <w:rPr>
          <w:rStyle w:val="Emphasis"/>
        </w:rPr>
        <w:t>on legitimate domestic trade or individual rights to bear arms.</w:t>
      </w:r>
    </w:p>
    <w:p w:rsidR="00405D4B" w:rsidRDefault="00405D4B" w:rsidP="00405D4B">
      <w:pPr>
        <w:pStyle w:val="Heading4"/>
      </w:pPr>
      <w:r>
        <w:t>ATT is literally the worst</w:t>
      </w:r>
    </w:p>
    <w:p w:rsidR="00405D4B" w:rsidRDefault="00405D4B" w:rsidP="00405D4B">
      <w:proofErr w:type="spellStart"/>
      <w:r w:rsidRPr="00877DCD">
        <w:rPr>
          <w:rStyle w:val="Style13ptBold"/>
        </w:rPr>
        <w:t>Bromund</w:t>
      </w:r>
      <w:proofErr w:type="spellEnd"/>
      <w:r w:rsidRPr="00877DCD">
        <w:rPr>
          <w:rStyle w:val="Style13ptBold"/>
        </w:rPr>
        <w:t xml:space="preserve"> 4/30</w:t>
      </w:r>
      <w:r w:rsidRPr="009709AC">
        <w:t xml:space="preserve"> (Ted </w:t>
      </w:r>
      <w:proofErr w:type="spellStart"/>
      <w:r w:rsidRPr="009709AC">
        <w:t>Bromund</w:t>
      </w:r>
      <w:proofErr w:type="spellEnd"/>
      <w:r>
        <w:t xml:space="preserve">, PhD, Ted </w:t>
      </w:r>
      <w:proofErr w:type="spellStart"/>
      <w:r>
        <w:t>Bromund</w:t>
      </w:r>
      <w:proofErr w:type="spellEnd"/>
      <w:r>
        <w:t xml:space="preserve"> studies Anglo-American relations, U.S. relations with Europe and the EU, and the U.S.’s leadership role in the </w:t>
      </w:r>
      <w:proofErr w:type="gramStart"/>
      <w:r>
        <w:t>world</w:t>
      </w:r>
      <w:r w:rsidRPr="009709AC">
        <w:t xml:space="preserve">  "</w:t>
      </w:r>
      <w:proofErr w:type="gramEnd"/>
      <w:r w:rsidRPr="009709AC">
        <w:t xml:space="preserve">Reflections On President Trump's </w:t>
      </w:r>
      <w:proofErr w:type="spellStart"/>
      <w:r w:rsidRPr="009709AC">
        <w:t>Unsigning</w:t>
      </w:r>
      <w:proofErr w:type="spellEnd"/>
      <w:r w:rsidRPr="009709AC">
        <w:t xml:space="preserve"> Of The Arms Trade Treaty," Forbes, 4-30-2019, https://www.forbes.com/sites/tedbromund/2019/04/30/reflections-on-president-trumps-unsigning-of-the-arms-trade-treaty/#19b82e9953a6)//Bennerz</w:t>
      </w:r>
    </w:p>
    <w:p w:rsidR="00405D4B" w:rsidRDefault="00405D4B" w:rsidP="00405D4B">
      <w:pPr>
        <w:rPr>
          <w:rStyle w:val="StyleUnderline"/>
        </w:rPr>
      </w:pPr>
      <w:r w:rsidRPr="0043323E">
        <w:rPr>
          <w:sz w:val="14"/>
        </w:rPr>
        <w:t xml:space="preserve">What is remarkable is the second assumption: that </w:t>
      </w:r>
      <w:r w:rsidRPr="00926EEF">
        <w:rPr>
          <w:rStyle w:val="StyleUnderline"/>
        </w:rPr>
        <w:t xml:space="preserve">a completely aspirational treaty, one that empowers governments to do </w:t>
      </w:r>
      <w:r w:rsidRPr="00926EEF">
        <w:rPr>
          <w:rStyle w:val="Emphasis"/>
        </w:rPr>
        <w:t>what they already have the power to do anyhow</w:t>
      </w:r>
      <w:r w:rsidRPr="0043323E">
        <w:rPr>
          <w:sz w:val="14"/>
        </w:rPr>
        <w:t xml:space="preserve">, </w:t>
      </w:r>
      <w:r w:rsidRPr="00926EEF">
        <w:rPr>
          <w:rStyle w:val="StyleUnderline"/>
        </w:rPr>
        <w:t>one that contains absolutely</w:t>
      </w:r>
      <w:r w:rsidRPr="00926EEF">
        <w:rPr>
          <w:rStyle w:val="Emphasis"/>
        </w:rPr>
        <w:t xml:space="preserve"> no definitions</w:t>
      </w:r>
      <w:r w:rsidRPr="00926EEF">
        <w:rPr>
          <w:rStyle w:val="StyleUnderline"/>
        </w:rPr>
        <w:t xml:space="preserve"> and</w:t>
      </w:r>
      <w:r w:rsidRPr="0043323E">
        <w:rPr>
          <w:sz w:val="14"/>
        </w:rPr>
        <w:t xml:space="preserve"> (thank goodness) </w:t>
      </w:r>
      <w:r w:rsidRPr="00926EEF">
        <w:rPr>
          <w:rStyle w:val="Emphasis"/>
        </w:rPr>
        <w:t>no enforcement mechanism</w:t>
      </w:r>
      <w:r w:rsidRPr="0043323E">
        <w:rPr>
          <w:sz w:val="14"/>
        </w:rPr>
        <w:t xml:space="preserve">, </w:t>
      </w:r>
      <w:r w:rsidRPr="00926EEF">
        <w:rPr>
          <w:rStyle w:val="Emphasis"/>
        </w:rPr>
        <w:t xml:space="preserve">one that offers no incentives </w:t>
      </w:r>
      <w:r w:rsidRPr="0043323E">
        <w:rPr>
          <w:sz w:val="14"/>
        </w:rPr>
        <w:t>whatsoever</w:t>
      </w:r>
      <w:r w:rsidRPr="00926EEF">
        <w:rPr>
          <w:rStyle w:val="Emphasis"/>
        </w:rPr>
        <w:t xml:space="preserve"> for compliance</w:t>
      </w:r>
      <w:r w:rsidRPr="0043323E">
        <w:rPr>
          <w:sz w:val="14"/>
        </w:rPr>
        <w:t xml:space="preserve">, </w:t>
      </w:r>
      <w:r w:rsidRPr="00926EEF">
        <w:rPr>
          <w:rStyle w:val="Emphasis"/>
        </w:rPr>
        <w:t>one that completely ignores the fundamental problems of government incompetence and malevolence</w:t>
      </w:r>
      <w:r w:rsidRPr="0043323E">
        <w:rPr>
          <w:sz w:val="14"/>
        </w:rPr>
        <w:t xml:space="preserve">, </w:t>
      </w:r>
      <w:r w:rsidRPr="00926EEF">
        <w:rPr>
          <w:rStyle w:val="StyleUnderline"/>
        </w:rPr>
        <w:t>one which was and is completely uninterested in any unintended consequences</w:t>
      </w:r>
      <w:r w:rsidRPr="0043323E">
        <w:rPr>
          <w:sz w:val="14"/>
        </w:rPr>
        <w:t xml:space="preserve">, </w:t>
      </w:r>
      <w:r w:rsidRPr="00926EEF">
        <w:rPr>
          <w:rStyle w:val="StyleUnderline"/>
        </w:rPr>
        <w:t>one which has no standard for success</w:t>
      </w:r>
      <w:r w:rsidRPr="0043323E">
        <w:rPr>
          <w:sz w:val="14"/>
        </w:rPr>
        <w:t xml:space="preserve">, </w:t>
      </w:r>
      <w:r w:rsidRPr="00926EEF">
        <w:rPr>
          <w:rStyle w:val="StyleUnderline"/>
        </w:rPr>
        <w:t>one which is so uninteresting to its supporters that they neither pay their bills nor submit their reports</w:t>
      </w:r>
      <w:r w:rsidRPr="0043323E">
        <w:rPr>
          <w:sz w:val="14"/>
        </w:rPr>
        <w:t xml:space="preserve">, </w:t>
      </w:r>
      <w:r w:rsidRPr="00926EEF">
        <w:rPr>
          <w:rStyle w:val="StyleUnderline"/>
        </w:rPr>
        <w:t>and one which assumes that the way to improve the performance of governments is to get them to sign pieces of paper is an example of helpful and effective multilateral diplomacy.</w:t>
      </w:r>
      <w:r w:rsidRPr="0043323E">
        <w:rPr>
          <w:sz w:val="14"/>
        </w:rPr>
        <w:t xml:space="preserve"> </w:t>
      </w:r>
      <w:r w:rsidRPr="00926EEF">
        <w:rPr>
          <w:rStyle w:val="Emphasis"/>
        </w:rPr>
        <w:t>It is not</w:t>
      </w:r>
      <w:r w:rsidRPr="0043323E">
        <w:rPr>
          <w:sz w:val="14"/>
        </w:rPr>
        <w:t xml:space="preserve">. It is both the negation of diplomacy and a sustained assault on the idea of the treaty as it has been traditionally understood. And that is why I have always opposed </w:t>
      </w:r>
      <w:r w:rsidRPr="00926EEF">
        <w:rPr>
          <w:rStyle w:val="StyleUnderline"/>
        </w:rPr>
        <w:t>the Arms Trade Treaty</w:t>
      </w:r>
      <w:r w:rsidRPr="0043323E">
        <w:rPr>
          <w:sz w:val="14"/>
        </w:rPr>
        <w:t>: it</w:t>
      </w:r>
      <w:r w:rsidRPr="00926EEF">
        <w:rPr>
          <w:rStyle w:val="StyleUnderline"/>
        </w:rPr>
        <w:t xml:space="preserve"> is bad diplomacy</w:t>
      </w:r>
      <w:r w:rsidRPr="0043323E">
        <w:rPr>
          <w:sz w:val="14"/>
        </w:rPr>
        <w:t xml:space="preserve">. In the U.S. we take treaties seriously and we are right to do so. </w:t>
      </w:r>
      <w:r w:rsidRPr="009709AC">
        <w:rPr>
          <w:rStyle w:val="Emphasis"/>
        </w:rPr>
        <w:t>The Arms Trade Treaty is not a serious document</w:t>
      </w:r>
      <w:r w:rsidRPr="0043323E">
        <w:rPr>
          <w:sz w:val="14"/>
        </w:rPr>
        <w:t xml:space="preserve">. It is a promise to be good — later. </w:t>
      </w:r>
      <w:r w:rsidRPr="009709AC">
        <w:rPr>
          <w:rStyle w:val="Emphasis"/>
        </w:rPr>
        <w:t>It imposes rules that, in the nature of things, will only impinge on the rule-abiding democracies, which are precisely the places that need more rules the least</w:t>
      </w:r>
      <w:r w:rsidRPr="0043323E">
        <w:rPr>
          <w:sz w:val="14"/>
        </w:rPr>
        <w:t xml:space="preserve">. The reaction to the president’s dismissal of the treaty shows how little understanding of (never mind appreciation for) this position there is. But make no mistake: this position is neither radical nor new. It is the traditional American one. The fact that it has all but disappeared from among the elite, who prefer a treaty backed by supporters who praise </w:t>
      </w:r>
      <w:proofErr w:type="spellStart"/>
      <w:r w:rsidRPr="0043323E">
        <w:rPr>
          <w:sz w:val="14"/>
        </w:rPr>
        <w:t>PressTV</w:t>
      </w:r>
      <w:proofErr w:type="spellEnd"/>
      <w:r w:rsidRPr="0043323E">
        <w:rPr>
          <w:sz w:val="14"/>
        </w:rPr>
        <w:t xml:space="preserve"> while contemning the U.S., shows that the treaty is not the core problem. </w:t>
      </w:r>
      <w:r w:rsidRPr="009709AC">
        <w:rPr>
          <w:rStyle w:val="StyleUnderline"/>
        </w:rPr>
        <w:t xml:space="preserve">The core problem is that the elite no longer understand why treaties like the Arms Trade Treaty </w:t>
      </w:r>
      <w:proofErr w:type="gramStart"/>
      <w:r w:rsidRPr="009709AC">
        <w:rPr>
          <w:rStyle w:val="StyleUnderline"/>
        </w:rPr>
        <w:t>are a bad idea</w:t>
      </w:r>
      <w:proofErr w:type="gramEnd"/>
      <w:r w:rsidRPr="009709AC">
        <w:rPr>
          <w:rStyle w:val="StyleUnderline"/>
        </w:rPr>
        <w:t>.</w:t>
      </w:r>
    </w:p>
    <w:p w:rsidR="0013340D" w:rsidRPr="00823FFE" w:rsidRDefault="0013340D" w:rsidP="0013340D">
      <w:pPr>
        <w:pStyle w:val="Heading4"/>
      </w:pPr>
      <w:r w:rsidRPr="00823FFE">
        <w:t>ATT has no checks</w:t>
      </w:r>
      <w:r>
        <w:t xml:space="preserve"> – US won’t comply</w:t>
      </w:r>
    </w:p>
    <w:p w:rsidR="0013340D" w:rsidRDefault="0013340D" w:rsidP="0013340D">
      <w:proofErr w:type="spellStart"/>
      <w:r w:rsidRPr="00823FFE">
        <w:rPr>
          <w:rStyle w:val="Style13ptBold"/>
        </w:rPr>
        <w:t>Bromund</w:t>
      </w:r>
      <w:proofErr w:type="spellEnd"/>
      <w:r w:rsidRPr="00823FFE">
        <w:rPr>
          <w:rStyle w:val="Style13ptBold"/>
        </w:rPr>
        <w:t xml:space="preserve"> 18 </w:t>
      </w:r>
      <w:r>
        <w:t>(</w:t>
      </w:r>
      <w:r w:rsidRPr="001450F0">
        <w:t xml:space="preserve">Ted </w:t>
      </w:r>
      <w:proofErr w:type="spellStart"/>
      <w:r w:rsidRPr="001450F0">
        <w:t>Bromund</w:t>
      </w:r>
      <w:proofErr w:type="spellEnd"/>
      <w:r w:rsidRPr="001450F0">
        <w:t xml:space="preserve"> studies Anglo-American relations, U.S. relations with Europe and the EU, and the U.S.</w:t>
      </w:r>
      <w:r>
        <w:t>’s leadership role in the world, “</w:t>
      </w:r>
      <w:r w:rsidRPr="001450F0">
        <w:t xml:space="preserve">Why the U.S. Must </w:t>
      </w:r>
      <w:proofErr w:type="spellStart"/>
      <w:r w:rsidRPr="001450F0">
        <w:t>Unsign</w:t>
      </w:r>
      <w:proofErr w:type="spellEnd"/>
      <w:r w:rsidRPr="001450F0">
        <w:t xml:space="preserve"> the Arms Trade Treaty in 2018</w:t>
      </w:r>
      <w:r>
        <w:t xml:space="preserve">,” </w:t>
      </w:r>
      <w:r w:rsidRPr="001450F0">
        <w:t>February 22, 2018</w:t>
      </w:r>
      <w:r>
        <w:t xml:space="preserve">, Accessed 6.29.19, </w:t>
      </w:r>
      <w:hyperlink r:id="rId50" w:history="1">
        <w:r w:rsidRPr="005537D7">
          <w:rPr>
            <w:rStyle w:val="Hyperlink"/>
          </w:rPr>
          <w:t>https://www.heritage.org/global-politics/report/why-the-us-must-unsign-the-arms-trade-treaty-2018</w:t>
        </w:r>
      </w:hyperlink>
      <w:r>
        <w:t xml:space="preserve"> ) //</w:t>
      </w:r>
      <w:proofErr w:type="spellStart"/>
      <w:r>
        <w:t>ZoL</w:t>
      </w:r>
      <w:proofErr w:type="spellEnd"/>
    </w:p>
    <w:p w:rsidR="0013340D" w:rsidRDefault="0013340D" w:rsidP="0013340D">
      <w:pPr>
        <w:rPr>
          <w:sz w:val="16"/>
        </w:rPr>
      </w:pPr>
      <w:r w:rsidRPr="00915FD1">
        <w:rPr>
          <w:sz w:val="16"/>
        </w:rPr>
        <w:lastRenderedPageBreak/>
        <w:t xml:space="preserve">The ATT Today In practice, </w:t>
      </w:r>
      <w:r w:rsidRPr="00336DAE">
        <w:rPr>
          <w:rStyle w:val="Emphasis"/>
        </w:rPr>
        <w:t>the ATT has achieved nothing</w:t>
      </w:r>
      <w:r w:rsidRPr="00915FD1">
        <w:rPr>
          <w:sz w:val="16"/>
        </w:rPr>
        <w:t xml:space="preserve">. </w:t>
      </w:r>
      <w:r w:rsidRPr="00336DAE">
        <w:rPr>
          <w:u w:val="single"/>
        </w:rPr>
        <w:t>That is no surprise</w:t>
      </w:r>
      <w:r w:rsidRPr="00915FD1">
        <w:rPr>
          <w:sz w:val="16"/>
        </w:rPr>
        <w:t xml:space="preserve">. </w:t>
      </w:r>
      <w:r w:rsidRPr="00336DAE">
        <w:rPr>
          <w:u w:val="single"/>
        </w:rPr>
        <w:t>If a nation wants a control system for its arms exports, it can impose one</w:t>
      </w:r>
      <w:r w:rsidRPr="00915FD1">
        <w:rPr>
          <w:sz w:val="16"/>
        </w:rPr>
        <w:t xml:space="preserve">: No treaty is necessary. </w:t>
      </w:r>
      <w:r w:rsidRPr="00336DAE">
        <w:rPr>
          <w:u w:val="single"/>
        </w:rPr>
        <w:t xml:space="preserve">If a nation lacks the desire or the ability to impose such a system, </w:t>
      </w:r>
      <w:r w:rsidRPr="00336DAE">
        <w:rPr>
          <w:rStyle w:val="Emphasis"/>
        </w:rPr>
        <w:t>a treaty will not improve its governance</w:t>
      </w:r>
      <w:r w:rsidRPr="00915FD1">
        <w:rPr>
          <w:sz w:val="16"/>
        </w:rPr>
        <w:t xml:space="preserve">. </w:t>
      </w:r>
      <w:r w:rsidRPr="00336DAE">
        <w:rPr>
          <w:u w:val="single"/>
        </w:rPr>
        <w:t>The ATT contains no verification provisions and creates no incentives for compliance</w:t>
      </w:r>
      <w:r w:rsidRPr="00915FD1">
        <w:rPr>
          <w:sz w:val="16"/>
        </w:rPr>
        <w:t xml:space="preserve">. In short, it is a perfect example of an aspirational treaty, one defined by pious wishes, not serious commitments.12 </w:t>
      </w:r>
      <w:r w:rsidRPr="00336DAE">
        <w:rPr>
          <w:rStyle w:val="Emphasis"/>
        </w:rPr>
        <w:t>The low level of national compliance with the ATT’s most minimal requirements demonstrates the treaty’s substantive failure</w:t>
      </w:r>
      <w:r w:rsidRPr="00915FD1">
        <w:rPr>
          <w:sz w:val="16"/>
        </w:rPr>
        <w:t xml:space="preserve">. </w:t>
      </w:r>
      <w:r w:rsidRPr="00336DAE">
        <w:rPr>
          <w:u w:val="single"/>
        </w:rPr>
        <w:t xml:space="preserve">Over the ATT’s first two budgets, only 78 of the 140 assessed nations </w:t>
      </w:r>
      <w:r w:rsidRPr="00915FD1">
        <w:rPr>
          <w:sz w:val="16"/>
        </w:rPr>
        <w:t xml:space="preserve">(55 percent) </w:t>
      </w:r>
      <w:r w:rsidRPr="00336DAE">
        <w:rPr>
          <w:u w:val="single"/>
        </w:rPr>
        <w:t>paid into the treaty</w:t>
      </w:r>
      <w:r w:rsidRPr="00915FD1">
        <w:rPr>
          <w:sz w:val="16"/>
        </w:rPr>
        <w:t xml:space="preserve">.13 </w:t>
      </w:r>
      <w:r w:rsidRPr="00336DAE">
        <w:rPr>
          <w:u w:val="single"/>
        </w:rPr>
        <w:t xml:space="preserve">Only 49 nations out of 75 </w:t>
      </w:r>
      <w:r w:rsidRPr="00915FD1">
        <w:rPr>
          <w:sz w:val="16"/>
        </w:rPr>
        <w:t xml:space="preserve">(65 percent) </w:t>
      </w:r>
      <w:r w:rsidRPr="00336DAE">
        <w:rPr>
          <w:u w:val="single"/>
        </w:rPr>
        <w:t xml:space="preserve">submitted the required national report on arms imports and exports </w:t>
      </w:r>
      <w:r w:rsidRPr="00915FD1">
        <w:rPr>
          <w:sz w:val="16"/>
        </w:rPr>
        <w:t xml:space="preserve">for 2016.14 Activists now bemoan the ATT’s failure, which they define solely as its inability to stop Western arms sales to Saudi Arabia.15 The Obama Administration abandoned the previous administration’s opposition to the ATT on the explicit understanding that the treaty would only be adopted by consensus. But when push came to shove, the Obama Administration broke its own red line and supported the ATT’s adoption by majority vote of the U.N. General Assembly. This set a dangerous precedent for future treaty negotiations: Nations are now likely to assume that the U.S. will abandon its insistency on consensus if pressed hard enough. </w:t>
      </w:r>
    </w:p>
    <w:p w:rsidR="0013340D" w:rsidRDefault="0013340D" w:rsidP="00405D4B">
      <w:pPr>
        <w:rPr>
          <w:rStyle w:val="StyleUnderline"/>
        </w:rPr>
      </w:pPr>
    </w:p>
    <w:p w:rsidR="0013340D" w:rsidRDefault="0013340D" w:rsidP="00405D4B">
      <w:pPr>
        <w:rPr>
          <w:rStyle w:val="StyleUnderline"/>
        </w:rPr>
      </w:pPr>
    </w:p>
    <w:p w:rsidR="00405D4B" w:rsidRPr="0043323E" w:rsidRDefault="0043323E" w:rsidP="0043323E">
      <w:pPr>
        <w:pStyle w:val="Heading3"/>
      </w:pPr>
      <w:r w:rsidRPr="0043323E">
        <w:lastRenderedPageBreak/>
        <w:t>Gets Circumvented</w:t>
      </w:r>
    </w:p>
    <w:p w:rsidR="00405D4B" w:rsidRPr="00A02151" w:rsidRDefault="0043323E" w:rsidP="00405D4B">
      <w:pPr>
        <w:pStyle w:val="Heading4"/>
      </w:pPr>
      <w:r>
        <w:t xml:space="preserve">Solves nothing, gets circumvented, </w:t>
      </w:r>
      <w:r w:rsidR="0013340D">
        <w:t>and has no incentives for compliance</w:t>
      </w:r>
    </w:p>
    <w:p w:rsidR="00405D4B" w:rsidRPr="00B0344E" w:rsidRDefault="00405D4B" w:rsidP="00405D4B">
      <w:proofErr w:type="spellStart"/>
      <w:r w:rsidRPr="00B0344E">
        <w:rPr>
          <w:rStyle w:val="Style13ptBold"/>
        </w:rPr>
        <w:t>Bromund</w:t>
      </w:r>
      <w:proofErr w:type="spellEnd"/>
      <w:r w:rsidRPr="00B0344E">
        <w:rPr>
          <w:rStyle w:val="Style13ptBold"/>
        </w:rPr>
        <w:t xml:space="preserve"> 5/23</w:t>
      </w:r>
      <w:r w:rsidRPr="00B0344E">
        <w:t xml:space="preserve"> (</w:t>
      </w:r>
      <w:r>
        <w:t xml:space="preserve">Theodore R. </w:t>
      </w:r>
      <w:proofErr w:type="spellStart"/>
      <w:r>
        <w:t>Bromund</w:t>
      </w:r>
      <w:proofErr w:type="spellEnd"/>
      <w:r>
        <w:t xml:space="preserve">, PhD, Ted </w:t>
      </w:r>
      <w:proofErr w:type="spellStart"/>
      <w:r>
        <w:t>Bromund</w:t>
      </w:r>
      <w:proofErr w:type="spellEnd"/>
      <w:r>
        <w:t xml:space="preserve"> studies Anglo-American relations, U.S. relations with Europe and the EU, and the U.S.’s leadership role in the world.  </w:t>
      </w:r>
      <w:r w:rsidRPr="00B0344E">
        <w:t xml:space="preserve">"Trump's rejection of the Arms Trade Treaty Is based on reality," </w:t>
      </w:r>
      <w:proofErr w:type="spellStart"/>
      <w:r w:rsidRPr="00B0344E">
        <w:t>TheHill</w:t>
      </w:r>
      <w:proofErr w:type="spellEnd"/>
      <w:r w:rsidRPr="00B0344E">
        <w:t>, 5-23-2019, https://thehill.com/blogs/congress-blog/foreign-policy/445254-trumps-rejection-of-the-arms-trade-treaty-is-based-on)//Bennerz</w:t>
      </w:r>
    </w:p>
    <w:p w:rsidR="00405D4B" w:rsidRPr="0043323E" w:rsidRDefault="00405D4B" w:rsidP="00405D4B">
      <w:pPr>
        <w:rPr>
          <w:sz w:val="16"/>
        </w:rPr>
      </w:pPr>
      <w:r w:rsidRPr="0043323E">
        <w:rPr>
          <w:sz w:val="16"/>
        </w:rPr>
        <w:t>The Arms Trade Treaty (</w:t>
      </w:r>
      <w:r w:rsidRPr="00737A44">
        <w:rPr>
          <w:rStyle w:val="StyleUnderline"/>
        </w:rPr>
        <w:t>ATT</w:t>
      </w:r>
      <w:r w:rsidRPr="0043323E">
        <w:rPr>
          <w:sz w:val="16"/>
        </w:rPr>
        <w:t xml:space="preserve">), which President Donald Trump announced on April 26 that the U.S. would quit, </w:t>
      </w:r>
      <w:r w:rsidRPr="00737A44">
        <w:rPr>
          <w:rStyle w:val="Emphasis"/>
        </w:rPr>
        <w:t>is a failure</w:t>
      </w:r>
      <w:r w:rsidRPr="0043323E">
        <w:rPr>
          <w:sz w:val="16"/>
        </w:rPr>
        <w:t xml:space="preserve">. When then-Secretary of State John Kerry signed the ATT on behalf of the U.S. on September 25, 2013, hopes were high among the treaty’s friends that it would change the world. The president’s decision didn’t crush those hopes. Reality did. The supposed purpose of the ATT is to end irresponsible international arms sales. But as one of the treaty’s most distinguished defenders, former Assistant Secretary of State Thomas Countryman, has admitted, </w:t>
      </w:r>
      <w:r w:rsidRPr="00371B66">
        <w:rPr>
          <w:rStyle w:val="Emphasis"/>
        </w:rPr>
        <w:t>its terms are “clearly ambiguous.”</w:t>
      </w:r>
      <w:r>
        <w:rPr>
          <w:rStyle w:val="Emphasis"/>
        </w:rPr>
        <w:t xml:space="preserve"> </w:t>
      </w:r>
      <w:r w:rsidRPr="0043323E">
        <w:rPr>
          <w:sz w:val="16"/>
        </w:rPr>
        <w:t xml:space="preserve">In fact, </w:t>
      </w:r>
      <w:r w:rsidRPr="00371B66">
        <w:rPr>
          <w:rStyle w:val="Emphasis"/>
        </w:rPr>
        <w:t>it contains no definitions at all</w:t>
      </w:r>
      <w:r w:rsidRPr="0043323E">
        <w:rPr>
          <w:sz w:val="16"/>
        </w:rPr>
        <w:t xml:space="preserve">. None. Why is the treaty so vague? </w:t>
      </w:r>
      <w:r w:rsidRPr="00371B66">
        <w:rPr>
          <w:rStyle w:val="StyleUnderline"/>
        </w:rPr>
        <w:t>The ATT’s negotiators wanted to get all the world’s nations on board. The only way to do this was to make the treaty</w:t>
      </w:r>
      <w:r w:rsidRPr="00371B66">
        <w:rPr>
          <w:rStyle w:val="Emphasis"/>
        </w:rPr>
        <w:t xml:space="preserve"> as vague as possible</w:t>
      </w:r>
      <w:r w:rsidRPr="0043323E">
        <w:rPr>
          <w:sz w:val="16"/>
        </w:rPr>
        <w:t xml:space="preserve">. </w:t>
      </w:r>
      <w:r w:rsidRPr="00371B66">
        <w:rPr>
          <w:rStyle w:val="StyleUnderline"/>
        </w:rPr>
        <w:t xml:space="preserve">But treaties are contracts that bind the United States. Being bound to vagueness is </w:t>
      </w:r>
      <w:r w:rsidRPr="00371B66">
        <w:rPr>
          <w:rStyle w:val="Emphasis"/>
        </w:rPr>
        <w:t>inherently dangerous.</w:t>
      </w:r>
      <w:r w:rsidRPr="0043323E">
        <w:rPr>
          <w:sz w:val="16"/>
        </w:rPr>
        <w:t xml:space="preserve"> </w:t>
      </w:r>
      <w:r w:rsidRPr="00371B66">
        <w:rPr>
          <w:rStyle w:val="StyleUnderline"/>
        </w:rPr>
        <w:t xml:space="preserve">The ATT has </w:t>
      </w:r>
      <w:r w:rsidRPr="00371B66">
        <w:rPr>
          <w:rStyle w:val="Emphasis"/>
        </w:rPr>
        <w:t>no rewards for compliance</w:t>
      </w:r>
      <w:r w:rsidRPr="0043323E">
        <w:rPr>
          <w:sz w:val="16"/>
        </w:rPr>
        <w:t xml:space="preserve">. The only thing you get from going along with it is a warm feeling. </w:t>
      </w:r>
      <w:r w:rsidRPr="00371B66">
        <w:rPr>
          <w:rStyle w:val="Emphasis"/>
        </w:rPr>
        <w:t>It also has no enforcement mechanism</w:t>
      </w:r>
      <w:r w:rsidRPr="0043323E">
        <w:rPr>
          <w:sz w:val="16"/>
        </w:rPr>
        <w:t xml:space="preserve">. Given its defects, that’s a good thing, but relying on the fuzzies to create compliance isn’t serious. </w:t>
      </w:r>
      <w:r w:rsidRPr="00371B66">
        <w:rPr>
          <w:rStyle w:val="StyleUnderline"/>
        </w:rPr>
        <w:t>If nations around the world want to not sell arms to dictators, all they need to do is not sell. No treaty is necessary</w:t>
      </w:r>
      <w:r w:rsidRPr="0043323E">
        <w:rPr>
          <w:sz w:val="16"/>
        </w:rPr>
        <w:t xml:space="preserve">. If nations want to control their borders to prevent illicit arms imports, the same is true. </w:t>
      </w:r>
      <w:r w:rsidRPr="00371B66">
        <w:rPr>
          <w:rStyle w:val="Emphasis"/>
        </w:rPr>
        <w:t xml:space="preserve">We don’t need a treaty. We need more democratic, competent governments. Without them, no treaty can work. </w:t>
      </w:r>
      <w:r w:rsidRPr="00BD6CD7">
        <w:rPr>
          <w:rStyle w:val="StyleUnderline"/>
        </w:rPr>
        <w:t>With them, no treaty will be necessary.</w:t>
      </w:r>
      <w:r>
        <w:rPr>
          <w:rStyle w:val="StyleUnderline"/>
        </w:rPr>
        <w:t xml:space="preserve"> </w:t>
      </w:r>
      <w:r w:rsidRPr="0043323E">
        <w:rPr>
          <w:sz w:val="16"/>
        </w:rPr>
        <w:t xml:space="preserve">The argument that progressives offer is that if the U.S. stops making arms sales the left dislikes, this will create influential “norms.” </w:t>
      </w:r>
      <w:r w:rsidRPr="00BD6CD7">
        <w:rPr>
          <w:rStyle w:val="Emphasis"/>
        </w:rPr>
        <w:t>If you truly believe that Russia will become responsible if the U.S. simply does things that progressives like, good luck to you.</w:t>
      </w:r>
      <w:r>
        <w:rPr>
          <w:rStyle w:val="Emphasis"/>
        </w:rPr>
        <w:t xml:space="preserve"> </w:t>
      </w:r>
      <w:r w:rsidRPr="0043323E">
        <w:rPr>
          <w:sz w:val="16"/>
        </w:rPr>
        <w:t xml:space="preserve">But there is no basis for this belief. It’s a fantasy, and a self-disarming one at that. The progressive focus on the U.S.’s arms sales isn’t a coincidence. Iran’s arms sales don’t much bother the treaty’s advocates. But they really hate the West’s. If you doubt this, look at what they do. When the progressive group behind the ATT wanted to quote a foreign condemnation of the president’s decision, to whom did they turn first? To Press TV, the mouthpiece of the Iranian regime. The treaty’s friends have sued the British government to stop its arms sales. They leak assiduously against the French government. They vehemently oppose U.S. arms sales, and — like Trevor Thrall in these pages — support the treaty as a way to stop those sales. But they do and say nothing about the dictators. When Rachel </w:t>
      </w:r>
      <w:proofErr w:type="spellStart"/>
      <w:r w:rsidRPr="0043323E">
        <w:rPr>
          <w:sz w:val="16"/>
        </w:rPr>
        <w:t>Stohl</w:t>
      </w:r>
      <w:proofErr w:type="spellEnd"/>
      <w:r w:rsidRPr="0043323E">
        <w:rPr>
          <w:sz w:val="16"/>
        </w:rPr>
        <w:t xml:space="preserve">, one of the treaty’s most vehement defenders, wrote about the missiles that shot down flight MH-17 in 2015, who did she blame for supplying them? Vladimir Putin? No. She blamed “today’s globalized environment.” The treaty’s friends always condemn the U.S. in the clearest terms. But when it comes to the dictators, out rolls the poisonous fog of the passive voice in which no one is responsible for anything. The treaty’s friends have a blame-America-first policy. They openly use the ATT as a weapon against the West, and only against it. In practice, therefore, they are siding with Iran’s mullahs, Putin and Beijing. Worse, </w:t>
      </w:r>
      <w:r w:rsidRPr="00BD6CD7">
        <w:rPr>
          <w:rStyle w:val="StyleUnderline"/>
        </w:rPr>
        <w:t xml:space="preserve">the ATT is part of a </w:t>
      </w:r>
      <w:r w:rsidRPr="00BD6CD7">
        <w:rPr>
          <w:rStyle w:val="Emphasis"/>
        </w:rPr>
        <w:t>wider network of progressive treaties,</w:t>
      </w:r>
      <w:r w:rsidRPr="00BD6CD7">
        <w:rPr>
          <w:rStyle w:val="StyleUnderline"/>
        </w:rPr>
        <w:t xml:space="preserve"> including one on cluster munitions</w:t>
      </w:r>
      <w:r w:rsidRPr="0043323E">
        <w:rPr>
          <w:sz w:val="16"/>
        </w:rPr>
        <w:t xml:space="preserve">. That treaty, according to Jim Shields, head of the U.S. Army’s Program Executive Office Ammunition, has created “capability gaps that we are really concerned about.” It is easy to say that the ATT will never affect U.S. arms transfer policy. The history of the cluster munitions treaty says otherwise. So do the lawsuits of the ATT’s advocates themselves. </w:t>
      </w:r>
      <w:r w:rsidRPr="00B0344E">
        <w:rPr>
          <w:rStyle w:val="StyleUnderline"/>
        </w:rPr>
        <w:t xml:space="preserve">The ATT is a treaty. A treaty is legal instrument. But arms sales are decisions of </w:t>
      </w:r>
      <w:r w:rsidRPr="00B0344E">
        <w:rPr>
          <w:rStyle w:val="Emphasis"/>
        </w:rPr>
        <w:t>policy, not law.</w:t>
      </w:r>
      <w:r w:rsidRPr="0043323E">
        <w:rPr>
          <w:sz w:val="16"/>
        </w:rPr>
        <w:t xml:space="preserve"> </w:t>
      </w:r>
      <w:r w:rsidRPr="00B0344E">
        <w:rPr>
          <w:rStyle w:val="StyleUnderline"/>
        </w:rPr>
        <w:t>The decision to authorize an arms sale should often be tough because the world isn’t black and white. It’s mostly grey. Trying to impose a legal framework on that reality is going to produce bad policy. There are lots of tough calls in foreign policy</w:t>
      </w:r>
      <w:r w:rsidRPr="0043323E">
        <w:rPr>
          <w:sz w:val="16"/>
        </w:rPr>
        <w:t>. Being against the Arms Trade Treaty isn’t one of them.</w:t>
      </w:r>
    </w:p>
    <w:p w:rsidR="00405D4B" w:rsidRDefault="0013340D" w:rsidP="0013340D">
      <w:pPr>
        <w:pStyle w:val="Heading3"/>
      </w:pPr>
      <w:r>
        <w:lastRenderedPageBreak/>
        <w:t xml:space="preserve">It’s </w:t>
      </w:r>
      <w:proofErr w:type="gramStart"/>
      <w:r>
        <w:t>The</w:t>
      </w:r>
      <w:proofErr w:type="gramEnd"/>
      <w:r>
        <w:t xml:space="preserve"> </w:t>
      </w:r>
      <w:proofErr w:type="spellStart"/>
      <w:r>
        <w:t>Squo</w:t>
      </w:r>
      <w:proofErr w:type="spellEnd"/>
    </w:p>
    <w:p w:rsidR="00405D4B" w:rsidRDefault="00405D4B" w:rsidP="00405D4B">
      <w:pPr>
        <w:pStyle w:val="Heading4"/>
      </w:pPr>
      <w:r>
        <w:t>Doesn’t solve—US laws are already in line with the ATT</w:t>
      </w:r>
    </w:p>
    <w:p w:rsidR="00405D4B" w:rsidRDefault="00405D4B" w:rsidP="00405D4B">
      <w:r w:rsidRPr="00A90727">
        <w:rPr>
          <w:rStyle w:val="Style13ptBold"/>
        </w:rPr>
        <w:t>Thrall 5/6</w:t>
      </w:r>
      <w:r>
        <w:t xml:space="preserve"> (A. Trevor Thrall, associate professor in the </w:t>
      </w:r>
      <w:proofErr w:type="spellStart"/>
      <w:r>
        <w:t>Schar</w:t>
      </w:r>
      <w:proofErr w:type="spellEnd"/>
      <w:r>
        <w:t xml:space="preserve"> School of Policy and Government at George Mason University and a senior fellow at the Cato Institute. "Trump's misguided assault on the Arms Trade Treaty," </w:t>
      </w:r>
      <w:proofErr w:type="spellStart"/>
      <w:r>
        <w:t>TheHill</w:t>
      </w:r>
      <w:proofErr w:type="spellEnd"/>
      <w:r>
        <w:t xml:space="preserve">, 5-6-2019, </w:t>
      </w:r>
      <w:hyperlink r:id="rId51" w:history="1">
        <w:r w:rsidRPr="00656B9E">
          <w:rPr>
            <w:rStyle w:val="Hyperlink"/>
          </w:rPr>
          <w:t>https://thehill.com/blogs/congress-blog/foreign-policy/442283-trumps-misguided-assault-on-the-arms-trade-treaty)//Bennerz</w:t>
        </w:r>
      </w:hyperlink>
    </w:p>
    <w:p w:rsidR="00405D4B" w:rsidRDefault="00405D4B" w:rsidP="00405D4B">
      <w:r w:rsidRPr="000208F0">
        <w:rPr>
          <w:rStyle w:val="StyleUnderline"/>
        </w:rPr>
        <w:t xml:space="preserve">The real goal of end use monitoring under the ATT – </w:t>
      </w:r>
      <w:r w:rsidRPr="000208F0">
        <w:rPr>
          <w:rStyle w:val="Emphasis"/>
        </w:rPr>
        <w:t>already a longstanding component of U.S. arms export policy</w:t>
      </w:r>
      <w:r w:rsidRPr="000208F0">
        <w:rPr>
          <w:rStyle w:val="StyleUnderline"/>
        </w:rPr>
        <w:t xml:space="preserve"> – is to ensure that exported weapons end up and remain in the possession of the intended recipients and that the companies and governments that purchase the weapons are in fact responsible customers. </w:t>
      </w:r>
      <w:r>
        <w:t xml:space="preserve">Far from requiring the United States to change its policies, </w:t>
      </w:r>
      <w:r w:rsidRPr="000208F0">
        <w:rPr>
          <w:rStyle w:val="Emphasis"/>
        </w:rPr>
        <w:t>the treaty in fact did not require any change to U.S. policies.</w:t>
      </w:r>
      <w:r>
        <w:t xml:space="preserve"> </w:t>
      </w:r>
      <w:r w:rsidRPr="000208F0">
        <w:rPr>
          <w:rStyle w:val="StyleUnderline"/>
        </w:rPr>
        <w:t xml:space="preserve">In many respects the ATT is simply an effort to encourage other nations to upgrade their arms exports policies </w:t>
      </w:r>
      <w:r w:rsidRPr="000208F0">
        <w:rPr>
          <w:rStyle w:val="Emphasis"/>
        </w:rPr>
        <w:t>to match existing U.S. standards</w:t>
      </w:r>
      <w:r>
        <w:t>. The treaty poses no threat to the right to bear arms.</w:t>
      </w:r>
    </w:p>
    <w:p w:rsidR="0013340D" w:rsidRPr="00676953" w:rsidRDefault="0013340D" w:rsidP="0013340D">
      <w:pPr>
        <w:pStyle w:val="Heading3"/>
        <w:rPr>
          <w:rFonts w:asciiTheme="majorHAnsi" w:hAnsiTheme="majorHAnsi" w:cstheme="majorHAnsi"/>
        </w:rPr>
      </w:pPr>
      <w:r>
        <w:rPr>
          <w:rFonts w:asciiTheme="majorHAnsi" w:hAnsiTheme="majorHAnsi" w:cstheme="majorHAnsi"/>
        </w:rPr>
        <w:lastRenderedPageBreak/>
        <w:t>Perm</w:t>
      </w:r>
    </w:p>
    <w:p w:rsidR="0013340D" w:rsidRPr="00676953" w:rsidRDefault="0013340D" w:rsidP="0013340D">
      <w:pPr>
        <w:pStyle w:val="Heading4"/>
        <w:rPr>
          <w:rFonts w:asciiTheme="majorHAnsi" w:hAnsiTheme="majorHAnsi" w:cstheme="majorHAnsi"/>
        </w:rPr>
      </w:pPr>
      <w:r>
        <w:rPr>
          <w:rFonts w:asciiTheme="majorHAnsi" w:hAnsiTheme="majorHAnsi" w:cstheme="majorHAnsi"/>
        </w:rPr>
        <w:t>Perm do both- disarmament policies are gendered absent the aff</w:t>
      </w:r>
    </w:p>
    <w:p w:rsidR="0013340D" w:rsidRPr="00676953" w:rsidRDefault="0013340D" w:rsidP="0013340D">
      <w:pPr>
        <w:rPr>
          <w:rStyle w:val="Style13ptBold"/>
          <w:rFonts w:asciiTheme="majorHAnsi" w:hAnsiTheme="majorHAnsi" w:cstheme="majorHAnsi"/>
        </w:rPr>
      </w:pPr>
      <w:r w:rsidRPr="00676953">
        <w:rPr>
          <w:rStyle w:val="Style13ptBold"/>
          <w:rFonts w:asciiTheme="majorHAnsi" w:hAnsiTheme="majorHAnsi" w:cstheme="majorHAnsi"/>
        </w:rPr>
        <w:t>Farr 02</w:t>
      </w:r>
    </w:p>
    <w:p w:rsidR="0013340D" w:rsidRPr="00676953" w:rsidRDefault="0013340D" w:rsidP="0013340D">
      <w:pPr>
        <w:rPr>
          <w:rStyle w:val="Style13ptBold"/>
          <w:rFonts w:asciiTheme="majorHAnsi" w:hAnsiTheme="majorHAnsi" w:cstheme="majorHAnsi"/>
          <w:sz w:val="20"/>
          <w:szCs w:val="20"/>
        </w:rPr>
      </w:pPr>
      <w:r w:rsidRPr="00676953">
        <w:rPr>
          <w:rStyle w:val="Style13ptBold"/>
          <w:rFonts w:asciiTheme="majorHAnsi" w:hAnsiTheme="majorHAnsi" w:cstheme="majorHAnsi"/>
          <w:sz w:val="20"/>
          <w:szCs w:val="20"/>
        </w:rPr>
        <w:t>(Vanessa A. Farr, African Women’s Anti-War Coalition, A Gendered Analysis of International Agreements on Small Arms and Light Weapons, in Brief 24: Gender Perspectives on Small Arms and Light Weapons, Bonn International Center for Conversion, July 2002, http://www.seesac.org/f/tmp/files/failovi/210.pdf#page=25, JKS)</w:t>
      </w:r>
    </w:p>
    <w:p w:rsidR="0013340D" w:rsidRPr="0002683A" w:rsidRDefault="0013340D" w:rsidP="0013340D">
      <w:pPr>
        <w:rPr>
          <w:rStyle w:val="Emphasis"/>
        </w:rPr>
      </w:pPr>
      <w:r w:rsidRPr="0002683A">
        <w:rPr>
          <w:rStyle w:val="Emphasis"/>
        </w:rPr>
        <w:t>Disarmament after conflict: a gender perspective</w:t>
      </w:r>
    </w:p>
    <w:p w:rsidR="0013340D" w:rsidRPr="00BC14E6" w:rsidRDefault="0013340D" w:rsidP="0013340D">
      <w:pPr>
        <w:rPr>
          <w:rFonts w:asciiTheme="majorHAnsi" w:hAnsiTheme="majorHAnsi" w:cstheme="majorHAnsi"/>
          <w:sz w:val="16"/>
        </w:rPr>
      </w:pPr>
      <w:r w:rsidRPr="00BC14E6">
        <w:rPr>
          <w:rStyle w:val="StyleUnderline"/>
        </w:rPr>
        <w:t>Since the proliferation of firearms affects women in such specific ways, it is logical to assume that disarmament policies should be carefully gender-aware in their approach</w:t>
      </w:r>
      <w:r w:rsidRPr="00BC14E6">
        <w:rPr>
          <w:rFonts w:asciiTheme="majorHAnsi" w:hAnsiTheme="majorHAnsi" w:cstheme="majorHAnsi"/>
          <w:sz w:val="16"/>
        </w:rPr>
        <w:t xml:space="preserve">. </w:t>
      </w:r>
      <w:r w:rsidRPr="00BC14E6">
        <w:rPr>
          <w:rStyle w:val="Emphasis"/>
        </w:rPr>
        <w:t>Yet in reality, the technical management of SALW is an area in which masculine expertise and opinions are absolutely privileged.</w:t>
      </w:r>
      <w:r w:rsidRPr="00BC14E6">
        <w:rPr>
          <w:rFonts w:asciiTheme="majorHAnsi" w:hAnsiTheme="majorHAnsi" w:cstheme="majorHAnsi"/>
          <w:sz w:val="16"/>
        </w:rPr>
        <w:t xml:space="preserve"> </w:t>
      </w:r>
      <w:r w:rsidRPr="00BC14E6">
        <w:rPr>
          <w:rStyle w:val="StyleUnderline"/>
        </w:rPr>
        <w:t>Disarmament in a post-conflict situation is defined as “the collection, control and dispersal” of various kinds of weapons, light and heavy, as well as “the development of responsible arms management programs”</w:t>
      </w:r>
      <w:r w:rsidRPr="00BC14E6">
        <w:rPr>
          <w:rFonts w:asciiTheme="majorHAnsi" w:hAnsiTheme="majorHAnsi" w:cstheme="majorHAnsi"/>
          <w:sz w:val="16"/>
        </w:rPr>
        <w:t xml:space="preserve"> (DPKO, 2000 p. 15). As sensible as it sounds, </w:t>
      </w:r>
      <w:r w:rsidRPr="00BC14E6">
        <w:rPr>
          <w:rStyle w:val="StyleUnderline"/>
        </w:rPr>
        <w:t>this approach implies that weapons control can be undertaken in a rational and orderly manner in a post-conflict period, and that gun-holders will willingly give up their weapons and develop arms management structures</w:t>
      </w:r>
      <w:r w:rsidRPr="00BC14E6">
        <w:rPr>
          <w:rFonts w:asciiTheme="majorHAnsi" w:hAnsiTheme="majorHAnsi" w:cstheme="majorHAnsi"/>
          <w:sz w:val="16"/>
        </w:rPr>
        <w:t xml:space="preserve"> in the interests of peace. Yet, </w:t>
      </w:r>
      <w:r w:rsidRPr="00BC14E6">
        <w:rPr>
          <w:rStyle w:val="StyleUnderline"/>
        </w:rPr>
        <w:t xml:space="preserve">since the ownership and utilization of arms is profoundly attached to perceptions of masculinity in many cultures, </w:t>
      </w:r>
      <w:r w:rsidRPr="00BC14E6">
        <w:rPr>
          <w:rStyle w:val="Emphasis"/>
        </w:rPr>
        <w:t>successful disarmament support will only be likely if cultural constructions of manliness are squarely addresse</w:t>
      </w:r>
      <w:r w:rsidRPr="00BC14E6">
        <w:rPr>
          <w:rStyle w:val="StyleUnderline"/>
        </w:rPr>
        <w:t>d</w:t>
      </w:r>
      <w:r w:rsidRPr="00BC14E6">
        <w:rPr>
          <w:rFonts w:asciiTheme="majorHAnsi" w:hAnsiTheme="majorHAnsi" w:cstheme="majorHAnsi"/>
          <w:sz w:val="16"/>
        </w:rPr>
        <w:t xml:space="preserve">. </w:t>
      </w:r>
      <w:r w:rsidRPr="00BC14E6">
        <w:rPr>
          <w:rStyle w:val="Emphasis"/>
        </w:rPr>
        <w:t>This has implications for how disarmament programs are designed and implemented.</w:t>
      </w:r>
      <w:r w:rsidRPr="00BC14E6">
        <w:rPr>
          <w:rFonts w:asciiTheme="majorHAnsi" w:hAnsiTheme="majorHAnsi" w:cstheme="majorHAnsi"/>
          <w:sz w:val="16"/>
        </w:rPr>
        <w:t xml:space="preserve"> The circumstances of the conflict, the extent to which traditional control mechanisms have broken down, and the degree to which armed men have learned to rely on violence to secure their economic interests and social status, will also dictate whether rational arms control programs are possible.</w:t>
      </w:r>
    </w:p>
    <w:p w:rsidR="0013340D" w:rsidRPr="00676953" w:rsidRDefault="0013340D" w:rsidP="0013340D">
      <w:pPr>
        <w:pStyle w:val="Heading3"/>
        <w:rPr>
          <w:rFonts w:asciiTheme="majorHAnsi" w:hAnsiTheme="majorHAnsi" w:cstheme="majorHAnsi"/>
        </w:rPr>
      </w:pPr>
      <w:r w:rsidRPr="00676953">
        <w:rPr>
          <w:rFonts w:asciiTheme="majorHAnsi" w:hAnsiTheme="majorHAnsi" w:cstheme="majorHAnsi"/>
        </w:rPr>
        <w:lastRenderedPageBreak/>
        <w:t xml:space="preserve">AT: UN </w:t>
      </w:r>
      <w:r>
        <w:rPr>
          <w:rFonts w:asciiTheme="majorHAnsi" w:hAnsiTheme="majorHAnsi" w:cstheme="majorHAnsi"/>
        </w:rPr>
        <w:t>Mechanism</w:t>
      </w:r>
    </w:p>
    <w:p w:rsidR="0013340D" w:rsidRPr="00676953" w:rsidRDefault="0013340D" w:rsidP="0013340D">
      <w:pPr>
        <w:pStyle w:val="Heading4"/>
        <w:rPr>
          <w:rFonts w:asciiTheme="majorHAnsi" w:hAnsiTheme="majorHAnsi" w:cstheme="majorHAnsi"/>
        </w:rPr>
      </w:pPr>
      <w:r>
        <w:rPr>
          <w:rFonts w:asciiTheme="majorHAnsi" w:hAnsiTheme="majorHAnsi" w:cstheme="majorHAnsi"/>
        </w:rPr>
        <w:t>UN arms control measures fail- they’ll be circumvented through opaque data reporting</w:t>
      </w:r>
    </w:p>
    <w:p w:rsidR="0013340D" w:rsidRPr="00676953" w:rsidRDefault="0013340D" w:rsidP="0013340D">
      <w:pPr>
        <w:rPr>
          <w:rStyle w:val="Style13ptBold"/>
          <w:rFonts w:asciiTheme="majorHAnsi" w:hAnsiTheme="majorHAnsi" w:cstheme="majorHAnsi"/>
        </w:rPr>
      </w:pPr>
      <w:r w:rsidRPr="00676953">
        <w:rPr>
          <w:rStyle w:val="Style13ptBold"/>
          <w:rFonts w:asciiTheme="majorHAnsi" w:hAnsiTheme="majorHAnsi" w:cstheme="majorHAnsi"/>
        </w:rPr>
        <w:t>Alley 19</w:t>
      </w:r>
    </w:p>
    <w:p w:rsidR="0013340D" w:rsidRPr="00676953" w:rsidRDefault="0013340D" w:rsidP="0013340D">
      <w:pPr>
        <w:rPr>
          <w:rStyle w:val="Style13ptBold"/>
          <w:rFonts w:asciiTheme="majorHAnsi" w:hAnsiTheme="majorHAnsi" w:cstheme="majorHAnsi"/>
          <w:sz w:val="20"/>
          <w:szCs w:val="20"/>
        </w:rPr>
      </w:pPr>
      <w:r w:rsidRPr="00676953">
        <w:rPr>
          <w:rStyle w:val="Style13ptBold"/>
          <w:rFonts w:asciiTheme="majorHAnsi" w:hAnsiTheme="majorHAnsi" w:cstheme="majorHAnsi"/>
          <w:sz w:val="20"/>
          <w:szCs w:val="20"/>
        </w:rPr>
        <w:t>(Roderic Alley, Centre for Strategic Studies, Victoria University of Wellington, Wellington, New Zealand (2019) Small arms and light weapons: the disjunction problem, Conflict, Security &amp; Development, 19:2, 143-172, DOI: 10.1080/14678802.2019.1570722, JKS)</w:t>
      </w:r>
    </w:p>
    <w:p w:rsidR="0013340D" w:rsidRPr="00336F6E" w:rsidRDefault="0013340D" w:rsidP="0013340D">
      <w:pPr>
        <w:rPr>
          <w:rFonts w:asciiTheme="majorHAnsi" w:hAnsiTheme="majorHAnsi" w:cstheme="majorHAnsi"/>
          <w:sz w:val="16"/>
        </w:rPr>
      </w:pPr>
      <w:r w:rsidRPr="00336F6E">
        <w:rPr>
          <w:rFonts w:asciiTheme="majorHAnsi" w:hAnsiTheme="majorHAnsi" w:cstheme="majorHAnsi"/>
          <w:sz w:val="16"/>
        </w:rPr>
        <w:t xml:space="preserve">More widely, </w:t>
      </w:r>
      <w:r w:rsidRPr="00924D42">
        <w:rPr>
          <w:rStyle w:val="Emphasis"/>
        </w:rPr>
        <w:t>UN Security Council-mandated arms embargoes have been circumvented through opaque data reporting</w:t>
      </w:r>
      <w:r w:rsidRPr="00336F6E">
        <w:rPr>
          <w:rFonts w:asciiTheme="majorHAnsi" w:hAnsiTheme="majorHAnsi" w:cstheme="majorHAnsi"/>
          <w:sz w:val="16"/>
        </w:rPr>
        <w:t xml:space="preserve">. </w:t>
      </w:r>
      <w:r w:rsidRPr="00924D42">
        <w:rPr>
          <w:rStyle w:val="StyleUnderline"/>
        </w:rPr>
        <w:t>Panels investigating their violation face delayed consideration, blocked access to investigation areas, insufficient investigative time frames, political interference and even retaliation for reporting</w:t>
      </w:r>
      <w:r w:rsidRPr="00336F6E">
        <w:rPr>
          <w:rFonts w:asciiTheme="majorHAnsi" w:hAnsiTheme="majorHAnsi" w:cstheme="majorHAnsi"/>
          <w:sz w:val="16"/>
        </w:rPr>
        <w:t xml:space="preserve">.84 While initially advantageous, destruction of captured or surplus stocks, or weapons interdicted from trafficking, </w:t>
      </w:r>
      <w:r w:rsidRPr="00336F6E">
        <w:rPr>
          <w:rStyle w:val="StyleUnderline"/>
        </w:rPr>
        <w:t>leave vacuums filled by brokers routinely evading such embargoes</w:t>
      </w:r>
      <w:r w:rsidRPr="00336F6E">
        <w:rPr>
          <w:rFonts w:asciiTheme="majorHAnsi" w:hAnsiTheme="majorHAnsi" w:cstheme="majorHAnsi"/>
          <w:sz w:val="16"/>
        </w:rPr>
        <w:t xml:space="preserve">. Even partially fulfilled deliveries reap substantial monetary rewards. And some large consignments are bartered for precious resources, as in the CAR. </w:t>
      </w:r>
      <w:r w:rsidRPr="00336F6E">
        <w:rPr>
          <w:rStyle w:val="StyleUnderline"/>
        </w:rPr>
        <w:t xml:space="preserve">The impartial, reliable and consistently disaggregated data acquisition needed to distinguish legitimate SALW transfers remains remote in the Middle East, the Sahel states and, further south, in Central Africa. But neither is systematic data acquisition available for major SALW flows occurring between major producers themselves. Deficiencies include the absence or incomplete recording of sales, </w:t>
      </w:r>
      <w:proofErr w:type="spellStart"/>
      <w:r w:rsidRPr="00336F6E">
        <w:rPr>
          <w:rStyle w:val="StyleUnderline"/>
        </w:rPr>
        <w:t>authorisation</w:t>
      </w:r>
      <w:proofErr w:type="spellEnd"/>
      <w:r w:rsidRPr="00336F6E">
        <w:rPr>
          <w:rStyle w:val="StyleUnderline"/>
        </w:rPr>
        <w:t xml:space="preserve"> of transactions and the lack of the intergovernmental co-operation necessary for best practice compliance.</w:t>
      </w:r>
      <w:r w:rsidRPr="00336F6E">
        <w:rPr>
          <w:rFonts w:asciiTheme="majorHAnsi" w:hAnsiTheme="majorHAnsi" w:cstheme="majorHAnsi"/>
          <w:sz w:val="16"/>
        </w:rPr>
        <w:t xml:space="preserve"> Not unknown is the absence of official empathy towards those suffering the grave humanitarian consequences of unbridled SALW transfers: </w:t>
      </w:r>
      <w:r w:rsidRPr="00336F6E">
        <w:rPr>
          <w:rStyle w:val="StyleUnderline"/>
        </w:rPr>
        <w:t xml:space="preserve">what goes unverified, reported or </w:t>
      </w:r>
      <w:proofErr w:type="spellStart"/>
      <w:r w:rsidRPr="00336F6E">
        <w:rPr>
          <w:rStyle w:val="StyleUnderline"/>
        </w:rPr>
        <w:t>publicised</w:t>
      </w:r>
      <w:proofErr w:type="spellEnd"/>
      <w:r w:rsidRPr="00336F6E">
        <w:rPr>
          <w:rStyle w:val="StyleUnderline"/>
        </w:rPr>
        <w:t xml:space="preserve"> renders indifference.</w:t>
      </w:r>
      <w:r w:rsidRPr="00336F6E">
        <w:rPr>
          <w:rFonts w:asciiTheme="majorHAnsi" w:hAnsiTheme="majorHAnsi" w:cstheme="majorHAnsi"/>
          <w:sz w:val="16"/>
        </w:rPr>
        <w:t xml:space="preserve"> Lacking as well is continuous data collection on illegal or clandestine arms flows, primarily to non-state armed groups, although difficulties in consistently monitoring such movements remain substantial. </w:t>
      </w:r>
      <w:r w:rsidRPr="00336F6E">
        <w:rPr>
          <w:rStyle w:val="StyleUnderline"/>
        </w:rPr>
        <w:t xml:space="preserve">SALW information is not disaggregated in Stockholm International Peace Research Institute (SIPRI) databases, </w:t>
      </w:r>
      <w:r w:rsidRPr="00336F6E">
        <w:rPr>
          <w:rStyle w:val="Emphasis"/>
        </w:rPr>
        <w:t xml:space="preserve">while that supplied to the UN </w:t>
      </w:r>
      <w:proofErr w:type="spellStart"/>
      <w:r w:rsidRPr="00336F6E">
        <w:rPr>
          <w:rStyle w:val="Emphasis"/>
        </w:rPr>
        <w:t>Comtrade</w:t>
      </w:r>
      <w:proofErr w:type="spellEnd"/>
      <w:r w:rsidRPr="00336F6E">
        <w:rPr>
          <w:rStyle w:val="Emphasis"/>
        </w:rPr>
        <w:t xml:space="preserve"> Statistics database is provided on a voluntary, selective basis</w:t>
      </w:r>
      <w:r w:rsidRPr="00336F6E">
        <w:rPr>
          <w:rFonts w:asciiTheme="majorHAnsi" w:hAnsiTheme="majorHAnsi" w:cstheme="majorHAnsi"/>
          <w:sz w:val="16"/>
        </w:rPr>
        <w:t xml:space="preserve">. Substantial suppliers including North Korea, the United Arab Emirates and Iran fail to supply data, some re-exporters including Saudi Arabia likewise.85 Hard to dispute is one observer’s conclusion that </w:t>
      </w:r>
      <w:r w:rsidRPr="00336F6E">
        <w:rPr>
          <w:rStyle w:val="Emphasis"/>
        </w:rPr>
        <w:t>the arms industry would prefer to avoid both the administrative burden of reporting and open public scrutiny of its activities</w:t>
      </w:r>
      <w:r w:rsidRPr="00336F6E">
        <w:rPr>
          <w:rFonts w:asciiTheme="majorHAnsi" w:hAnsiTheme="majorHAnsi" w:cstheme="majorHAnsi"/>
          <w:sz w:val="16"/>
        </w:rPr>
        <w:t>.86</w:t>
      </w:r>
    </w:p>
    <w:p w:rsidR="00405D4B" w:rsidRDefault="00405D4B" w:rsidP="0013340D"/>
    <w:p w:rsidR="00E44EC5" w:rsidRDefault="0013340D" w:rsidP="0013340D">
      <w:pPr>
        <w:pStyle w:val="Heading3"/>
      </w:pPr>
      <w:r>
        <w:lastRenderedPageBreak/>
        <w:t>Links to Fill-In</w:t>
      </w:r>
    </w:p>
    <w:p w:rsidR="00E44EC5" w:rsidRDefault="00E44EC5" w:rsidP="00E44EC5">
      <w:pPr>
        <w:pStyle w:val="Heading4"/>
      </w:pPr>
      <w:r>
        <w:t>CP links to fill-in</w:t>
      </w:r>
    </w:p>
    <w:p w:rsidR="00E44EC5" w:rsidRPr="00915FD1" w:rsidRDefault="00E44EC5" w:rsidP="00E44EC5">
      <w:proofErr w:type="spellStart"/>
      <w:r w:rsidRPr="00823FFE">
        <w:rPr>
          <w:rStyle w:val="Style13ptBold"/>
        </w:rPr>
        <w:t>Bromund</w:t>
      </w:r>
      <w:proofErr w:type="spellEnd"/>
      <w:r w:rsidRPr="00823FFE">
        <w:rPr>
          <w:rStyle w:val="Style13ptBold"/>
        </w:rPr>
        <w:t xml:space="preserve"> 18 </w:t>
      </w:r>
      <w:r>
        <w:t>(</w:t>
      </w:r>
      <w:r w:rsidRPr="001450F0">
        <w:t xml:space="preserve">Ted </w:t>
      </w:r>
      <w:proofErr w:type="spellStart"/>
      <w:r w:rsidRPr="001450F0">
        <w:t>Bromund</w:t>
      </w:r>
      <w:proofErr w:type="spellEnd"/>
      <w:r w:rsidRPr="001450F0">
        <w:t xml:space="preserve"> studies Anglo-American relations, U.S. relations with Europe and the EU, and the U.S.</w:t>
      </w:r>
      <w:r>
        <w:t>’s leadership role in the world, “</w:t>
      </w:r>
      <w:r w:rsidRPr="001450F0">
        <w:t xml:space="preserve">Why the U.S. Must </w:t>
      </w:r>
      <w:proofErr w:type="spellStart"/>
      <w:r w:rsidRPr="001450F0">
        <w:t>Unsign</w:t>
      </w:r>
      <w:proofErr w:type="spellEnd"/>
      <w:r w:rsidRPr="001450F0">
        <w:t xml:space="preserve"> the Arms Trade Treaty in 2018</w:t>
      </w:r>
      <w:r>
        <w:t xml:space="preserve">,” </w:t>
      </w:r>
      <w:r w:rsidRPr="001450F0">
        <w:t>February 22, 2018</w:t>
      </w:r>
      <w:r>
        <w:t xml:space="preserve">, Accessed 6.29.19, </w:t>
      </w:r>
      <w:hyperlink r:id="rId52" w:history="1">
        <w:r w:rsidRPr="005537D7">
          <w:rPr>
            <w:rStyle w:val="Hyperlink"/>
          </w:rPr>
          <w:t>https://www.heritage.org/global-politics/report/why-the-us-must-unsign-the-arms-trade-treaty-2018</w:t>
        </w:r>
      </w:hyperlink>
      <w:r>
        <w:t xml:space="preserve"> ) //</w:t>
      </w:r>
      <w:proofErr w:type="spellStart"/>
      <w:r>
        <w:t>ZoL</w:t>
      </w:r>
      <w:proofErr w:type="spellEnd"/>
    </w:p>
    <w:p w:rsidR="00E44EC5" w:rsidRDefault="00E44EC5" w:rsidP="00E44EC5">
      <w:pPr>
        <w:rPr>
          <w:sz w:val="16"/>
        </w:rPr>
      </w:pPr>
      <w:r w:rsidRPr="00915FD1">
        <w:rPr>
          <w:sz w:val="16"/>
        </w:rPr>
        <w:t xml:space="preserve">But even the Obama Administration recognized that “not getting a universal [ATT] agreement would make any agreement less than useless.”16 </w:t>
      </w:r>
      <w:r w:rsidRPr="00336DAE">
        <w:rPr>
          <w:u w:val="single"/>
        </w:rPr>
        <w:t>Today, China, India, Iran, Pakistan, Russia, and many other major arms exporters and importers are not party to the ATT</w:t>
      </w:r>
      <w:r w:rsidRPr="00915FD1">
        <w:rPr>
          <w:sz w:val="16"/>
        </w:rPr>
        <w:t xml:space="preserve">. By the U.S.’s own criterion, </w:t>
      </w:r>
      <w:r w:rsidRPr="00336DAE">
        <w:rPr>
          <w:rStyle w:val="Emphasis"/>
        </w:rPr>
        <w:t>the ATT is therefore “less than useless.”</w:t>
      </w:r>
      <w:r w:rsidRPr="00915FD1">
        <w:rPr>
          <w:sz w:val="16"/>
        </w:rPr>
        <w:t xml:space="preserve"> This is because, </w:t>
      </w:r>
      <w:r w:rsidRPr="00336DAE">
        <w:rPr>
          <w:rStyle w:val="Emphasis"/>
        </w:rPr>
        <w:t>to the extent that the treaty reduces arms exports from the West, it can only have the perverse effects of driving potential importers to buy from China or Russia</w:t>
      </w:r>
      <w:r w:rsidRPr="00915FD1">
        <w:rPr>
          <w:sz w:val="16"/>
        </w:rPr>
        <w:t xml:space="preserve">—or to develop their own indigenous arms industries that will not fall under the treaty’s purview. As a result of these facts, </w:t>
      </w:r>
      <w:r w:rsidRPr="00915FD1">
        <w:rPr>
          <w:rStyle w:val="Emphasis"/>
        </w:rPr>
        <w:t>the ATT deservedly lacks support in Congress</w:t>
      </w:r>
      <w:r w:rsidRPr="00915FD1">
        <w:rPr>
          <w:sz w:val="16"/>
        </w:rPr>
        <w:t xml:space="preserve">. A bipartisan group of 55 current Senators, led by Senator Jerry Moran (R–KS), has signed letters opposing the ATT. A series of appropriations acts (most recently, Section 534 of the Consolidated Appropriations Act of 2017) have banned implementation funding, as does Section 1279B of the fiscal year 2018 National Defense Authorization Act. </w:t>
      </w:r>
      <w:proofErr w:type="gramStart"/>
      <w:r w:rsidRPr="00915FD1">
        <w:rPr>
          <w:sz w:val="16"/>
        </w:rPr>
        <w:t>The House,</w:t>
      </w:r>
      <w:proofErr w:type="gramEnd"/>
      <w:r w:rsidRPr="00915FD1">
        <w:rPr>
          <w:sz w:val="16"/>
        </w:rPr>
        <w:t xml:space="preserve"> led by Representative Mike Kelly (R–PA) has repeatedly opposed the treaty. The Republican Party Platform adopted on July 19, 2016, explicitly rejects it. When the Obama Administration transmitted the ATT, Senator Bob Corker (R–TN), the chairman of the Senate Foreign Relations Committee, stated that “nothing has changed over the last four years to suggest the treaty is in our national interest, and it will remain dead in the water.” In October 2017, the U.S. abstained in a vote on the treaty in the U.N. First Committee.</w:t>
      </w:r>
    </w:p>
    <w:p w:rsidR="0013340D" w:rsidRPr="0043323E" w:rsidRDefault="0013340D" w:rsidP="0013340D">
      <w:pPr>
        <w:pStyle w:val="Heading3"/>
      </w:pPr>
      <w:r>
        <w:lastRenderedPageBreak/>
        <w:t>K of ATT</w:t>
      </w:r>
    </w:p>
    <w:p w:rsidR="0013340D" w:rsidRDefault="0013340D" w:rsidP="0013340D">
      <w:pPr>
        <w:pStyle w:val="Heading4"/>
      </w:pPr>
      <w:r>
        <w:t>The ATT is a rubberstamp that legitimates violence</w:t>
      </w:r>
    </w:p>
    <w:p w:rsidR="0013340D" w:rsidRDefault="0013340D" w:rsidP="0013340D">
      <w:proofErr w:type="spellStart"/>
      <w:r w:rsidRPr="00BD7F36">
        <w:rPr>
          <w:rStyle w:val="Style13ptBold"/>
        </w:rPr>
        <w:t>Stavrianakis</w:t>
      </w:r>
      <w:proofErr w:type="spellEnd"/>
      <w:r w:rsidRPr="00BD7F36">
        <w:rPr>
          <w:rStyle w:val="Style13ptBold"/>
        </w:rPr>
        <w:t xml:space="preserve"> 16</w:t>
      </w:r>
      <w:r>
        <w:t xml:space="preserve"> (Anna </w:t>
      </w:r>
      <w:proofErr w:type="spellStart"/>
      <w:r>
        <w:t>Stavrianakis</w:t>
      </w:r>
      <w:proofErr w:type="spellEnd"/>
      <w:r>
        <w:t>, Lecturer in International Relations at the University of Sussex. Her main research interests are NGOs and global civil society, the arms trade and military globalization, and critical approaches to the study of international security. “</w:t>
      </w:r>
      <w:proofErr w:type="spellStart"/>
      <w:r>
        <w:t>Legitimising</w:t>
      </w:r>
      <w:proofErr w:type="spellEnd"/>
      <w:r>
        <w:t xml:space="preserve"> liberal militarism: politics, law and war in the Arms Trade Treaty,” Third World Quarterly, 37:5, 840-865, 2016)//</w:t>
      </w:r>
      <w:proofErr w:type="spellStart"/>
      <w:r>
        <w:t>Bennerz</w:t>
      </w:r>
      <w:proofErr w:type="spellEnd"/>
    </w:p>
    <w:p w:rsidR="0013340D" w:rsidRDefault="0013340D" w:rsidP="0013340D">
      <w:pPr>
        <w:rPr>
          <w:sz w:val="14"/>
        </w:rPr>
      </w:pPr>
      <w:r w:rsidRPr="00A6268A">
        <w:rPr>
          <w:rStyle w:val="StyleUnderline"/>
        </w:rPr>
        <w:t>The US government’s claims to universalism, responsibility and morality, meanwhile, were</w:t>
      </w:r>
      <w:r>
        <w:rPr>
          <w:rStyle w:val="StyleUnderline"/>
        </w:rPr>
        <w:t xml:space="preserve"> </w:t>
      </w:r>
      <w:r w:rsidRPr="00A6268A">
        <w:rPr>
          <w:rStyle w:val="StyleUnderline"/>
        </w:rPr>
        <w:t>more unilateralist and interest-based in character</w:t>
      </w:r>
      <w:r w:rsidRPr="0043323E">
        <w:rPr>
          <w:sz w:val="14"/>
        </w:rPr>
        <w:t xml:space="preserve">. </w:t>
      </w:r>
      <w:r w:rsidRPr="00A6268A">
        <w:rPr>
          <w:rStyle w:val="StyleUnderline"/>
        </w:rPr>
        <w:t>Its delegation was much more explicit</w:t>
      </w:r>
      <w:r>
        <w:rPr>
          <w:rStyle w:val="StyleUnderline"/>
        </w:rPr>
        <w:t xml:space="preserve"> </w:t>
      </w:r>
      <w:r w:rsidRPr="00A6268A">
        <w:rPr>
          <w:rStyle w:val="StyleUnderline"/>
        </w:rPr>
        <w:t>about bringing the rest of world up to its ‘responsible’ standards for ‘legitimate’ transfers,69</w:t>
      </w:r>
      <w:r>
        <w:rPr>
          <w:rStyle w:val="StyleUnderline"/>
        </w:rPr>
        <w:t xml:space="preserve"> </w:t>
      </w:r>
      <w:r w:rsidRPr="00A6268A">
        <w:rPr>
          <w:rStyle w:val="StyleUnderline"/>
        </w:rPr>
        <w:t>with its system understood as ‘the “gold standard” of export controls’</w:t>
      </w:r>
      <w:r w:rsidRPr="0043323E">
        <w:rPr>
          <w:sz w:val="14"/>
        </w:rPr>
        <w:t xml:space="preserve">.70 The ATT would serve as a ‘trifecta’ of peace, security and human rights for the USA.71 </w:t>
      </w:r>
      <w:r w:rsidRPr="00A6268A">
        <w:rPr>
          <w:rStyle w:val="StyleUnderline"/>
        </w:rPr>
        <w:t>US arms transfers are carried</w:t>
      </w:r>
      <w:r>
        <w:rPr>
          <w:rStyle w:val="StyleUnderline"/>
        </w:rPr>
        <w:t xml:space="preserve"> </w:t>
      </w:r>
      <w:r w:rsidRPr="00A6268A">
        <w:rPr>
          <w:rStyle w:val="StyleUnderline"/>
        </w:rPr>
        <w:t>out for ‘one main reason: to further US national security interests’ – they are ‘an unequivocal</w:t>
      </w:r>
      <w:r>
        <w:rPr>
          <w:rStyle w:val="StyleUnderline"/>
        </w:rPr>
        <w:t xml:space="preserve"> </w:t>
      </w:r>
      <w:r w:rsidRPr="00A6268A">
        <w:rPr>
          <w:rStyle w:val="StyleUnderline"/>
        </w:rPr>
        <w:t>signal to those who seek to counter US interests or undermine international norms’.</w:t>
      </w:r>
      <w:r w:rsidRPr="0043323E">
        <w:rPr>
          <w:sz w:val="14"/>
        </w:rPr>
        <w:t xml:space="preserve">72 </w:t>
      </w:r>
      <w:r w:rsidRPr="00A6268A">
        <w:rPr>
          <w:rStyle w:val="StyleUnderline"/>
        </w:rPr>
        <w:t>This</w:t>
      </w:r>
      <w:r>
        <w:rPr>
          <w:rStyle w:val="StyleUnderline"/>
        </w:rPr>
        <w:t xml:space="preserve"> </w:t>
      </w:r>
      <w:r w:rsidRPr="00A6268A">
        <w:rPr>
          <w:rStyle w:val="StyleUnderline"/>
        </w:rPr>
        <w:t>alignment of US interests with international norms serves to elide the empirical patterns</w:t>
      </w:r>
      <w:r>
        <w:rPr>
          <w:rStyle w:val="StyleUnderline"/>
        </w:rPr>
        <w:t xml:space="preserve"> </w:t>
      </w:r>
      <w:r w:rsidRPr="0043323E">
        <w:rPr>
          <w:sz w:val="14"/>
        </w:rPr>
        <w:t xml:space="preserve">identified earlier </w:t>
      </w:r>
      <w:r w:rsidRPr="00A6268A">
        <w:rPr>
          <w:rStyle w:val="StyleUnderline"/>
        </w:rPr>
        <w:t>and there is a clear political move at stake, which is much more acceptable</w:t>
      </w:r>
      <w:r>
        <w:rPr>
          <w:rStyle w:val="StyleUnderline"/>
        </w:rPr>
        <w:t xml:space="preserve"> </w:t>
      </w:r>
      <w:r w:rsidRPr="00A6268A">
        <w:rPr>
          <w:rStyle w:val="StyleUnderline"/>
        </w:rPr>
        <w:t xml:space="preserve">in US political speech </w:t>
      </w:r>
      <w:r w:rsidRPr="0043323E">
        <w:rPr>
          <w:sz w:val="14"/>
        </w:rPr>
        <w:t xml:space="preserve">than in British: ‘the regulatory elegance of export control systems aside, it is the arms transfer policies of governments that matter most’.73 In January 2014 the White House announced the first Presidential Policy Directive on conventional arms transfer policy since 1995. While ‘the importance of protecting fundamental freedoms and human rights hasn’t changed’, it needed to be ‘more prominently reflected’.74 </w:t>
      </w:r>
      <w:r w:rsidRPr="00F66B73">
        <w:rPr>
          <w:rStyle w:val="StyleUnderline"/>
        </w:rPr>
        <w:t>A norms-based argument might argue that the fact the US government feels</w:t>
      </w:r>
      <w:r>
        <w:rPr>
          <w:rStyle w:val="StyleUnderline"/>
        </w:rPr>
        <w:t xml:space="preserve"> </w:t>
      </w:r>
      <w:r w:rsidRPr="00F66B73">
        <w:rPr>
          <w:rStyle w:val="StyleUnderline"/>
        </w:rPr>
        <w:t>the need to reflect it more prominently is a positive effect of the ATT</w:t>
      </w:r>
      <w:r w:rsidRPr="0043323E">
        <w:rPr>
          <w:sz w:val="14"/>
        </w:rPr>
        <w:t xml:space="preserve">. </w:t>
      </w:r>
      <w:r w:rsidRPr="00F66B73">
        <w:rPr>
          <w:rStyle w:val="Emphasis"/>
        </w:rPr>
        <w:t>But the government</w:t>
      </w:r>
      <w:r>
        <w:rPr>
          <w:rStyle w:val="Emphasis"/>
        </w:rPr>
        <w:t xml:space="preserve"> </w:t>
      </w:r>
      <w:r w:rsidRPr="00F66B73">
        <w:rPr>
          <w:rStyle w:val="Emphasis"/>
        </w:rPr>
        <w:t xml:space="preserve">was simultaneously clear that the ATT will make no difference to its </w:t>
      </w:r>
      <w:proofErr w:type="gramStart"/>
      <w:r w:rsidRPr="00F66B73">
        <w:rPr>
          <w:rStyle w:val="Emphasis"/>
        </w:rPr>
        <w:t>practice, and</w:t>
      </w:r>
      <w:proofErr w:type="gramEnd"/>
      <w:r w:rsidRPr="00F66B73">
        <w:rPr>
          <w:rStyle w:val="Emphasis"/>
        </w:rPr>
        <w:t xml:space="preserve"> has been</w:t>
      </w:r>
      <w:r>
        <w:rPr>
          <w:rStyle w:val="Emphasis"/>
        </w:rPr>
        <w:t xml:space="preserve"> </w:t>
      </w:r>
      <w:r w:rsidRPr="00F66B73">
        <w:rPr>
          <w:rStyle w:val="Emphasis"/>
        </w:rPr>
        <w:t>enacting an Export Control Initiative that further streamlines export licensing.</w:t>
      </w:r>
      <w:r w:rsidRPr="0043323E">
        <w:rPr>
          <w:sz w:val="14"/>
        </w:rPr>
        <w:t xml:space="preserve"> </w:t>
      </w:r>
      <w:r w:rsidRPr="00F66B73">
        <w:rPr>
          <w:rStyle w:val="StyleUnderline"/>
        </w:rPr>
        <w:t>In this, ‘less</w:t>
      </w:r>
      <w:r>
        <w:rPr>
          <w:rStyle w:val="StyleUnderline"/>
        </w:rPr>
        <w:t xml:space="preserve"> </w:t>
      </w:r>
      <w:r w:rsidRPr="00F66B73">
        <w:rPr>
          <w:rStyle w:val="StyleUnderline"/>
        </w:rPr>
        <w:t>sensitive’ items will be moved to a Commerce Control List away from a Military List, putting</w:t>
      </w:r>
      <w:r>
        <w:rPr>
          <w:rStyle w:val="StyleUnderline"/>
        </w:rPr>
        <w:t xml:space="preserve"> </w:t>
      </w:r>
      <w:r w:rsidRPr="00F66B73">
        <w:rPr>
          <w:rStyle w:val="StyleUnderline"/>
        </w:rPr>
        <w:t>‘higher fences round fewer items’ but also leading to less statutory involvement of Congress</w:t>
      </w:r>
      <w:r>
        <w:rPr>
          <w:rStyle w:val="StyleUnderline"/>
        </w:rPr>
        <w:t xml:space="preserve"> </w:t>
      </w:r>
      <w:r w:rsidRPr="00F66B73">
        <w:rPr>
          <w:rStyle w:val="StyleUnderline"/>
        </w:rPr>
        <w:t>in decision making and a re-</w:t>
      </w:r>
      <w:proofErr w:type="spellStart"/>
      <w:r w:rsidRPr="00F66B73">
        <w:rPr>
          <w:rStyle w:val="StyleUnderline"/>
        </w:rPr>
        <w:t>categorisation</w:t>
      </w:r>
      <w:proofErr w:type="spellEnd"/>
      <w:r w:rsidRPr="00F66B73">
        <w:rPr>
          <w:rStyle w:val="StyleUnderline"/>
        </w:rPr>
        <w:t xml:space="preserve"> of lists primarily based on military threats to the</w:t>
      </w:r>
      <w:r>
        <w:rPr>
          <w:rStyle w:val="StyleUnderline"/>
        </w:rPr>
        <w:t xml:space="preserve"> </w:t>
      </w:r>
      <w:r w:rsidRPr="00F66B73">
        <w:rPr>
          <w:rStyle w:val="StyleUnderline"/>
        </w:rPr>
        <w:t>USA, ‘</w:t>
      </w:r>
      <w:r w:rsidRPr="00F66B73">
        <w:rPr>
          <w:rStyle w:val="Emphasis"/>
        </w:rPr>
        <w:t>diminishing the ability to use the controls to deny exports to human rights abusers’</w:t>
      </w:r>
      <w:r w:rsidRPr="0043323E">
        <w:rPr>
          <w:sz w:val="14"/>
        </w:rPr>
        <w:t xml:space="preserve">.75 A focus on two specific cases – arms transfers to Egypt during the Arab Spring, and intra-Western transfers for use in liberal wars of choice – illustrates the argument in more detail. </w:t>
      </w:r>
      <w:r w:rsidRPr="00F66B73">
        <w:rPr>
          <w:rStyle w:val="StyleUnderline"/>
        </w:rPr>
        <w:t xml:space="preserve">Discourses of risk have been embedded into arms trade regulation, yet the continuities in US–UK practice suggest that they serve a </w:t>
      </w:r>
      <w:r w:rsidRPr="00F66B73">
        <w:rPr>
          <w:rStyle w:val="Emphasis"/>
        </w:rPr>
        <w:t>primarily legitimating purpose</w:t>
      </w:r>
      <w:r w:rsidRPr="00F66B73">
        <w:rPr>
          <w:rStyle w:val="StyleUnderline"/>
        </w:rPr>
        <w:t>. The</w:t>
      </w:r>
      <w:r>
        <w:rPr>
          <w:rStyle w:val="StyleUnderline"/>
        </w:rPr>
        <w:t xml:space="preserve"> </w:t>
      </w:r>
      <w:r w:rsidRPr="00F66B73">
        <w:rPr>
          <w:rStyle w:val="StyleUnderline"/>
        </w:rPr>
        <w:t>risk assessment process allows liberal states to continue preparing for war and supporting</w:t>
      </w:r>
      <w:r>
        <w:rPr>
          <w:rStyle w:val="StyleUnderline"/>
        </w:rPr>
        <w:t xml:space="preserve"> </w:t>
      </w:r>
      <w:r w:rsidRPr="00F66B73">
        <w:rPr>
          <w:rStyle w:val="StyleUnderline"/>
        </w:rPr>
        <w:t>war-making institutions, capitalist development and restricted forms of politics overseas,</w:t>
      </w:r>
      <w:r>
        <w:rPr>
          <w:rStyle w:val="StyleUnderline"/>
        </w:rPr>
        <w:t xml:space="preserve"> </w:t>
      </w:r>
      <w:r w:rsidRPr="00F66B73">
        <w:rPr>
          <w:rStyle w:val="StyleUnderline"/>
        </w:rPr>
        <w:t>and simultaneously to claim the mantle of morality and responsibility</w:t>
      </w:r>
      <w:r w:rsidRPr="0043323E">
        <w:rPr>
          <w:sz w:val="14"/>
        </w:rPr>
        <w:t xml:space="preserve">. Krause identifies a logic of governmentality in arms control, in which forms of regulation burrow deep into the domestic politics of states. Accompanying this has been a ‘normative evolution’ around ‘who could legitimately use what kinds of violence against which people or groups and under what circumstances.”76 </w:t>
      </w:r>
      <w:r w:rsidRPr="00F145C3">
        <w:rPr>
          <w:rStyle w:val="StyleUnderline"/>
        </w:rPr>
        <w:t xml:space="preserve">While there are indeed increasingly complex and </w:t>
      </w:r>
      <w:proofErr w:type="spellStart"/>
      <w:r w:rsidRPr="00F145C3">
        <w:rPr>
          <w:rStyle w:val="StyleUnderline"/>
        </w:rPr>
        <w:t>bureaucratised</w:t>
      </w:r>
      <w:proofErr w:type="spellEnd"/>
      <w:r w:rsidRPr="00F145C3">
        <w:rPr>
          <w:rStyle w:val="StyleUnderline"/>
        </w:rPr>
        <w:t xml:space="preserve"> processes</w:t>
      </w:r>
      <w:r>
        <w:rPr>
          <w:rStyle w:val="StyleUnderline"/>
        </w:rPr>
        <w:t xml:space="preserve"> </w:t>
      </w:r>
      <w:r w:rsidRPr="00F145C3">
        <w:rPr>
          <w:rStyle w:val="StyleUnderline"/>
        </w:rPr>
        <w:t>of risk management around arms transfer regulation, this supposed normative evolution</w:t>
      </w:r>
      <w:r>
        <w:rPr>
          <w:rStyle w:val="StyleUnderline"/>
        </w:rPr>
        <w:t xml:space="preserve"> </w:t>
      </w:r>
      <w:r w:rsidRPr="00F145C3">
        <w:rPr>
          <w:rStyle w:val="StyleUnderline"/>
        </w:rPr>
        <w:t xml:space="preserve">has not restrained historically long-standing patterns of liberal use of violence against </w:t>
      </w:r>
      <w:proofErr w:type="spellStart"/>
      <w:r w:rsidRPr="00F145C3">
        <w:rPr>
          <w:rStyle w:val="StyleUnderline"/>
        </w:rPr>
        <w:t>nonliberal</w:t>
      </w:r>
      <w:proofErr w:type="spellEnd"/>
      <w:r w:rsidRPr="00F145C3">
        <w:rPr>
          <w:rStyle w:val="StyleUnderline"/>
        </w:rPr>
        <w:t xml:space="preserve"> societies, nor support for violence in the non-European world</w:t>
      </w:r>
      <w:r w:rsidRPr="0043323E">
        <w:rPr>
          <w:sz w:val="14"/>
        </w:rPr>
        <w:t>. While the burgeoning</w:t>
      </w:r>
      <w:r>
        <w:rPr>
          <w:rStyle w:val="StyleUnderline"/>
        </w:rPr>
        <w:t xml:space="preserve"> </w:t>
      </w:r>
      <w:r w:rsidRPr="0043323E">
        <w:rPr>
          <w:sz w:val="14"/>
        </w:rPr>
        <w:t xml:space="preserve">literature on risk ‘has shifted security away from the register of war and violence’,77 </w:t>
      </w:r>
      <w:r w:rsidRPr="00F145C3">
        <w:rPr>
          <w:rStyle w:val="StyleUnderline"/>
        </w:rPr>
        <w:t>the incorporation of risk into arms trade regulation is better understood in terms of the maintenance</w:t>
      </w:r>
      <w:r w:rsidRPr="0043323E">
        <w:rPr>
          <w:sz w:val="14"/>
        </w:rPr>
        <w:t xml:space="preserve"> </w:t>
      </w:r>
      <w:r w:rsidRPr="00F145C3">
        <w:rPr>
          <w:rStyle w:val="StyleUnderline"/>
        </w:rPr>
        <w:t>of the legitimacy of war in the West</w:t>
      </w:r>
      <w:r w:rsidRPr="0043323E">
        <w:rPr>
          <w:sz w:val="14"/>
        </w:rPr>
        <w:t>.78 This is not to say that modes of control have not been changing in recent decades: the shift to democracy promotion since the 1980s may generate Downloaded by [</w:t>
      </w:r>
      <w:proofErr w:type="spellStart"/>
      <w:r w:rsidRPr="0043323E">
        <w:rPr>
          <w:sz w:val="14"/>
        </w:rPr>
        <w:t>Universite</w:t>
      </w:r>
      <w:proofErr w:type="spellEnd"/>
      <w:r w:rsidRPr="0043323E">
        <w:rPr>
          <w:sz w:val="14"/>
        </w:rPr>
        <w:t xml:space="preserve"> Laval] at 22:07 03 April 2016 848 A. </w:t>
      </w:r>
      <w:proofErr w:type="spellStart"/>
      <w:r w:rsidRPr="0043323E">
        <w:rPr>
          <w:sz w:val="14"/>
        </w:rPr>
        <w:t>Stavrianakis</w:t>
      </w:r>
      <w:proofErr w:type="spellEnd"/>
      <w:r w:rsidRPr="0043323E">
        <w:rPr>
          <w:sz w:val="14"/>
        </w:rPr>
        <w:t xml:space="preserve"> ‘a more resilient form of social control than authoritarian and dictatorial rule’,79 and capitalism has long featured combinations of consensual and coercive modes of rule. </w:t>
      </w:r>
    </w:p>
    <w:p w:rsidR="009559DC" w:rsidRDefault="009559DC" w:rsidP="009559DC"/>
    <w:p w:rsidR="009559DC" w:rsidRDefault="009559DC" w:rsidP="00E44EC5">
      <w:pPr>
        <w:rPr>
          <w:sz w:val="16"/>
        </w:rPr>
      </w:pPr>
    </w:p>
    <w:p w:rsidR="00E44EC5" w:rsidRDefault="0013340D" w:rsidP="0013340D">
      <w:pPr>
        <w:pStyle w:val="Heading2"/>
      </w:pPr>
      <w:r>
        <w:lastRenderedPageBreak/>
        <w:t>**</w:t>
      </w:r>
      <w:r w:rsidR="00E44EC5">
        <w:t>AT: Stop Trafficking CP</w:t>
      </w:r>
      <w:r>
        <w:t>**</w:t>
      </w:r>
    </w:p>
    <w:p w:rsidR="0013340D" w:rsidRPr="0013340D" w:rsidRDefault="0013340D" w:rsidP="0013340D">
      <w:pPr>
        <w:pStyle w:val="Heading3"/>
      </w:pPr>
      <w:r>
        <w:lastRenderedPageBreak/>
        <w:t>U.S. Law Circumvents</w:t>
      </w:r>
    </w:p>
    <w:p w:rsidR="00E44EC5" w:rsidRDefault="00E44EC5" w:rsidP="00E44EC5">
      <w:pPr>
        <w:pStyle w:val="Heading4"/>
      </w:pPr>
      <w:r>
        <w:t>American internal issues circumvent anti-trafficking laws</w:t>
      </w:r>
    </w:p>
    <w:p w:rsidR="00E44EC5" w:rsidRDefault="00E44EC5" w:rsidP="00E44EC5">
      <w:r w:rsidRPr="003203BB">
        <w:rPr>
          <w:rStyle w:val="Style13ptBold"/>
        </w:rPr>
        <w:t xml:space="preserve">Martinez 19 </w:t>
      </w:r>
      <w:r>
        <w:t>(</w:t>
      </w:r>
      <w:r w:rsidRPr="003203BB">
        <w:t>Gabriela Martinez</w:t>
      </w:r>
      <w:r>
        <w:t xml:space="preserve">, </w:t>
      </w:r>
      <w:r w:rsidRPr="00EE343C">
        <w:t>News Assistant at PBS NewsHour</w:t>
      </w:r>
      <w:r>
        <w:t xml:space="preserve">, “The flow of guns from the U.S. to Mexico is getting lost in the border debate,” Jun 12, 2019, </w:t>
      </w:r>
      <w:hyperlink r:id="rId53" w:history="1">
        <w:r w:rsidRPr="004C5F63">
          <w:rPr>
            <w:rStyle w:val="Hyperlink"/>
          </w:rPr>
          <w:t>https://www.pbs.org/newshour/politics/the-flow-of-guns-from-the-u-s-to-mexico-is-getting-lost-in-the-border-debate</w:t>
        </w:r>
      </w:hyperlink>
      <w:r>
        <w:t xml:space="preserve"> ) //</w:t>
      </w:r>
      <w:proofErr w:type="spellStart"/>
      <w:r>
        <w:t>ZoL</w:t>
      </w:r>
      <w:proofErr w:type="spellEnd"/>
    </w:p>
    <w:p w:rsidR="00E44EC5" w:rsidRPr="00C56C72" w:rsidRDefault="00E44EC5" w:rsidP="00E44EC5">
      <w:pPr>
        <w:rPr>
          <w:sz w:val="16"/>
        </w:rPr>
      </w:pPr>
      <w:r w:rsidRPr="00C56C72">
        <w:rPr>
          <w:sz w:val="16"/>
        </w:rPr>
        <w:t xml:space="preserve">What’s more, </w:t>
      </w:r>
      <w:r w:rsidRPr="00A81270">
        <w:rPr>
          <w:u w:val="single"/>
        </w:rPr>
        <w:t xml:space="preserve">informal firearm transactions on the </w:t>
      </w:r>
      <w:r w:rsidRPr="00C56C72">
        <w:rPr>
          <w:sz w:val="16"/>
        </w:rPr>
        <w:t>so-called “</w:t>
      </w:r>
      <w:r w:rsidRPr="00A81270">
        <w:rPr>
          <w:u w:val="single"/>
        </w:rPr>
        <w:t>gray market</w:t>
      </w:r>
      <w:r w:rsidRPr="00C56C72">
        <w:rPr>
          <w:sz w:val="16"/>
        </w:rPr>
        <w:t xml:space="preserve">” — </w:t>
      </w:r>
      <w:r w:rsidRPr="00A81270">
        <w:rPr>
          <w:u w:val="single"/>
        </w:rPr>
        <w:t>sales that occur on the margins of the legal, regulated gun market</w:t>
      </w:r>
      <w:r w:rsidRPr="00C56C72">
        <w:rPr>
          <w:sz w:val="16"/>
        </w:rPr>
        <w:t xml:space="preserve"> — </w:t>
      </w:r>
      <w:r w:rsidRPr="00A81270">
        <w:rPr>
          <w:rStyle w:val="Emphasis"/>
        </w:rPr>
        <w:t>are exceedingly difficult to monitor</w:t>
      </w:r>
      <w:r w:rsidRPr="00C56C72">
        <w:rPr>
          <w:sz w:val="16"/>
        </w:rPr>
        <w:t xml:space="preserve">. That’s because </w:t>
      </w:r>
      <w:r w:rsidRPr="00A81270">
        <w:rPr>
          <w:u w:val="single"/>
        </w:rPr>
        <w:t>straw buyers often resell the guns they buy online</w:t>
      </w:r>
      <w:r w:rsidRPr="00C56C72">
        <w:rPr>
          <w:sz w:val="16"/>
        </w:rPr>
        <w:t xml:space="preserve">, </w:t>
      </w:r>
      <w:r w:rsidRPr="00A81270">
        <w:rPr>
          <w:rStyle w:val="Emphasis"/>
        </w:rPr>
        <w:t>where it is sometimes possible to purchase guns without a background check</w:t>
      </w:r>
      <w:r w:rsidRPr="00C56C72">
        <w:rPr>
          <w:sz w:val="16"/>
        </w:rPr>
        <w:t xml:space="preserve">. And while </w:t>
      </w:r>
      <w:r w:rsidRPr="00A81270">
        <w:rPr>
          <w:u w:val="single"/>
        </w:rPr>
        <w:t xml:space="preserve">some states </w:t>
      </w:r>
      <w:r w:rsidRPr="00C56C72">
        <w:rPr>
          <w:sz w:val="16"/>
        </w:rPr>
        <w:t xml:space="preserve">require a licensed intermediary for private gun sales, others </w:t>
      </w:r>
      <w:r w:rsidRPr="00A81270">
        <w:rPr>
          <w:u w:val="single"/>
        </w:rPr>
        <w:t>have no regulations on private sales</w:t>
      </w:r>
      <w:r w:rsidRPr="00C56C72">
        <w:rPr>
          <w:sz w:val="16"/>
        </w:rPr>
        <w:t xml:space="preserve">. </w:t>
      </w:r>
      <w:r w:rsidRPr="00A81270">
        <w:rPr>
          <w:u w:val="single"/>
        </w:rPr>
        <w:t>The issue could be tackled by eliminating the gray market and requiring all sellers and purchasers to complete their transactions, including online sales, through a licensed dealer</w:t>
      </w:r>
      <w:r w:rsidRPr="00C56C72">
        <w:rPr>
          <w:sz w:val="16"/>
        </w:rPr>
        <w:t xml:space="preserve">, </w:t>
      </w:r>
      <w:proofErr w:type="spellStart"/>
      <w:r w:rsidRPr="00C56C72">
        <w:rPr>
          <w:sz w:val="16"/>
        </w:rPr>
        <w:t>Zapor</w:t>
      </w:r>
      <w:proofErr w:type="spellEnd"/>
      <w:r w:rsidRPr="00C56C72">
        <w:rPr>
          <w:sz w:val="16"/>
        </w:rPr>
        <w:t xml:space="preserve"> said. “</w:t>
      </w:r>
      <w:r w:rsidRPr="00032242">
        <w:rPr>
          <w:u w:val="single"/>
        </w:rPr>
        <w:t>The [gun] manufacturers don’t want this because the gray market accounts for millions, multiple millions of dollars in revenue from firearm sales</w:t>
      </w:r>
      <w:r w:rsidRPr="00C56C72">
        <w:rPr>
          <w:sz w:val="16"/>
        </w:rPr>
        <w:t xml:space="preserve">,” </w:t>
      </w:r>
      <w:proofErr w:type="spellStart"/>
      <w:r w:rsidRPr="00C56C72">
        <w:rPr>
          <w:sz w:val="16"/>
        </w:rPr>
        <w:t>Zapor</w:t>
      </w:r>
      <w:proofErr w:type="spellEnd"/>
      <w:r w:rsidRPr="00C56C72">
        <w:rPr>
          <w:sz w:val="16"/>
        </w:rPr>
        <w:t xml:space="preserve"> said. </w:t>
      </w:r>
      <w:r w:rsidRPr="00032242">
        <w:rPr>
          <w:u w:val="single"/>
        </w:rPr>
        <w:t>According to a 2017 study published in the Annals of Internal Medicine</w:t>
      </w:r>
      <w:r w:rsidRPr="00C56C72">
        <w:rPr>
          <w:sz w:val="16"/>
        </w:rPr>
        <w:t xml:space="preserve">, </w:t>
      </w:r>
      <w:r w:rsidRPr="00032242">
        <w:rPr>
          <w:rStyle w:val="Emphasis"/>
        </w:rPr>
        <w:t>22 percent of people who acquired a gun in the U.S. in the previous two years did so without a background check</w:t>
      </w:r>
      <w:r w:rsidRPr="00C56C72">
        <w:rPr>
          <w:sz w:val="16"/>
        </w:rPr>
        <w:t xml:space="preserve">. </w:t>
      </w:r>
      <w:r w:rsidRPr="00032242">
        <w:rPr>
          <w:u w:val="single"/>
        </w:rPr>
        <w:t>Others pointed to lax regulations at gun shows as another factor driving gun trafficking</w:t>
      </w:r>
      <w:r w:rsidRPr="00C56C72">
        <w:rPr>
          <w:sz w:val="16"/>
        </w:rPr>
        <w:t>. “The exceptions made at gun shows certainly are a weak spot, I would say for the United States and for Mexico,” Wood said. “</w:t>
      </w:r>
      <w:r w:rsidRPr="00032242">
        <w:rPr>
          <w:u w:val="single"/>
        </w:rPr>
        <w:t xml:space="preserve">A lot of </w:t>
      </w:r>
      <w:r w:rsidRPr="00C56C72">
        <w:rPr>
          <w:sz w:val="16"/>
        </w:rPr>
        <w:t xml:space="preserve">those </w:t>
      </w:r>
      <w:r w:rsidRPr="00032242">
        <w:rPr>
          <w:u w:val="single"/>
        </w:rPr>
        <w:t xml:space="preserve">purchases </w:t>
      </w:r>
      <w:r w:rsidRPr="00C56C72">
        <w:rPr>
          <w:sz w:val="16"/>
        </w:rPr>
        <w:t xml:space="preserve">that </w:t>
      </w:r>
      <w:r w:rsidRPr="00032242">
        <w:rPr>
          <w:u w:val="single"/>
        </w:rPr>
        <w:t>take place in gun shows</w:t>
      </w:r>
      <w:r w:rsidRPr="00C56C72">
        <w:rPr>
          <w:sz w:val="16"/>
        </w:rPr>
        <w:t xml:space="preserve">, typically take place </w:t>
      </w:r>
      <w:r w:rsidRPr="00032242">
        <w:rPr>
          <w:u w:val="single"/>
        </w:rPr>
        <w:t>close to the border</w:t>
      </w:r>
      <w:r w:rsidRPr="00C56C72">
        <w:rPr>
          <w:sz w:val="16"/>
        </w:rPr>
        <w:t xml:space="preserve">.” </w:t>
      </w:r>
      <w:r w:rsidRPr="00032242">
        <w:rPr>
          <w:rStyle w:val="Emphasis"/>
        </w:rPr>
        <w:t>The lack of a federal database of gun serial numbers and transactions in the U.S. plays a role as well in stymying efforts to stop trafficking</w:t>
      </w:r>
      <w:r w:rsidRPr="00C56C72">
        <w:rPr>
          <w:sz w:val="16"/>
        </w:rPr>
        <w:t xml:space="preserve">. </w:t>
      </w:r>
      <w:r w:rsidRPr="00032242">
        <w:rPr>
          <w:u w:val="single"/>
        </w:rPr>
        <w:t xml:space="preserve">U.S. gun laws prohibit a national registry, which means that there </w:t>
      </w:r>
      <w:proofErr w:type="gramStart"/>
      <w:r w:rsidRPr="00032242">
        <w:rPr>
          <w:u w:val="single"/>
        </w:rPr>
        <w:t>is</w:t>
      </w:r>
      <w:proofErr w:type="gramEnd"/>
      <w:r w:rsidRPr="00032242">
        <w:rPr>
          <w:u w:val="single"/>
        </w:rPr>
        <w:t xml:space="preserve"> no database tracking gun transactions</w:t>
      </w:r>
      <w:r w:rsidRPr="00C56C72">
        <w:rPr>
          <w:sz w:val="16"/>
        </w:rPr>
        <w:t xml:space="preserve">. </w:t>
      </w:r>
      <w:r w:rsidRPr="00032242">
        <w:rPr>
          <w:rStyle w:val="Emphasis"/>
        </w:rPr>
        <w:t>ATF is not allowed to keep a database of gun owners</w:t>
      </w:r>
      <w:r w:rsidRPr="00C56C72">
        <w:rPr>
          <w:sz w:val="16"/>
        </w:rPr>
        <w:t xml:space="preserve">. (Mexico has a database of gun applications and licenses maintained by the Secretariat of National Defense.) </w:t>
      </w:r>
      <w:r w:rsidRPr="00032242">
        <w:rPr>
          <w:u w:val="single"/>
        </w:rPr>
        <w:t>When ATF wants information on a firearm, the agency “will reach out to the gun store</w:t>
      </w:r>
      <w:r w:rsidRPr="00C56C72">
        <w:rPr>
          <w:sz w:val="16"/>
        </w:rPr>
        <w:t>, and then they will rely on the gun story to provide that data,” said Colby Goodman, a firearm expert and former director of Security Assistance, an organization dedicated to making information about U.S. security and defense assistance programs publicly available. “</w:t>
      </w:r>
      <w:r w:rsidRPr="00032242">
        <w:rPr>
          <w:u w:val="single"/>
        </w:rPr>
        <w:t>But if the gun store is in on it, you’re not going to get the right information</w:t>
      </w:r>
      <w:r w:rsidRPr="00C56C72">
        <w:rPr>
          <w:sz w:val="16"/>
        </w:rPr>
        <w:t xml:space="preserve">,” he added. In interviews, </w:t>
      </w:r>
      <w:r w:rsidRPr="00032242">
        <w:rPr>
          <w:rStyle w:val="Emphasis"/>
        </w:rPr>
        <w:t>several owners of gun stores along the U.S.-Mexico border said they did not think stricter regulations would stop gun trafficking</w:t>
      </w:r>
      <w:r w:rsidRPr="00C56C72">
        <w:rPr>
          <w:sz w:val="16"/>
        </w:rPr>
        <w:t>.</w:t>
      </w:r>
    </w:p>
    <w:p w:rsidR="00405D4B" w:rsidRDefault="0013340D" w:rsidP="0013340D">
      <w:pPr>
        <w:pStyle w:val="Heading2"/>
      </w:pPr>
      <w:r>
        <w:lastRenderedPageBreak/>
        <w:t>**AT: Random Planks**</w:t>
      </w:r>
    </w:p>
    <w:p w:rsidR="0013340D" w:rsidRPr="00676953" w:rsidRDefault="0013340D" w:rsidP="0013340D">
      <w:pPr>
        <w:pStyle w:val="Heading3"/>
        <w:rPr>
          <w:rFonts w:asciiTheme="majorHAnsi" w:hAnsiTheme="majorHAnsi" w:cstheme="majorHAnsi"/>
        </w:rPr>
      </w:pPr>
      <w:r w:rsidRPr="00676953">
        <w:rPr>
          <w:rFonts w:asciiTheme="majorHAnsi" w:hAnsiTheme="majorHAnsi" w:cstheme="majorHAnsi"/>
        </w:rPr>
        <w:lastRenderedPageBreak/>
        <w:t>AT: Add Women and Stir</w:t>
      </w:r>
    </w:p>
    <w:p w:rsidR="0013340D" w:rsidRPr="00676953" w:rsidRDefault="00834AE9" w:rsidP="0013340D">
      <w:pPr>
        <w:pStyle w:val="Heading4"/>
        <w:rPr>
          <w:rFonts w:asciiTheme="majorHAnsi" w:hAnsiTheme="majorHAnsi" w:cstheme="majorHAnsi"/>
        </w:rPr>
      </w:pPr>
      <w:r>
        <w:rPr>
          <w:rFonts w:asciiTheme="majorHAnsi" w:hAnsiTheme="majorHAnsi" w:cstheme="majorHAnsi"/>
        </w:rPr>
        <w:t>That’s essentialist!</w:t>
      </w:r>
    </w:p>
    <w:p w:rsidR="0013340D" w:rsidRPr="00676953" w:rsidRDefault="0013340D" w:rsidP="0013340D">
      <w:pPr>
        <w:rPr>
          <w:rStyle w:val="Style13ptBold"/>
          <w:rFonts w:asciiTheme="majorHAnsi" w:hAnsiTheme="majorHAnsi" w:cstheme="majorHAnsi"/>
        </w:rPr>
      </w:pPr>
      <w:r w:rsidRPr="00676953">
        <w:rPr>
          <w:rStyle w:val="Style13ptBold"/>
          <w:rFonts w:asciiTheme="majorHAnsi" w:hAnsiTheme="majorHAnsi" w:cstheme="majorHAnsi"/>
        </w:rPr>
        <w:t>Farr 02</w:t>
      </w:r>
    </w:p>
    <w:p w:rsidR="0013340D" w:rsidRPr="00676953" w:rsidRDefault="0013340D" w:rsidP="0013340D">
      <w:pPr>
        <w:rPr>
          <w:rStyle w:val="Style13ptBold"/>
          <w:rFonts w:asciiTheme="majorHAnsi" w:hAnsiTheme="majorHAnsi" w:cstheme="majorHAnsi"/>
          <w:sz w:val="20"/>
          <w:szCs w:val="20"/>
        </w:rPr>
      </w:pPr>
      <w:r w:rsidRPr="00676953">
        <w:rPr>
          <w:rStyle w:val="Style13ptBold"/>
          <w:rFonts w:asciiTheme="majorHAnsi" w:hAnsiTheme="majorHAnsi" w:cstheme="majorHAnsi"/>
          <w:sz w:val="20"/>
          <w:szCs w:val="20"/>
        </w:rPr>
        <w:t>(Vanessa A. Farr, African Women’s Anti-War Coalition, A Gendered Analysis of International Agreements on Small Arms and Light Weapons, in Brief 24: Gender Perspectives on Small Arms and Light Weapons, Bonn International Center for Conversion, July 2002, http://www.seesac.org/f/tmp/files/failovi/210.pdf#page=25, JKS)</w:t>
      </w:r>
    </w:p>
    <w:p w:rsidR="0013340D" w:rsidRDefault="0013340D" w:rsidP="0013340D">
      <w:pPr>
        <w:rPr>
          <w:rFonts w:asciiTheme="majorHAnsi" w:hAnsiTheme="majorHAnsi" w:cstheme="majorHAnsi"/>
          <w:sz w:val="14"/>
        </w:rPr>
      </w:pPr>
      <w:r w:rsidRPr="002111E5">
        <w:rPr>
          <w:rStyle w:val="StyleUnderline"/>
        </w:rPr>
        <w:t>A conscious strategy of disarmament should be to engage with both women and men on the subject of SALW, but this is complicated by women’s often paradoxical relationship to firearms.</w:t>
      </w:r>
      <w:r w:rsidRPr="003314C7">
        <w:rPr>
          <w:rFonts w:asciiTheme="majorHAnsi" w:hAnsiTheme="majorHAnsi" w:cstheme="majorHAnsi"/>
          <w:sz w:val="14"/>
        </w:rPr>
        <w:t xml:space="preserve"> </w:t>
      </w:r>
      <w:r w:rsidRPr="002111E5">
        <w:rPr>
          <w:rStyle w:val="StyleUnderline"/>
        </w:rPr>
        <w:t>While it is true that their proliferation makes women’s safety much more precarious, it cannot be assumed that women will not participate in the smuggling and storage of small arms and ammunition. I</w:t>
      </w:r>
      <w:r w:rsidRPr="003314C7">
        <w:rPr>
          <w:rFonts w:asciiTheme="majorHAnsi" w:hAnsiTheme="majorHAnsi" w:cstheme="majorHAnsi"/>
          <w:sz w:val="14"/>
        </w:rPr>
        <w:t xml:space="preserve">n </w:t>
      </w:r>
      <w:r w:rsidRPr="002111E5">
        <w:rPr>
          <w:rStyle w:val="StyleUnderline"/>
        </w:rPr>
        <w:t>Sierra Leone, for example, women were very active movers of light weapons</w:t>
      </w:r>
      <w:r w:rsidRPr="003314C7">
        <w:rPr>
          <w:rFonts w:asciiTheme="majorHAnsi" w:hAnsiTheme="majorHAnsi" w:cstheme="majorHAnsi"/>
          <w:sz w:val="14"/>
        </w:rPr>
        <w:t xml:space="preserve"> (Mansaray, 2000 p. 148). In </w:t>
      </w:r>
      <w:r w:rsidRPr="002111E5">
        <w:rPr>
          <w:rStyle w:val="StyleUnderline"/>
        </w:rPr>
        <w:t>the liberation struggles in Namibia, South Africa and Zimbabwe, while relatively few women formally entered the armed struggle, large numbers were engaged in supporting the conflicts by other means such as arms smuggling</w:t>
      </w:r>
      <w:r w:rsidRPr="003314C7">
        <w:rPr>
          <w:rFonts w:asciiTheme="majorHAnsi" w:hAnsiTheme="majorHAnsi" w:cstheme="majorHAnsi"/>
          <w:sz w:val="14"/>
        </w:rPr>
        <w:t xml:space="preserve"> (Goldstein, 2001 p. 82). In the struggle years, the ownership and usage of arms was perceived as a legitimate means of supporting a political cause. </w:t>
      </w:r>
      <w:r w:rsidRPr="002111E5">
        <w:rPr>
          <w:rStyle w:val="StyleUnderline"/>
        </w:rPr>
        <w:t xml:space="preserve">As a result, </w:t>
      </w:r>
      <w:proofErr w:type="spellStart"/>
      <w:r w:rsidRPr="002111E5">
        <w:rPr>
          <w:rStyle w:val="StyleUnderline"/>
        </w:rPr>
        <w:t>laissezfaire</w:t>
      </w:r>
      <w:proofErr w:type="spellEnd"/>
      <w:r w:rsidRPr="002111E5">
        <w:rPr>
          <w:rStyle w:val="StyleUnderline"/>
        </w:rPr>
        <w:t xml:space="preserve"> attitudes to weapons became normalized.</w:t>
      </w:r>
      <w:r w:rsidRPr="003314C7">
        <w:rPr>
          <w:rFonts w:asciiTheme="majorHAnsi" w:hAnsiTheme="majorHAnsi" w:cstheme="majorHAnsi"/>
          <w:sz w:val="14"/>
        </w:rPr>
        <w:t xml:space="preserve"> In South Africa today, the price for casual attitudes to gun ownership is being paid in a spate of armed banditry as well as accidental deaths from gunshot wounds, the latter often involving children.</w:t>
      </w:r>
    </w:p>
    <w:p w:rsidR="00DE63C6" w:rsidRPr="003314C7" w:rsidRDefault="00DE63C6" w:rsidP="0013340D">
      <w:pPr>
        <w:rPr>
          <w:rFonts w:asciiTheme="majorHAnsi" w:hAnsiTheme="majorHAnsi" w:cstheme="majorHAnsi"/>
          <w:sz w:val="14"/>
        </w:rPr>
      </w:pPr>
    </w:p>
    <w:p w:rsidR="0013340D" w:rsidRPr="00676953" w:rsidRDefault="0013340D" w:rsidP="0013340D">
      <w:pPr>
        <w:pStyle w:val="Heading3"/>
        <w:rPr>
          <w:rFonts w:asciiTheme="majorHAnsi" w:hAnsiTheme="majorHAnsi" w:cstheme="majorHAnsi"/>
        </w:rPr>
      </w:pPr>
      <w:r w:rsidRPr="00676953">
        <w:rPr>
          <w:rFonts w:asciiTheme="majorHAnsi" w:hAnsiTheme="majorHAnsi" w:cstheme="majorHAnsi"/>
        </w:rPr>
        <w:lastRenderedPageBreak/>
        <w:t>AT: Change Approval Process CP</w:t>
      </w:r>
    </w:p>
    <w:p w:rsidR="0013340D" w:rsidRPr="00676953" w:rsidRDefault="00834AE9" w:rsidP="0013340D">
      <w:pPr>
        <w:pStyle w:val="Heading4"/>
        <w:rPr>
          <w:rFonts w:asciiTheme="majorHAnsi" w:hAnsiTheme="majorHAnsi" w:cstheme="majorHAnsi"/>
        </w:rPr>
      </w:pPr>
      <w:r>
        <w:rPr>
          <w:rFonts w:asciiTheme="majorHAnsi" w:hAnsiTheme="majorHAnsi" w:cstheme="majorHAnsi"/>
        </w:rPr>
        <w:t>Tinkering with the process fails- the U.S. will always find a way to approve the sale</w:t>
      </w:r>
    </w:p>
    <w:p w:rsidR="0013340D" w:rsidRPr="00676953" w:rsidRDefault="0013340D" w:rsidP="0013340D">
      <w:pPr>
        <w:rPr>
          <w:rStyle w:val="Style13ptBold"/>
          <w:rFonts w:asciiTheme="majorHAnsi" w:hAnsiTheme="majorHAnsi" w:cstheme="majorHAnsi"/>
        </w:rPr>
      </w:pPr>
      <w:r w:rsidRPr="00676953">
        <w:rPr>
          <w:rStyle w:val="Style13ptBold"/>
          <w:rFonts w:asciiTheme="majorHAnsi" w:hAnsiTheme="majorHAnsi" w:cstheme="majorHAnsi"/>
        </w:rPr>
        <w:t xml:space="preserve">Thrall and </w:t>
      </w:r>
      <w:proofErr w:type="spellStart"/>
      <w:r w:rsidRPr="00676953">
        <w:rPr>
          <w:rStyle w:val="Style13ptBold"/>
          <w:rFonts w:asciiTheme="majorHAnsi" w:hAnsiTheme="majorHAnsi" w:cstheme="majorHAnsi"/>
        </w:rPr>
        <w:t>Dorminey</w:t>
      </w:r>
      <w:proofErr w:type="spellEnd"/>
      <w:r w:rsidRPr="00676953">
        <w:rPr>
          <w:rStyle w:val="Style13ptBold"/>
          <w:rFonts w:asciiTheme="majorHAnsi" w:hAnsiTheme="majorHAnsi" w:cstheme="majorHAnsi"/>
        </w:rPr>
        <w:t xml:space="preserve"> 18</w:t>
      </w:r>
    </w:p>
    <w:p w:rsidR="0013340D" w:rsidRPr="00676953" w:rsidRDefault="0013340D" w:rsidP="0013340D">
      <w:pPr>
        <w:rPr>
          <w:rStyle w:val="Style13ptBold"/>
          <w:rFonts w:asciiTheme="majorHAnsi" w:hAnsiTheme="majorHAnsi" w:cstheme="majorHAnsi"/>
          <w:sz w:val="20"/>
          <w:szCs w:val="20"/>
        </w:rPr>
      </w:pPr>
      <w:r w:rsidRPr="00676953">
        <w:rPr>
          <w:rStyle w:val="Style13ptBold"/>
          <w:rFonts w:asciiTheme="majorHAnsi" w:hAnsiTheme="majorHAnsi" w:cstheme="majorHAnsi"/>
          <w:sz w:val="20"/>
          <w:szCs w:val="20"/>
        </w:rPr>
        <w:t xml:space="preserve">(Trevor Thrall is an associate professor at George Mason University’s </w:t>
      </w:r>
      <w:proofErr w:type="spellStart"/>
      <w:r w:rsidRPr="00676953">
        <w:rPr>
          <w:rStyle w:val="Style13ptBold"/>
          <w:rFonts w:asciiTheme="majorHAnsi" w:hAnsiTheme="majorHAnsi" w:cstheme="majorHAnsi"/>
          <w:sz w:val="20"/>
          <w:szCs w:val="20"/>
        </w:rPr>
        <w:t>Schar</w:t>
      </w:r>
      <w:proofErr w:type="spellEnd"/>
      <w:r w:rsidRPr="00676953">
        <w:rPr>
          <w:rStyle w:val="Style13ptBold"/>
          <w:rFonts w:asciiTheme="majorHAnsi" w:hAnsiTheme="majorHAnsi" w:cstheme="majorHAnsi"/>
          <w:sz w:val="20"/>
          <w:szCs w:val="20"/>
        </w:rPr>
        <w:t xml:space="preserve"> School of Policy and Government and a senior fellow at the Cato Institute’s Defense and Foreign Policy Department. Caroline </w:t>
      </w:r>
      <w:proofErr w:type="spellStart"/>
      <w:r w:rsidRPr="00676953">
        <w:rPr>
          <w:rStyle w:val="Style13ptBold"/>
          <w:rFonts w:asciiTheme="majorHAnsi" w:hAnsiTheme="majorHAnsi" w:cstheme="majorHAnsi"/>
          <w:sz w:val="20"/>
          <w:szCs w:val="20"/>
        </w:rPr>
        <w:t>Dorminey</w:t>
      </w:r>
      <w:proofErr w:type="spellEnd"/>
      <w:r w:rsidRPr="00676953">
        <w:rPr>
          <w:rStyle w:val="Style13ptBold"/>
          <w:rFonts w:asciiTheme="majorHAnsi" w:hAnsiTheme="majorHAnsi" w:cstheme="majorHAnsi"/>
          <w:sz w:val="20"/>
          <w:szCs w:val="20"/>
        </w:rPr>
        <w:t xml:space="preserve"> is a policy analyst at the Cato Institute’s Defense and Foreign Policy Department. 6-13-2018, "A New Framework for Assessing the Risks from U.S. Arms Sales," War on the Rocks, </w:t>
      </w:r>
      <w:hyperlink r:id="rId54" w:history="1">
        <w:r w:rsidRPr="00676953">
          <w:rPr>
            <w:rStyle w:val="Style13ptBold"/>
            <w:rFonts w:asciiTheme="majorHAnsi" w:hAnsiTheme="majorHAnsi" w:cstheme="majorHAnsi"/>
            <w:sz w:val="20"/>
            <w:szCs w:val="20"/>
          </w:rPr>
          <w:t>https://warontherocks.com/2018/06/a-new-framework-for-assessing-the-risks-from-u-s-arms-sales/</w:t>
        </w:r>
      </w:hyperlink>
      <w:r w:rsidRPr="00676953">
        <w:rPr>
          <w:rStyle w:val="Style13ptBold"/>
          <w:rFonts w:asciiTheme="majorHAnsi" w:hAnsiTheme="majorHAnsi" w:cstheme="majorHAnsi"/>
          <w:sz w:val="20"/>
          <w:szCs w:val="20"/>
        </w:rPr>
        <w:t>, JKS)</w:t>
      </w:r>
    </w:p>
    <w:p w:rsidR="0013340D" w:rsidRPr="00E840A8" w:rsidRDefault="0013340D" w:rsidP="0013340D">
      <w:pPr>
        <w:rPr>
          <w:rStyle w:val="Emphasis"/>
        </w:rPr>
      </w:pPr>
      <w:r w:rsidRPr="00E840A8">
        <w:rPr>
          <w:rStyle w:val="Emphasis"/>
        </w:rPr>
        <w:t>The Arms Sales Approval Process</w:t>
      </w:r>
    </w:p>
    <w:p w:rsidR="0013340D" w:rsidRPr="00E840A8" w:rsidRDefault="0013340D" w:rsidP="0013340D">
      <w:pPr>
        <w:rPr>
          <w:rStyle w:val="Emphasis"/>
        </w:rPr>
      </w:pPr>
      <w:r w:rsidRPr="00E840A8">
        <w:rPr>
          <w:rStyle w:val="StyleUnderline"/>
        </w:rPr>
        <w:t xml:space="preserve">On paper, the United States appears to have a robust procedure in place to assess arms sales. </w:t>
      </w:r>
      <w:r w:rsidRPr="00E840A8">
        <w:rPr>
          <w:rFonts w:asciiTheme="majorHAnsi" w:hAnsiTheme="majorHAnsi" w:cstheme="majorHAnsi"/>
          <w:sz w:val="16"/>
        </w:rPr>
        <w:t xml:space="preserve">Since 1976, </w:t>
      </w:r>
      <w:r w:rsidRPr="00E840A8">
        <w:rPr>
          <w:rStyle w:val="StyleUnderline"/>
        </w:rPr>
        <w:t xml:space="preserve">the Arms Export Control Act has required that the executive branch conduct a risk assessment for large government-to-government sales of </w:t>
      </w:r>
      <w:r w:rsidRPr="00E840A8">
        <w:rPr>
          <w:rFonts w:asciiTheme="majorHAnsi" w:hAnsiTheme="majorHAnsi" w:cstheme="majorHAnsi"/>
          <w:sz w:val="16"/>
        </w:rPr>
        <w:t xml:space="preserve">major conventional weapons (commercial sales of many small and light weapons are covered by different rules). </w:t>
      </w:r>
      <w:r w:rsidRPr="00E840A8">
        <w:rPr>
          <w:rStyle w:val="StyleUnderline"/>
        </w:rPr>
        <w:t>Once a foreign government decides it would like to buy an American system, it submits a letter of request. The request kicks off an extensive process that runs through a variety of offices at the Departments of Defense and State, as well as other agencies</w:t>
      </w:r>
      <w:r w:rsidRPr="00E840A8">
        <w:rPr>
          <w:rFonts w:asciiTheme="majorHAnsi" w:hAnsiTheme="majorHAnsi" w:cstheme="majorHAnsi"/>
          <w:sz w:val="16"/>
        </w:rPr>
        <w:t xml:space="preserve">. The Country Team Assessment is the American government’s official risk assessment and is intended to determine: how the [weapon] will be used, how it contributes to the defense and security goals of the partner nation and of the US, how it will change the partner country’s military capabilities, how the partner country will protect and safeguard sensitive technology, and the partner nation’s human rights record. </w:t>
      </w:r>
      <w:r w:rsidRPr="00E840A8">
        <w:rPr>
          <w:rStyle w:val="StyleUnderline"/>
        </w:rPr>
        <w:t>Once approved, the matter is turned over to Congress, which serves as an emergency brake for this process. Absent sufficient congressional opposition in the form of a veto-proof resolution of disapproval, the sale is made.</w:t>
      </w:r>
      <w:r w:rsidRPr="00E840A8">
        <w:rPr>
          <w:rFonts w:asciiTheme="majorHAnsi" w:hAnsiTheme="majorHAnsi" w:cstheme="majorHAnsi"/>
          <w:sz w:val="16"/>
        </w:rPr>
        <w:t xml:space="preserve"> </w:t>
      </w:r>
      <w:r w:rsidRPr="00E840A8">
        <w:rPr>
          <w:rStyle w:val="Emphasis"/>
        </w:rPr>
        <w:t xml:space="preserve">In reality, the outcome of this process is almost inevitably the same: approval. Though the United States won’t sell its latest technology to everyone, it will sell most things to just about anyone. </w:t>
      </w:r>
      <w:r w:rsidRPr="00E840A8">
        <w:rPr>
          <w:rFonts w:asciiTheme="majorHAnsi" w:hAnsiTheme="majorHAnsi" w:cstheme="majorHAnsi"/>
          <w:sz w:val="16"/>
        </w:rPr>
        <w:t xml:space="preserve">Although a full explanation of this is beyond the scope of our work, </w:t>
      </w:r>
      <w:r w:rsidRPr="00E840A8">
        <w:rPr>
          <w:rStyle w:val="StyleUnderline"/>
        </w:rPr>
        <w:t>three possible reasons are worth noting. First, the benefits of arms sales are obvious and immediate, while the negative consequences are often less obvious,</w:t>
      </w:r>
      <w:r w:rsidRPr="00E840A8">
        <w:rPr>
          <w:rFonts w:asciiTheme="majorHAnsi" w:hAnsiTheme="majorHAnsi" w:cstheme="majorHAnsi"/>
          <w:sz w:val="16"/>
        </w:rPr>
        <w:t xml:space="preserve"> tend to emerge much later, and often receive little media coverage. </w:t>
      </w:r>
      <w:r w:rsidRPr="00E840A8">
        <w:rPr>
          <w:rStyle w:val="Emphasis"/>
        </w:rPr>
        <w:t>Second, there is no constituency in Washington opposing arms sales</w:t>
      </w:r>
      <w:r w:rsidRPr="00E840A8">
        <w:rPr>
          <w:rFonts w:asciiTheme="majorHAnsi" w:hAnsiTheme="majorHAnsi" w:cstheme="majorHAnsi"/>
          <w:sz w:val="16"/>
        </w:rPr>
        <w:t xml:space="preserve">. </w:t>
      </w:r>
      <w:r w:rsidRPr="00E840A8">
        <w:rPr>
          <w:rStyle w:val="StyleUnderline"/>
        </w:rPr>
        <w:t>Presidents see them as a foreign policy tool, Congress sees them as economically beneficial benefiting its constituents economically, and the defense industry provides financial encouragement all around through campaign donations</w:t>
      </w:r>
      <w:r w:rsidRPr="00E840A8">
        <w:rPr>
          <w:rFonts w:asciiTheme="majorHAnsi" w:hAnsiTheme="majorHAnsi" w:cstheme="majorHAnsi"/>
          <w:sz w:val="16"/>
        </w:rPr>
        <w:t xml:space="preserve">. Finally, </w:t>
      </w:r>
      <w:r w:rsidRPr="00E840A8">
        <w:rPr>
          <w:rStyle w:val="StyleUnderline"/>
        </w:rPr>
        <w:t xml:space="preserve">the United States has been the world’s leading arms exporter for so long that the presumption that arms sales work seems to have become </w:t>
      </w:r>
      <w:r w:rsidRPr="00E840A8">
        <w:rPr>
          <w:rStyle w:val="Emphasis"/>
        </w:rPr>
        <w:t>ingrained in the national security bureaucracy.</w:t>
      </w:r>
    </w:p>
    <w:p w:rsidR="0013340D" w:rsidRPr="00676953" w:rsidRDefault="0013340D" w:rsidP="0013340D">
      <w:pPr>
        <w:pStyle w:val="Heading3"/>
        <w:rPr>
          <w:rFonts w:asciiTheme="majorHAnsi" w:hAnsiTheme="majorHAnsi" w:cstheme="majorHAnsi"/>
        </w:rPr>
      </w:pPr>
      <w:r w:rsidRPr="00676953">
        <w:rPr>
          <w:rFonts w:asciiTheme="majorHAnsi" w:hAnsiTheme="majorHAnsi" w:cstheme="majorHAnsi"/>
        </w:rPr>
        <w:lastRenderedPageBreak/>
        <w:t>AT: Offsets CP</w:t>
      </w:r>
    </w:p>
    <w:p w:rsidR="0013340D" w:rsidRPr="00676953" w:rsidRDefault="00834AE9" w:rsidP="0013340D">
      <w:pPr>
        <w:pStyle w:val="Heading4"/>
        <w:rPr>
          <w:rFonts w:asciiTheme="majorHAnsi" w:hAnsiTheme="majorHAnsi" w:cstheme="majorHAnsi"/>
        </w:rPr>
      </w:pPr>
      <w:r>
        <w:rPr>
          <w:rFonts w:asciiTheme="majorHAnsi" w:hAnsiTheme="majorHAnsi" w:cstheme="majorHAnsi"/>
        </w:rPr>
        <w:t>Offsets fail- they’re subject to lobbying and corporate military interests</w:t>
      </w:r>
    </w:p>
    <w:p w:rsidR="0013340D" w:rsidRPr="00676953" w:rsidRDefault="0013340D" w:rsidP="0013340D">
      <w:pPr>
        <w:rPr>
          <w:rStyle w:val="Style13ptBold"/>
          <w:rFonts w:asciiTheme="majorHAnsi" w:hAnsiTheme="majorHAnsi" w:cstheme="majorHAnsi"/>
        </w:rPr>
      </w:pPr>
      <w:r w:rsidRPr="00676953">
        <w:rPr>
          <w:rStyle w:val="Style13ptBold"/>
          <w:rFonts w:asciiTheme="majorHAnsi" w:hAnsiTheme="majorHAnsi" w:cstheme="majorHAnsi"/>
        </w:rPr>
        <w:t>Alley 19</w:t>
      </w:r>
    </w:p>
    <w:p w:rsidR="0013340D" w:rsidRPr="00676953" w:rsidRDefault="0013340D" w:rsidP="0013340D">
      <w:pPr>
        <w:rPr>
          <w:rFonts w:asciiTheme="majorHAnsi" w:hAnsiTheme="majorHAnsi" w:cstheme="majorHAnsi"/>
          <w:b/>
          <w:sz w:val="20"/>
          <w:szCs w:val="20"/>
        </w:rPr>
      </w:pPr>
      <w:r w:rsidRPr="00676953">
        <w:rPr>
          <w:rStyle w:val="Style13ptBold"/>
          <w:rFonts w:asciiTheme="majorHAnsi" w:hAnsiTheme="majorHAnsi" w:cstheme="majorHAnsi"/>
          <w:sz w:val="20"/>
          <w:szCs w:val="20"/>
        </w:rPr>
        <w:t>(Roderic Alley, Centre for Strategic Studies, Victoria University of Wellington, Wellington, New Zealand (2019) Small arms and light weapons: the disjunction problem, Conflict, Security &amp; Development, 19:2, 143-172, DOI: 10.1080/14678802.2019.1570722, JKS)</w:t>
      </w:r>
    </w:p>
    <w:p w:rsidR="0013340D" w:rsidRPr="006144E3" w:rsidRDefault="0013340D" w:rsidP="0013340D">
      <w:pPr>
        <w:rPr>
          <w:rFonts w:asciiTheme="majorHAnsi" w:hAnsiTheme="majorHAnsi" w:cstheme="majorHAnsi"/>
          <w:sz w:val="14"/>
        </w:rPr>
      </w:pPr>
      <w:r w:rsidRPr="006144E3">
        <w:rPr>
          <w:rStyle w:val="StyleUnderline"/>
        </w:rPr>
        <w:t xml:space="preserve">With over a thousand firms engaged worldwide, SALW production is </w:t>
      </w:r>
      <w:r w:rsidRPr="006144E3">
        <w:rPr>
          <w:rStyle w:val="Emphasis"/>
        </w:rPr>
        <w:t>competitive and fragmented,</w:t>
      </w:r>
      <w:r w:rsidRPr="006144E3">
        <w:rPr>
          <w:rStyle w:val="StyleUnderline"/>
        </w:rPr>
        <w:t xml:space="preserve"> notwithstanding major firm dominance among key exporting states</w:t>
      </w:r>
      <w:r w:rsidRPr="006144E3">
        <w:rPr>
          <w:rFonts w:asciiTheme="majorHAnsi" w:hAnsiTheme="majorHAnsi" w:cstheme="majorHAnsi"/>
          <w:sz w:val="14"/>
        </w:rPr>
        <w:t xml:space="preserve">.78 Some consolidations occur through major supplier partnerships, as between Israeli and Indian producers. Closer integration through co-production reduces development and production costs, encouraging equipment </w:t>
      </w:r>
      <w:proofErr w:type="spellStart"/>
      <w:r w:rsidRPr="006144E3">
        <w:rPr>
          <w:rFonts w:asciiTheme="majorHAnsi" w:hAnsiTheme="majorHAnsi" w:cstheme="majorHAnsi"/>
          <w:sz w:val="14"/>
        </w:rPr>
        <w:t>rationalisation</w:t>
      </w:r>
      <w:proofErr w:type="spellEnd"/>
      <w:r w:rsidRPr="006144E3">
        <w:rPr>
          <w:rFonts w:asciiTheme="majorHAnsi" w:hAnsiTheme="majorHAnsi" w:cstheme="majorHAnsi"/>
          <w:sz w:val="14"/>
        </w:rPr>
        <w:t xml:space="preserve"> and </w:t>
      </w:r>
      <w:proofErr w:type="spellStart"/>
      <w:r w:rsidRPr="006144E3">
        <w:rPr>
          <w:rFonts w:asciiTheme="majorHAnsi" w:hAnsiTheme="majorHAnsi" w:cstheme="majorHAnsi"/>
          <w:sz w:val="14"/>
        </w:rPr>
        <w:t>standardisation</w:t>
      </w:r>
      <w:proofErr w:type="spellEnd"/>
      <w:r w:rsidRPr="006144E3">
        <w:rPr>
          <w:rFonts w:asciiTheme="majorHAnsi" w:hAnsiTheme="majorHAnsi" w:cstheme="majorHAnsi"/>
          <w:sz w:val="14"/>
        </w:rPr>
        <w:t xml:space="preserve">. </w:t>
      </w:r>
      <w:r w:rsidRPr="006144E3">
        <w:rPr>
          <w:rStyle w:val="StyleUnderline"/>
        </w:rPr>
        <w:t xml:space="preserve">These linkages spur ongoing SALW development, as between the American </w:t>
      </w:r>
      <w:proofErr w:type="spellStart"/>
      <w:r w:rsidRPr="006144E3">
        <w:rPr>
          <w:rStyle w:val="StyleUnderline"/>
        </w:rPr>
        <w:t>defence</w:t>
      </w:r>
      <w:proofErr w:type="spellEnd"/>
      <w:r w:rsidRPr="006144E3">
        <w:rPr>
          <w:rStyle w:val="StyleUnderline"/>
        </w:rPr>
        <w:t xml:space="preserve"> contractor Raytheon and the Swedish firm SAAB, developing upgraded weapons for infantry forces</w:t>
      </w:r>
      <w:r w:rsidRPr="006144E3">
        <w:rPr>
          <w:rFonts w:asciiTheme="majorHAnsi" w:hAnsiTheme="majorHAnsi" w:cstheme="majorHAnsi"/>
          <w:sz w:val="14"/>
        </w:rPr>
        <w:t xml:space="preserve">.79 </w:t>
      </w:r>
      <w:r w:rsidRPr="006144E3">
        <w:rPr>
          <w:rStyle w:val="StyleUnderline"/>
        </w:rPr>
        <w:t xml:space="preserve">With shareholder interest uppermost, private contracting enterprises – </w:t>
      </w:r>
      <w:proofErr w:type="spellStart"/>
      <w:r w:rsidRPr="006144E3">
        <w:rPr>
          <w:rStyle w:val="Emphasis"/>
        </w:rPr>
        <w:t>utilising</w:t>
      </w:r>
      <w:proofErr w:type="spellEnd"/>
      <w:r w:rsidRPr="006144E3">
        <w:rPr>
          <w:rStyle w:val="Emphasis"/>
        </w:rPr>
        <w:t xml:space="preserve"> bureaucratic contacts, political lobbying and employment of recently retired military personnel</w:t>
      </w:r>
      <w:r w:rsidRPr="006144E3">
        <w:rPr>
          <w:rStyle w:val="StyleUnderline"/>
        </w:rPr>
        <w:t xml:space="preserve"> – have increasingly influenced major SALW supplier decisions in the last decade.</w:t>
      </w:r>
      <w:r w:rsidRPr="006144E3">
        <w:rPr>
          <w:rFonts w:asciiTheme="majorHAnsi" w:hAnsiTheme="majorHAnsi" w:cstheme="majorHAnsi"/>
          <w:sz w:val="14"/>
        </w:rPr>
        <w:t xml:space="preserve"> </w:t>
      </w:r>
      <w:r w:rsidRPr="006144E3">
        <w:rPr>
          <w:rStyle w:val="Emphasis"/>
        </w:rPr>
        <w:t>The role of offsets cannot be ignored</w:t>
      </w:r>
      <w:r w:rsidRPr="006144E3">
        <w:rPr>
          <w:rFonts w:asciiTheme="majorHAnsi" w:hAnsiTheme="majorHAnsi" w:cstheme="majorHAnsi"/>
          <w:sz w:val="14"/>
        </w:rPr>
        <w:t xml:space="preserve">. </w:t>
      </w:r>
      <w:r w:rsidRPr="006144E3">
        <w:rPr>
          <w:rStyle w:val="StyleUnderline"/>
        </w:rPr>
        <w:t xml:space="preserve">These compensation practices, or ‘sweeteners’, are required as conditions of purchase in either government to government or commercial sales of </w:t>
      </w:r>
      <w:proofErr w:type="spellStart"/>
      <w:r w:rsidRPr="006144E3">
        <w:rPr>
          <w:rStyle w:val="StyleUnderline"/>
        </w:rPr>
        <w:t>defence</w:t>
      </w:r>
      <w:proofErr w:type="spellEnd"/>
      <w:r w:rsidRPr="006144E3">
        <w:rPr>
          <w:rStyle w:val="StyleUnderline"/>
        </w:rPr>
        <w:t xml:space="preserve"> articles and services. </w:t>
      </w:r>
      <w:r w:rsidRPr="006144E3">
        <w:rPr>
          <w:rFonts w:asciiTheme="majorHAnsi" w:hAnsiTheme="majorHAnsi" w:cstheme="majorHAnsi"/>
          <w:sz w:val="14"/>
        </w:rPr>
        <w:t xml:space="preserve">Although the biggest concessions involve major </w:t>
      </w:r>
      <w:proofErr w:type="spellStart"/>
      <w:r w:rsidRPr="006144E3">
        <w:rPr>
          <w:rFonts w:asciiTheme="majorHAnsi" w:hAnsiTheme="majorHAnsi" w:cstheme="majorHAnsi"/>
          <w:sz w:val="14"/>
        </w:rPr>
        <w:t>defence</w:t>
      </w:r>
      <w:proofErr w:type="spellEnd"/>
      <w:r w:rsidRPr="006144E3">
        <w:rPr>
          <w:rFonts w:asciiTheme="majorHAnsi" w:hAnsiTheme="majorHAnsi" w:cstheme="majorHAnsi"/>
          <w:sz w:val="14"/>
        </w:rPr>
        <w:t xml:space="preserve"> items such as ships and aircraft, </w:t>
      </w:r>
      <w:r w:rsidRPr="006144E3">
        <w:rPr>
          <w:rStyle w:val="StyleUnderline"/>
        </w:rPr>
        <w:t>the use of offsets in SALW</w:t>
      </w:r>
      <w:r w:rsidRPr="006144E3">
        <w:rPr>
          <w:rFonts w:asciiTheme="majorHAnsi" w:hAnsiTheme="majorHAnsi" w:cstheme="majorHAnsi"/>
          <w:sz w:val="14"/>
        </w:rPr>
        <w:t xml:space="preserve"> trading handicaps transparency, </w:t>
      </w:r>
      <w:r w:rsidRPr="006144E3">
        <w:rPr>
          <w:rStyle w:val="StyleUnderline"/>
        </w:rPr>
        <w:t>invites corruption and compromises transactional structures.</w:t>
      </w:r>
      <w:r w:rsidRPr="006144E3">
        <w:rPr>
          <w:rFonts w:asciiTheme="majorHAnsi" w:hAnsiTheme="majorHAnsi" w:cstheme="majorHAnsi"/>
          <w:sz w:val="14"/>
        </w:rPr>
        <w:t xml:space="preserve"> While the World Trade </w:t>
      </w:r>
      <w:proofErr w:type="spellStart"/>
      <w:r w:rsidRPr="006144E3">
        <w:rPr>
          <w:rFonts w:asciiTheme="majorHAnsi" w:hAnsiTheme="majorHAnsi" w:cstheme="majorHAnsi"/>
          <w:sz w:val="14"/>
        </w:rPr>
        <w:t>Organisation</w:t>
      </w:r>
      <w:proofErr w:type="spellEnd"/>
      <w:r w:rsidRPr="006144E3">
        <w:rPr>
          <w:rFonts w:asciiTheme="majorHAnsi" w:hAnsiTheme="majorHAnsi" w:cstheme="majorHAnsi"/>
          <w:sz w:val="14"/>
        </w:rPr>
        <w:t xml:space="preserve"> bans offsets as selection criteria for government procurements, significantly its rules exempt state parties from providing relevant information on self- judged security grounds.80 Between 2012 and 2014, offsets were employed to the value of US$ 1.7 billion sales of small arms, ordnance and ordnance accessories.81</w:t>
      </w:r>
    </w:p>
    <w:p w:rsidR="0013340D" w:rsidRPr="0013340D" w:rsidRDefault="0013340D" w:rsidP="0013340D"/>
    <w:p w:rsidR="00CD4145" w:rsidRDefault="00CD4145" w:rsidP="00CD4145">
      <w:pPr>
        <w:pStyle w:val="Heading2"/>
      </w:pPr>
      <w:r>
        <w:lastRenderedPageBreak/>
        <w:t>**AT: Disads**</w:t>
      </w:r>
    </w:p>
    <w:p w:rsidR="00454283" w:rsidRDefault="00454283" w:rsidP="00454283">
      <w:pPr>
        <w:pStyle w:val="Heading3"/>
      </w:pPr>
      <w:r>
        <w:lastRenderedPageBreak/>
        <w:t>AT: China Fill-in</w:t>
      </w:r>
    </w:p>
    <w:p w:rsidR="00454283" w:rsidRDefault="00454283" w:rsidP="00454283">
      <w:pPr>
        <w:pStyle w:val="Heading4"/>
      </w:pPr>
      <w:r>
        <w:t>Chinas influence is marginal at most</w:t>
      </w:r>
    </w:p>
    <w:p w:rsidR="00454283" w:rsidRPr="00650287" w:rsidRDefault="00454283" w:rsidP="00454283">
      <w:pPr>
        <w:rPr>
          <w:sz w:val="16"/>
          <w:szCs w:val="16"/>
        </w:rPr>
      </w:pPr>
      <w:proofErr w:type="gramStart"/>
      <w:r w:rsidRPr="00650287">
        <w:rPr>
          <w:b/>
          <w:bCs/>
        </w:rPr>
        <w:t>González  et</w:t>
      </w:r>
      <w:proofErr w:type="gramEnd"/>
      <w:r w:rsidRPr="00650287">
        <w:rPr>
          <w:b/>
          <w:bCs/>
        </w:rPr>
        <w:t xml:space="preserve"> al 2015</w:t>
      </w:r>
      <w:r w:rsidRPr="00650287">
        <w:rPr>
          <w:sz w:val="16"/>
          <w:szCs w:val="16"/>
        </w:rPr>
        <w:t xml:space="preserve">(González, Mendoza and </w:t>
      </w:r>
      <w:proofErr w:type="spellStart"/>
      <w:r w:rsidRPr="00650287">
        <w:rPr>
          <w:sz w:val="16"/>
          <w:szCs w:val="16"/>
        </w:rPr>
        <w:t>Juanjuan</w:t>
      </w:r>
      <w:proofErr w:type="spellEnd"/>
      <w:r w:rsidRPr="00650287">
        <w:rPr>
          <w:sz w:val="16"/>
          <w:szCs w:val="16"/>
        </w:rPr>
        <w:t xml:space="preserve">, Universidad de Colima. SNI II. ** </w:t>
      </w:r>
      <w:proofErr w:type="spellStart"/>
      <w:r w:rsidRPr="00650287">
        <w:rPr>
          <w:sz w:val="16"/>
          <w:szCs w:val="16"/>
        </w:rPr>
        <w:t>Departamento</w:t>
      </w:r>
      <w:proofErr w:type="spellEnd"/>
      <w:r w:rsidRPr="00650287">
        <w:rPr>
          <w:sz w:val="16"/>
          <w:szCs w:val="16"/>
        </w:rPr>
        <w:t xml:space="preserve"> de </w:t>
      </w:r>
      <w:proofErr w:type="spellStart"/>
      <w:r w:rsidRPr="00650287">
        <w:rPr>
          <w:sz w:val="16"/>
          <w:szCs w:val="16"/>
        </w:rPr>
        <w:t>Estudios</w:t>
      </w:r>
      <w:proofErr w:type="spellEnd"/>
      <w:r w:rsidRPr="00650287">
        <w:rPr>
          <w:sz w:val="16"/>
          <w:szCs w:val="16"/>
        </w:rPr>
        <w:t xml:space="preserve"> </w:t>
      </w:r>
      <w:proofErr w:type="spellStart"/>
      <w:r w:rsidRPr="00650287">
        <w:rPr>
          <w:sz w:val="16"/>
          <w:szCs w:val="16"/>
        </w:rPr>
        <w:t>Económicos</w:t>
      </w:r>
      <w:proofErr w:type="spellEnd"/>
      <w:r w:rsidRPr="00650287">
        <w:rPr>
          <w:sz w:val="16"/>
          <w:szCs w:val="16"/>
        </w:rPr>
        <w:t xml:space="preserve">. El colegio de la Frontera Norte. SNI III. *** Southwest University of Science and Technology. </w:t>
      </w:r>
      <w:proofErr w:type="spellStart"/>
      <w:r w:rsidRPr="00650287">
        <w:rPr>
          <w:sz w:val="16"/>
          <w:szCs w:val="16"/>
        </w:rPr>
        <w:t>Mianyang</w:t>
      </w:r>
      <w:proofErr w:type="spellEnd"/>
      <w:r w:rsidRPr="00650287">
        <w:rPr>
          <w:sz w:val="16"/>
          <w:szCs w:val="16"/>
        </w:rPr>
        <w:t xml:space="preserve">, R.P. China, “The impact of China on Mexico-USA Relations: Economic Evolution and Strategic Possibilities”, /2015, </w:t>
      </w:r>
      <w:hyperlink r:id="rId55" w:history="1">
        <w:r w:rsidRPr="00650287">
          <w:rPr>
            <w:rStyle w:val="Hyperlink"/>
            <w:sz w:val="16"/>
            <w:szCs w:val="16"/>
          </w:rPr>
          <w:t>http://www.analisiseconomico.azc.uam.mx/index.php/rae/article/view/70/67</w:t>
        </w:r>
      </w:hyperlink>
      <w:r w:rsidRPr="00650287">
        <w:rPr>
          <w:sz w:val="16"/>
          <w:szCs w:val="16"/>
        </w:rPr>
        <w:t>)//kb</w:t>
      </w:r>
    </w:p>
    <w:p w:rsidR="00454283" w:rsidRDefault="00454283" w:rsidP="00454283">
      <w:pPr>
        <w:rPr>
          <w:u w:val="single"/>
        </w:rPr>
      </w:pPr>
      <w:r w:rsidRPr="00FE2E24">
        <w:rPr>
          <w:sz w:val="16"/>
        </w:rPr>
        <w:t xml:space="preserve">However, it is important to mention that the </w:t>
      </w:r>
      <w:r w:rsidRPr="005F280F">
        <w:rPr>
          <w:u w:val="single"/>
        </w:rPr>
        <w:t xml:space="preserve">Chinese impact on the economic and trade relations of </w:t>
      </w:r>
      <w:proofErr w:type="spellStart"/>
      <w:r w:rsidRPr="005F280F">
        <w:rPr>
          <w:u w:val="single"/>
        </w:rPr>
        <w:t>nafta</w:t>
      </w:r>
      <w:proofErr w:type="spellEnd"/>
      <w:r w:rsidRPr="005F280F">
        <w:rPr>
          <w:u w:val="single"/>
        </w:rPr>
        <w:t>, considering the region as a whole, have been exaggerated.</w:t>
      </w:r>
      <w:r w:rsidRPr="00FE2E24">
        <w:rPr>
          <w:sz w:val="16"/>
        </w:rPr>
        <w:t xml:space="preserve"> In reality, it can be argued that </w:t>
      </w:r>
      <w:r w:rsidRPr="005F280F">
        <w:rPr>
          <w:u w:val="single"/>
        </w:rPr>
        <w:t xml:space="preserve">the impact of China has been limited. </w:t>
      </w:r>
      <w:r w:rsidRPr="00FE2E24">
        <w:rPr>
          <w:sz w:val="16"/>
        </w:rPr>
        <w:t xml:space="preserve">From figure 5, </w:t>
      </w:r>
      <w:r w:rsidRPr="005F280F">
        <w:rPr>
          <w:u w:val="single"/>
        </w:rPr>
        <w:t xml:space="preserve">we can see that China is an important partner of the three countries, </w:t>
      </w:r>
      <w:r w:rsidRPr="00FE2E24">
        <w:rPr>
          <w:sz w:val="16"/>
        </w:rPr>
        <w:t xml:space="preserve">with shares of 14%, 7.6% and 9.2% in the United States, Canada and Mexico markets, respectively. On the other hand, the members of </w:t>
      </w:r>
      <w:proofErr w:type="spellStart"/>
      <w:r w:rsidRPr="00FE2E24">
        <w:rPr>
          <w:sz w:val="16"/>
        </w:rPr>
        <w:t>nafta</w:t>
      </w:r>
      <w:proofErr w:type="spellEnd"/>
      <w:r w:rsidRPr="00FE2E24">
        <w:rPr>
          <w:sz w:val="16"/>
        </w:rPr>
        <w:t xml:space="preserve"> still represent the largest share of trade with each other. In the case of the United States, its two </w:t>
      </w:r>
      <w:proofErr w:type="spellStart"/>
      <w:r w:rsidRPr="00FE2E24">
        <w:rPr>
          <w:sz w:val="16"/>
        </w:rPr>
        <w:t>nafta</w:t>
      </w:r>
      <w:proofErr w:type="spellEnd"/>
      <w:r w:rsidRPr="00FE2E24">
        <w:rPr>
          <w:sz w:val="16"/>
        </w:rPr>
        <w:t xml:space="preserve"> partners had a combined share of 29% of the market; for Canada, 65.9% and for Mexico 69.2%. When comparing the </w:t>
      </w:r>
      <w:r w:rsidRPr="00FE2E24">
        <w:rPr>
          <w:u w:val="single"/>
        </w:rPr>
        <w:t xml:space="preserve">Chinese export shares in each of the three countries that make up </w:t>
      </w:r>
      <w:proofErr w:type="spellStart"/>
      <w:r w:rsidRPr="00FE2E24">
        <w:rPr>
          <w:u w:val="single"/>
        </w:rPr>
        <w:t>nafta</w:t>
      </w:r>
      <w:proofErr w:type="spellEnd"/>
      <w:r w:rsidRPr="00FE2E24">
        <w:rPr>
          <w:u w:val="single"/>
        </w:rPr>
        <w:t>, it is clear that they are still much lower than the export shares within the region.</w:t>
      </w:r>
    </w:p>
    <w:p w:rsidR="00454283" w:rsidRDefault="00454283" w:rsidP="00454283">
      <w:pPr>
        <w:pStyle w:val="Heading4"/>
      </w:pPr>
      <w:r>
        <w:t xml:space="preserve">Fill in inevitable—Mexico has been </w:t>
      </w:r>
      <w:r w:rsidR="00ED7FD1">
        <w:t xml:space="preserve">diversifying </w:t>
      </w:r>
      <w:r>
        <w:t xml:space="preserve">for years due to </w:t>
      </w:r>
      <w:r w:rsidR="00ED7FD1">
        <w:t>overwhelming</w:t>
      </w:r>
      <w:r>
        <w:t xml:space="preserve"> U.S. influence</w:t>
      </w:r>
    </w:p>
    <w:p w:rsidR="00454283" w:rsidRPr="00650287" w:rsidRDefault="00454283" w:rsidP="00454283">
      <w:pPr>
        <w:rPr>
          <w:sz w:val="16"/>
          <w:szCs w:val="16"/>
        </w:rPr>
      </w:pPr>
      <w:proofErr w:type="gramStart"/>
      <w:r w:rsidRPr="00650287">
        <w:rPr>
          <w:b/>
          <w:bCs/>
        </w:rPr>
        <w:t>González  et</w:t>
      </w:r>
      <w:proofErr w:type="gramEnd"/>
      <w:r w:rsidRPr="00650287">
        <w:rPr>
          <w:b/>
          <w:bCs/>
        </w:rPr>
        <w:t xml:space="preserve"> al 2015</w:t>
      </w:r>
      <w:r>
        <w:rPr>
          <w:b/>
          <w:bCs/>
        </w:rPr>
        <w:t xml:space="preserve"> </w:t>
      </w:r>
      <w:r w:rsidRPr="00650287">
        <w:rPr>
          <w:sz w:val="16"/>
          <w:szCs w:val="16"/>
        </w:rPr>
        <w:t xml:space="preserve">(González, Mendoza and </w:t>
      </w:r>
      <w:proofErr w:type="spellStart"/>
      <w:r w:rsidRPr="00650287">
        <w:rPr>
          <w:sz w:val="16"/>
          <w:szCs w:val="16"/>
        </w:rPr>
        <w:t>Juanjuan</w:t>
      </w:r>
      <w:proofErr w:type="spellEnd"/>
      <w:r w:rsidRPr="00650287">
        <w:rPr>
          <w:sz w:val="16"/>
          <w:szCs w:val="16"/>
        </w:rPr>
        <w:t xml:space="preserve">, Universidad de Colima. SNI II. ** </w:t>
      </w:r>
      <w:proofErr w:type="spellStart"/>
      <w:r w:rsidRPr="00650287">
        <w:rPr>
          <w:sz w:val="16"/>
          <w:szCs w:val="16"/>
        </w:rPr>
        <w:t>Departamento</w:t>
      </w:r>
      <w:proofErr w:type="spellEnd"/>
      <w:r w:rsidRPr="00650287">
        <w:rPr>
          <w:sz w:val="16"/>
          <w:szCs w:val="16"/>
        </w:rPr>
        <w:t xml:space="preserve"> de </w:t>
      </w:r>
      <w:proofErr w:type="spellStart"/>
      <w:r w:rsidRPr="00650287">
        <w:rPr>
          <w:sz w:val="16"/>
          <w:szCs w:val="16"/>
        </w:rPr>
        <w:t>Estudios</w:t>
      </w:r>
      <w:proofErr w:type="spellEnd"/>
      <w:r w:rsidRPr="00650287">
        <w:rPr>
          <w:sz w:val="16"/>
          <w:szCs w:val="16"/>
        </w:rPr>
        <w:t xml:space="preserve"> </w:t>
      </w:r>
      <w:proofErr w:type="spellStart"/>
      <w:r w:rsidRPr="00650287">
        <w:rPr>
          <w:sz w:val="16"/>
          <w:szCs w:val="16"/>
        </w:rPr>
        <w:t>Económicos</w:t>
      </w:r>
      <w:proofErr w:type="spellEnd"/>
      <w:r w:rsidRPr="00650287">
        <w:rPr>
          <w:sz w:val="16"/>
          <w:szCs w:val="16"/>
        </w:rPr>
        <w:t xml:space="preserve">. El colegio de la Frontera Norte. SNI III. *** Southwest University of Science and Technology. </w:t>
      </w:r>
      <w:proofErr w:type="spellStart"/>
      <w:r w:rsidRPr="00650287">
        <w:rPr>
          <w:sz w:val="16"/>
          <w:szCs w:val="16"/>
        </w:rPr>
        <w:t>Mianyang</w:t>
      </w:r>
      <w:proofErr w:type="spellEnd"/>
      <w:r w:rsidRPr="00650287">
        <w:rPr>
          <w:sz w:val="16"/>
          <w:szCs w:val="16"/>
        </w:rPr>
        <w:t xml:space="preserve">, R.P. China, “The impact of China on Mexico-USA Relations: Economic Evolution and Strategic Possibilities”, /2015, </w:t>
      </w:r>
      <w:hyperlink r:id="rId56" w:history="1">
        <w:r w:rsidRPr="00650287">
          <w:rPr>
            <w:rStyle w:val="Hyperlink"/>
            <w:sz w:val="16"/>
            <w:szCs w:val="16"/>
          </w:rPr>
          <w:t>http://www.analisiseconomico.azc.uam.mx/index.php/rae/article/view/70/67</w:t>
        </w:r>
      </w:hyperlink>
      <w:r w:rsidRPr="00650287">
        <w:rPr>
          <w:sz w:val="16"/>
          <w:szCs w:val="16"/>
        </w:rPr>
        <w:t>)//kb</w:t>
      </w:r>
    </w:p>
    <w:p w:rsidR="00454283" w:rsidRDefault="00454283" w:rsidP="00454283">
      <w:pPr>
        <w:rPr>
          <w:sz w:val="16"/>
        </w:rPr>
      </w:pPr>
      <w:r w:rsidRPr="00454283">
        <w:rPr>
          <w:rStyle w:val="StyleUnderline"/>
        </w:rPr>
        <w:t xml:space="preserve">Nevertheless, because of the excessive dependence on the US economy, Mexico is likely to look for other countries in Latin America and in the </w:t>
      </w:r>
      <w:proofErr w:type="spellStart"/>
      <w:r w:rsidRPr="00454283">
        <w:rPr>
          <w:rStyle w:val="StyleUnderline"/>
        </w:rPr>
        <w:t>TransPacific</w:t>
      </w:r>
      <w:proofErr w:type="spellEnd"/>
      <w:r w:rsidRPr="00454283">
        <w:rPr>
          <w:rStyle w:val="StyleUnderline"/>
        </w:rPr>
        <w:t xml:space="preserve"> countries, such as Japan and China</w:t>
      </w:r>
      <w:r w:rsidRPr="00F431F0">
        <w:rPr>
          <w:u w:val="single"/>
        </w:rPr>
        <w:t>, in order to explore diverse diplomatic relationships to balance the overwhelming impact of the USA</w:t>
      </w:r>
      <w:r w:rsidRPr="00650287">
        <w:rPr>
          <w:sz w:val="16"/>
        </w:rPr>
        <w:t xml:space="preserve">. Besides, </w:t>
      </w:r>
      <w:r w:rsidRPr="00F431F0">
        <w:rPr>
          <w:u w:val="single"/>
        </w:rPr>
        <w:t xml:space="preserve">in the age of globalization, </w:t>
      </w:r>
      <w:r w:rsidRPr="00454283">
        <w:rPr>
          <w:rStyle w:val="Emphasis"/>
        </w:rPr>
        <w:t>it’s impossible that the relationship of Mexico and the USA could remain totally exclusive from third party influences.</w:t>
      </w:r>
      <w:r w:rsidRPr="00F431F0">
        <w:rPr>
          <w:u w:val="single"/>
        </w:rPr>
        <w:t xml:space="preserve"> In the long run, Mexico should actively develop an economic and trade relationship with countries outside North America,</w:t>
      </w:r>
      <w:r w:rsidRPr="00650287">
        <w:rPr>
          <w:sz w:val="16"/>
        </w:rPr>
        <w:t xml:space="preserve"> </w:t>
      </w:r>
      <w:r w:rsidRPr="00711F41">
        <w:rPr>
          <w:u w:val="single"/>
        </w:rPr>
        <w:t>to find a wider range of opportunities.</w:t>
      </w:r>
      <w:r w:rsidRPr="00650287">
        <w:rPr>
          <w:sz w:val="16"/>
        </w:rPr>
        <w:t xml:space="preserve"> From the standpoint of geo-politics, the impact of China on the Latin-American area is still limited and far from challenging the status of the United States. As mentioned previously, after </w:t>
      </w:r>
      <w:proofErr w:type="spellStart"/>
      <w:r w:rsidRPr="00650287">
        <w:rPr>
          <w:sz w:val="16"/>
        </w:rPr>
        <w:t>nafta</w:t>
      </w:r>
      <w:proofErr w:type="spellEnd"/>
      <w:r w:rsidRPr="00650287">
        <w:rPr>
          <w:sz w:val="16"/>
        </w:rPr>
        <w:t xml:space="preserve"> was established, the share of imports of the United States in many areas is still greater in Mexico than in China. In addition, there is not a unified criterion of the country members about the future development of </w:t>
      </w:r>
      <w:proofErr w:type="spellStart"/>
      <w:r w:rsidRPr="00650287">
        <w:rPr>
          <w:sz w:val="16"/>
        </w:rPr>
        <w:t>nafta</w:t>
      </w:r>
      <w:proofErr w:type="spellEnd"/>
      <w:r w:rsidRPr="00650287">
        <w:rPr>
          <w:sz w:val="16"/>
        </w:rPr>
        <w:t>. Latin American countries are actively developing relations with China on consideration of balancing the influence of the United States, but the factor which can really change the regional power structure in the region is the establishment of regional agreements and not external factors (China Center for Contemporary World Studies, 2012).</w:t>
      </w:r>
    </w:p>
    <w:p w:rsidR="009559DC" w:rsidRDefault="009559DC" w:rsidP="009559DC">
      <w:pPr>
        <w:pStyle w:val="Heading4"/>
      </w:pPr>
      <w:r>
        <w:t>Non-UQ: China already sells a large number of small arms to Mexico</w:t>
      </w:r>
    </w:p>
    <w:p w:rsidR="009559DC" w:rsidRDefault="009559DC" w:rsidP="009559DC">
      <w:r w:rsidRPr="005D3FC6">
        <w:t xml:space="preserve">George </w:t>
      </w:r>
      <w:proofErr w:type="gramStart"/>
      <w:r w:rsidRPr="005D3FC6">
        <w:rPr>
          <w:rStyle w:val="Style13ptBold"/>
        </w:rPr>
        <w:t>Castellano</w:t>
      </w:r>
      <w:r w:rsidRPr="005D3FC6">
        <w:t>,,</w:t>
      </w:r>
      <w:proofErr w:type="gramEnd"/>
      <w:r w:rsidRPr="005D3FC6">
        <w:t xml:space="preserve"> 9-1-20</w:t>
      </w:r>
      <w:r w:rsidRPr="005D3FC6">
        <w:rPr>
          <w:rStyle w:val="Style13ptBold"/>
        </w:rPr>
        <w:t>15</w:t>
      </w:r>
      <w:r w:rsidRPr="005D3FC6">
        <w:t>, "China-Latin America Arms Sales," Army University Press, https://www.armyupress.army.mil/Journals/Military-Review/English-Edition-Archives/July-August-2018/Gurrola-China/</w:t>
      </w:r>
    </w:p>
    <w:p w:rsidR="009559DC" w:rsidRPr="00C7010D" w:rsidRDefault="009559DC" w:rsidP="009559DC">
      <w:pPr>
        <w:rPr>
          <w:sz w:val="16"/>
        </w:rPr>
      </w:pPr>
      <w:r w:rsidRPr="00956637">
        <w:rPr>
          <w:rStyle w:val="StyleUnderline"/>
        </w:rPr>
        <w:t>Understanding the evolution of China’s total global arms exports and its geographical distribution provides the necessary background to highlight the recent shift to the Latin America arms market</w:t>
      </w:r>
      <w:r w:rsidRPr="00C7010D">
        <w:rPr>
          <w:sz w:val="16"/>
        </w:rPr>
        <w:t xml:space="preserve">. Both table 1 and figure 1 demonstrate the evolution of China’s arms exports. The table shows the delineations of China’s arms exports between years and percentages by geographical distribution. </w:t>
      </w:r>
      <w:r w:rsidRPr="00956637">
        <w:rPr>
          <w:rStyle w:val="StyleUnderline"/>
        </w:rPr>
        <w:t xml:space="preserve">It is important to note the low amount of military sales and exchanges between China and Latin America prior to 2000, especially when considering the U.S. shift in foreign policy post-9/11. In contrast, the period </w:t>
      </w:r>
      <w:r w:rsidRPr="00956637">
        <w:rPr>
          <w:rStyle w:val="StyleUnderline"/>
        </w:rPr>
        <w:lastRenderedPageBreak/>
        <w:t>after 2000 is characterized by significant expansion into both African and Latin American markets</w:t>
      </w:r>
      <w:r w:rsidRPr="00C7010D">
        <w:rPr>
          <w:sz w:val="16"/>
        </w:rPr>
        <w:t>.13</w:t>
      </w:r>
    </w:p>
    <w:p w:rsidR="009559DC" w:rsidRPr="00C7010D" w:rsidRDefault="009559DC" w:rsidP="009559DC">
      <w:pPr>
        <w:rPr>
          <w:sz w:val="16"/>
        </w:rPr>
      </w:pPr>
      <w:r w:rsidRPr="00C7010D">
        <w:rPr>
          <w:sz w:val="16"/>
        </w:rPr>
        <w:t xml:space="preserve">Overall, </w:t>
      </w:r>
      <w:r w:rsidRPr="00956637">
        <w:rPr>
          <w:rStyle w:val="StyleUnderline"/>
        </w:rPr>
        <w:t>China’s increased global arms exports indicate an “emergence of a global strategy that attempts to extend China’s economic, political, and possibly military outreach</w:t>
      </w:r>
      <w:r w:rsidRPr="00C7010D">
        <w:rPr>
          <w:sz w:val="16"/>
        </w:rPr>
        <w:t xml:space="preserve">.”14 Figure 1 demonstrates China’s enormous increase in global arms exports from 1990 to 2016. When comparing in five-year periods, China’s global arms exports saw a sharp increase of 88 percent from 1990 to 2015.15 Further, during the 2011–2015 period, </w:t>
      </w:r>
      <w:r w:rsidRPr="00956637">
        <w:rPr>
          <w:rStyle w:val="StyleUnderline"/>
        </w:rPr>
        <w:t>China became “the third largest arms exporter with $8.5 billion in exports” behind both the United States and Russia.16 Although the top recipients of Chinese arm sales are Pakistan, Bangladesh, and Myanmar, it also expanded its customer base to other regions, primarily Africa and Latin America.</w:t>
      </w:r>
      <w:r w:rsidRPr="00C7010D">
        <w:rPr>
          <w:sz w:val="16"/>
        </w:rPr>
        <w:t>17</w:t>
      </w:r>
      <w:r w:rsidRPr="00C73E54">
        <w:fldChar w:fldCharType="begin"/>
      </w:r>
      <w:r w:rsidRPr="00C73E54">
        <w:instrText xml:space="preserve"> INCLUDEPICTURE "https://www.armyupress.army.mil/Portals/7/military-review/img/English/JA-18/Gurrola-figure-1.svg" \* MERGEFORMATINET </w:instrText>
      </w:r>
      <w:r w:rsidRPr="00C73E54">
        <w:fldChar w:fldCharType="end"/>
      </w:r>
    </w:p>
    <w:p w:rsidR="009559DC" w:rsidRPr="00C7010D" w:rsidRDefault="009559DC" w:rsidP="009559DC">
      <w:pPr>
        <w:rPr>
          <w:sz w:val="16"/>
        </w:rPr>
      </w:pPr>
      <w:r w:rsidRPr="00C7010D">
        <w:rPr>
          <w:sz w:val="16"/>
        </w:rPr>
        <w:t xml:space="preserve">As noted in table 1 and figure 2, </w:t>
      </w:r>
      <w:r w:rsidRPr="00484504">
        <w:rPr>
          <w:rStyle w:val="StyleUnderline"/>
        </w:rPr>
        <w:t>China’s entrance into the Latin American arms market is relatively new (since 2000) and can be considered as part of a new comprehensive strategy toward the region</w:t>
      </w:r>
      <w:r w:rsidRPr="00C7010D">
        <w:rPr>
          <w:sz w:val="16"/>
        </w:rPr>
        <w:t xml:space="preserve">. As such, </w:t>
      </w:r>
      <w:r w:rsidRPr="00484504">
        <w:rPr>
          <w:rStyle w:val="StyleUnderline"/>
        </w:rPr>
        <w:t>there are several noteworthy trends in China’s expansion of military engagement in Latin America. Prior to 2000, Chinese arms sales were limited to low-level equipment and military supplies, such as small arms and uniforms.</w:t>
      </w:r>
      <w:r w:rsidRPr="00C7010D">
        <w:rPr>
          <w:sz w:val="16"/>
        </w:rPr>
        <w:t>18</w:t>
      </w:r>
    </w:p>
    <w:p w:rsidR="009559DC" w:rsidRPr="008B7478" w:rsidRDefault="009559DC" w:rsidP="009559DC">
      <w:pPr>
        <w:rPr>
          <w:rStyle w:val="StyleUnderline"/>
        </w:rPr>
      </w:pPr>
      <w:r w:rsidRPr="008B7478">
        <w:rPr>
          <w:rStyle w:val="StyleUnderline"/>
        </w:rPr>
        <w:t xml:space="preserve">A closer look at the evolution of imports by country demonstrates that the growth in sales in the region is initially attributed to and facilitated by a country’s ideological tendencies, particularly in the ALBA countries. </w:t>
      </w:r>
      <w:r w:rsidRPr="00C7010D">
        <w:rPr>
          <w:sz w:val="16"/>
        </w:rPr>
        <w:t xml:space="preserve">As seen in figure 2, </w:t>
      </w:r>
      <w:r w:rsidRPr="008B7478">
        <w:rPr>
          <w:rStyle w:val="StyleUnderline"/>
        </w:rPr>
        <w:t>ALBA member states Venezuela, Ecuador, and Bolivia comprise most of the market share of arms imports from China</w:t>
      </w:r>
      <w:r w:rsidRPr="00C7010D">
        <w:rPr>
          <w:sz w:val="16"/>
        </w:rPr>
        <w:t>. In its own publications, ALBA identifies itself as an “anti-imperialist” and “anti-neoliberal” organization that advocates for a socialist economic model.19 As a U.S.-China Commission report notes, this highlights a possible correlation with “anti-U.S. foreign policy orientation of the purchasers.”20 </w:t>
      </w:r>
      <w:r w:rsidRPr="008B7478">
        <w:rPr>
          <w:rStyle w:val="StyleUnderline"/>
        </w:rPr>
        <w:t>Further, China’s “nonintervention” policy makes arms sales attractive for countries.21 Based on China’s arms sales alone, one can infer its intention in the region is to expand its political influence while securing a future military presence in the region.</w:t>
      </w:r>
    </w:p>
    <w:p w:rsidR="009559DC" w:rsidRPr="008B7478" w:rsidRDefault="009559DC" w:rsidP="009559DC">
      <w:pPr>
        <w:rPr>
          <w:rStyle w:val="StyleUnderline"/>
        </w:rPr>
      </w:pPr>
      <w:r w:rsidRPr="00C7010D">
        <w:rPr>
          <w:sz w:val="16"/>
        </w:rPr>
        <w:t xml:space="preserve">Another factor that contributed to the increase in arms sales is China’s relative comparative advantage. For one, China’s products are less expensive than those offered by the traditional international arms suppliers, such as the United States and Russia. </w:t>
      </w:r>
      <w:r w:rsidRPr="008B7478">
        <w:rPr>
          <w:rStyle w:val="StyleUnderline"/>
        </w:rPr>
        <w:t>More recently, China continues to make inroads into other nations besides the ALBA member states.</w:t>
      </w:r>
      <w:r w:rsidRPr="00C7010D">
        <w:rPr>
          <w:sz w:val="16"/>
        </w:rPr>
        <w:t>22 This indicates an emergence into the market as an important actor. In 2009, “</w:t>
      </w:r>
      <w:r w:rsidRPr="008B7478">
        <w:rPr>
          <w:rStyle w:val="StyleUnderline"/>
        </w:rPr>
        <w:t>Peru—a key economic partner for the United States in the region and supporter of the U.S.-led Trans-Pacific Partnership—purchased fifteen of China’s FN-6 portable surface-to-air missiles (SAMs) in a $1.1 million deal, along with ten more of its SAMs. Then, in 2013, it bought twenty-seven multiple rocket launchers in a $39 million deal.”23 A potential breakthrough for Chinese arms sales in the region came in 2015 when then Argentine president Christina Fernández de Kirchner approved a major arms purchase. The agreement, near $1 billion in Chinese equipment, included “armored personnel carriers, fighter jets, and navy vessels.</w:t>
      </w:r>
      <w:r w:rsidRPr="00C7010D">
        <w:rPr>
          <w:sz w:val="16"/>
        </w:rPr>
        <w:t xml:space="preserve">”24However, President Mauricio </w:t>
      </w:r>
      <w:proofErr w:type="spellStart"/>
      <w:r w:rsidRPr="00C7010D">
        <w:rPr>
          <w:sz w:val="16"/>
        </w:rPr>
        <w:t>Macri</w:t>
      </w:r>
      <w:proofErr w:type="spellEnd"/>
      <w:r w:rsidRPr="00C7010D">
        <w:rPr>
          <w:sz w:val="16"/>
        </w:rPr>
        <w:t>, who is considered more pragmatic and moderate than his predecessor, has adjusted several Sino-Argentine initiatives, including placing the significantly large arms purchase on hold.25 </w:t>
      </w:r>
      <w:r w:rsidRPr="008B7478">
        <w:rPr>
          <w:rStyle w:val="StyleUnderline"/>
        </w:rPr>
        <w:t>Despite Argentina’s deferment, these recent developments indicate Chinese arms sales continue to make inroads with Latin American militaries.</w:t>
      </w:r>
    </w:p>
    <w:p w:rsidR="009559DC" w:rsidRDefault="009559DC" w:rsidP="00454283">
      <w:pPr>
        <w:rPr>
          <w:sz w:val="16"/>
        </w:rPr>
      </w:pPr>
    </w:p>
    <w:p w:rsidR="00454283" w:rsidRDefault="00E44EC5" w:rsidP="00E44EC5">
      <w:pPr>
        <w:pStyle w:val="Heading3"/>
      </w:pPr>
      <w:r>
        <w:lastRenderedPageBreak/>
        <w:t>AT: Russia Fill-in</w:t>
      </w:r>
    </w:p>
    <w:p w:rsidR="00E44EC5" w:rsidRDefault="00E44EC5" w:rsidP="00E44EC5">
      <w:pPr>
        <w:pStyle w:val="Heading4"/>
      </w:pPr>
      <w:r>
        <w:t xml:space="preserve">Russia has no interest in Mexico – Arms sales died off after the cold war, and their current trade is incredibly sad </w:t>
      </w:r>
    </w:p>
    <w:p w:rsidR="00E44EC5" w:rsidRDefault="00E44EC5" w:rsidP="00E44EC5">
      <w:r w:rsidRPr="00757C00">
        <w:rPr>
          <w:rStyle w:val="Style13ptBold"/>
        </w:rPr>
        <w:t xml:space="preserve">Miles 18 </w:t>
      </w:r>
      <w:r>
        <w:t>(Richard Miles, Senior Associate (Non-resident) at CSIS, Americas Program, “</w:t>
      </w:r>
      <w:r w:rsidRPr="00757C00">
        <w:t>Russia Has Few Interests in Mexico</w:t>
      </w:r>
      <w:r>
        <w:t xml:space="preserve">,” </w:t>
      </w:r>
      <w:r w:rsidRPr="00757C00">
        <w:t>February 26, 2018</w:t>
      </w:r>
      <w:r>
        <w:t xml:space="preserve">, </w:t>
      </w:r>
      <w:hyperlink r:id="rId57" w:history="1">
        <w:r w:rsidRPr="004A1BE9">
          <w:rPr>
            <w:rStyle w:val="Hyperlink"/>
          </w:rPr>
          <w:t>https://www.csis.org/analysis/russia-has-few-interests-mexico</w:t>
        </w:r>
      </w:hyperlink>
      <w:r>
        <w:t xml:space="preserve"> ) //</w:t>
      </w:r>
      <w:proofErr w:type="spellStart"/>
      <w:r>
        <w:t>ZoL</w:t>
      </w:r>
      <w:proofErr w:type="spellEnd"/>
    </w:p>
    <w:p w:rsidR="00E44EC5" w:rsidRPr="006D713E" w:rsidRDefault="00E44EC5" w:rsidP="00E44EC5">
      <w:pPr>
        <w:rPr>
          <w:sz w:val="16"/>
        </w:rPr>
      </w:pPr>
      <w:r w:rsidRPr="00727940">
        <w:rPr>
          <w:rStyle w:val="Emphasis"/>
        </w:rPr>
        <w:t xml:space="preserve">Russia has had a </w:t>
      </w:r>
      <w:r w:rsidRPr="006D713E">
        <w:rPr>
          <w:sz w:val="16"/>
        </w:rPr>
        <w:t xml:space="preserve">long but </w:t>
      </w:r>
      <w:r w:rsidRPr="00727940">
        <w:rPr>
          <w:rStyle w:val="Emphasis"/>
        </w:rPr>
        <w:t>superficial relationship with Mexico</w:t>
      </w:r>
      <w:r w:rsidRPr="006D713E">
        <w:rPr>
          <w:sz w:val="16"/>
        </w:rPr>
        <w:t xml:space="preserve">. </w:t>
      </w:r>
      <w:r w:rsidRPr="00727940">
        <w:rPr>
          <w:u w:val="single"/>
        </w:rPr>
        <w:t>Despite regular diplomatic and commercial relations since 1945</w:t>
      </w:r>
      <w:r w:rsidRPr="006D713E">
        <w:rPr>
          <w:sz w:val="16"/>
        </w:rPr>
        <w:t xml:space="preserve">, punctuated by periods of shared antipathy toward the United States, </w:t>
      </w:r>
      <w:r w:rsidRPr="00727940">
        <w:rPr>
          <w:rStyle w:val="Emphasis"/>
        </w:rPr>
        <w:t>the two countries have not developed strong commercial or cultural ties</w:t>
      </w:r>
      <w:r w:rsidRPr="006D713E">
        <w:rPr>
          <w:sz w:val="16"/>
        </w:rPr>
        <w:t xml:space="preserve">. </w:t>
      </w:r>
      <w:r w:rsidRPr="00727940">
        <w:rPr>
          <w:u w:val="single"/>
        </w:rPr>
        <w:t>Except for a brief period of activity at the height of the Cold War, featuring a strong Soviet intelligence presence and limited arms sales, there is not much to build on</w:t>
      </w:r>
      <w:r w:rsidRPr="006D713E">
        <w:rPr>
          <w:sz w:val="16"/>
        </w:rPr>
        <w:t xml:space="preserve">. It is not obvious how a victory by leftist Andrés Manuel López Obrador (AMLO) in the July 1 Mexican presidential election would necessarily advance Russian goals in Mexico, if those goals indeed exist. </w:t>
      </w:r>
      <w:r w:rsidRPr="00727940">
        <w:rPr>
          <w:u w:val="single"/>
        </w:rPr>
        <w:t xml:space="preserve">Though diplomats from both countries continue to mouth niceties about increasing trade, </w:t>
      </w:r>
      <w:r w:rsidRPr="006D713E">
        <w:rPr>
          <w:sz w:val="16"/>
        </w:rPr>
        <w:t xml:space="preserve">apparently </w:t>
      </w:r>
      <w:r w:rsidRPr="00727940">
        <w:rPr>
          <w:u w:val="single"/>
        </w:rPr>
        <w:t>few of their business people are listening</w:t>
      </w:r>
      <w:r w:rsidRPr="006D713E">
        <w:rPr>
          <w:sz w:val="16"/>
        </w:rPr>
        <w:t xml:space="preserve">. </w:t>
      </w:r>
      <w:r w:rsidRPr="00727940">
        <w:rPr>
          <w:u w:val="single"/>
        </w:rPr>
        <w:t>For the entire year of 2016, Russia and Mexico had $1.7 billion in trade</w:t>
      </w:r>
      <w:r w:rsidRPr="006D713E">
        <w:rPr>
          <w:sz w:val="16"/>
        </w:rPr>
        <w:t xml:space="preserve">. </w:t>
      </w:r>
      <w:r w:rsidRPr="00727940">
        <w:rPr>
          <w:rStyle w:val="Emphasis"/>
        </w:rPr>
        <w:t>That is roughly equal to the value of goods that cross the U.S.-Mexico border every 31 hours</w:t>
      </w:r>
      <w:r w:rsidRPr="006D713E">
        <w:rPr>
          <w:sz w:val="16"/>
        </w:rPr>
        <w:t xml:space="preserve">. Although Mexican president Peña Nieto discussed possible Russian investment in the oil sector with President Putin last year, nothing has come of it. </w:t>
      </w:r>
      <w:r w:rsidRPr="00727940">
        <w:rPr>
          <w:u w:val="single"/>
        </w:rPr>
        <w:t>Mexico is Russia’s 42th-largest export market, representing less than half a percent of its exports, while Russia is just 44th on Mexico’s export list</w:t>
      </w:r>
      <w:r w:rsidRPr="006D713E">
        <w:rPr>
          <w:sz w:val="16"/>
        </w:rPr>
        <w:t xml:space="preserve">. </w:t>
      </w:r>
      <w:r w:rsidRPr="00727940">
        <w:rPr>
          <w:u w:val="single"/>
        </w:rPr>
        <w:t>Mexico trades more in absolute terms with neighboring Guatemala, a country about one-tenth the size of Russia and more than twice as poor</w:t>
      </w:r>
      <w:r w:rsidRPr="006D713E">
        <w:rPr>
          <w:sz w:val="16"/>
        </w:rPr>
        <w:t xml:space="preserve">. </w:t>
      </w:r>
      <w:r w:rsidRPr="00727940">
        <w:rPr>
          <w:rStyle w:val="Emphasis"/>
        </w:rPr>
        <w:t>Investment between the two countries is so low it can barely be measured</w:t>
      </w:r>
      <w:r w:rsidRPr="006D713E">
        <w:rPr>
          <w:sz w:val="16"/>
        </w:rPr>
        <w:t xml:space="preserve">. </w:t>
      </w:r>
      <w:r w:rsidRPr="00727940">
        <w:rPr>
          <w:u w:val="single"/>
        </w:rPr>
        <w:t xml:space="preserve">In 2016, Russian direct investment in Mexico was only $2 million, which in the same year </w:t>
      </w:r>
      <w:proofErr w:type="gramStart"/>
      <w:r w:rsidRPr="00727940">
        <w:rPr>
          <w:u w:val="single"/>
        </w:rPr>
        <w:t>almost could</w:t>
      </w:r>
      <w:proofErr w:type="gramEnd"/>
      <w:r w:rsidRPr="00727940">
        <w:rPr>
          <w:u w:val="single"/>
        </w:rPr>
        <w:t xml:space="preserve"> have purchased a 15-second Super Bowl commercial</w:t>
      </w:r>
      <w:r w:rsidRPr="006D713E">
        <w:rPr>
          <w:sz w:val="16"/>
        </w:rPr>
        <w:t xml:space="preserve">. </w:t>
      </w:r>
      <w:r w:rsidRPr="006D713E">
        <w:rPr>
          <w:rStyle w:val="Emphasis"/>
        </w:rPr>
        <w:t>Mexico reported zero direct investment in Russia</w:t>
      </w:r>
      <w:r w:rsidRPr="006D713E">
        <w:rPr>
          <w:sz w:val="16"/>
        </w:rPr>
        <w:t xml:space="preserve">. Worldwide in 2016, Mexico pulled in over $29 billion in foreign direct investment from the rest of the world. </w:t>
      </w:r>
      <w:r w:rsidRPr="006D713E">
        <w:rPr>
          <w:rStyle w:val="Emphasis"/>
        </w:rPr>
        <w:t>Even the lucrative arms trade is missing from the Russia-Mexico bilateral relationship</w:t>
      </w:r>
      <w:r w:rsidRPr="006D713E">
        <w:rPr>
          <w:sz w:val="16"/>
        </w:rPr>
        <w:t xml:space="preserve">. </w:t>
      </w:r>
      <w:r w:rsidRPr="006D713E">
        <w:rPr>
          <w:rStyle w:val="Emphasis"/>
        </w:rPr>
        <w:t>Mexico last purchased Russian weaponry in 2012</w:t>
      </w:r>
      <w:r w:rsidRPr="006D713E">
        <w:rPr>
          <w:sz w:val="16"/>
        </w:rPr>
        <w:t xml:space="preserve">, a $20 million order for Mi-8 transport helicopters. </w:t>
      </w:r>
      <w:r w:rsidRPr="006D713E">
        <w:rPr>
          <w:rStyle w:val="Emphasis"/>
        </w:rPr>
        <w:t>From 2006 to 2016, it purchased a total of $61 million worth of weaponry</w:t>
      </w:r>
      <w:r w:rsidRPr="006D713E">
        <w:rPr>
          <w:sz w:val="16"/>
        </w:rPr>
        <w:t xml:space="preserve">, all for Mi-8 helicopters. </w:t>
      </w:r>
      <w:r w:rsidRPr="006D713E">
        <w:rPr>
          <w:u w:val="single"/>
        </w:rPr>
        <w:t>This was a small fraction of the $1.7 billion in weapons from other countries, principally the United States</w:t>
      </w:r>
      <w:r w:rsidRPr="006D713E">
        <w:rPr>
          <w:sz w:val="16"/>
        </w:rPr>
        <w:t xml:space="preserve">, Spain, and France. </w:t>
      </w:r>
      <w:r w:rsidRPr="006D713E">
        <w:rPr>
          <w:rStyle w:val="Emphasis"/>
        </w:rPr>
        <w:t>Russian sales to Mexico over the last decade rank below those from the Netherlands</w:t>
      </w:r>
      <w:r w:rsidRPr="006D713E">
        <w:rPr>
          <w:sz w:val="16"/>
        </w:rPr>
        <w:t xml:space="preserve">. As a strategic outpost during the Cold War, Mexico had some value to the Soviet Union. The Soviet’s large embassy, centrally located in a pleasant area of Mexico City not far from the U.S. embassy (and close to fashionable expatriate neighborhoods), served as a base for Russian spies. It also was where Lee Harvey Oswald famously met with a KGB agent six weeks before he shot President John F. Kennedy. But </w:t>
      </w:r>
      <w:r w:rsidRPr="006D713E">
        <w:rPr>
          <w:u w:val="single"/>
        </w:rPr>
        <w:t>since the fall of the Soviet empire in 1991, Russian diplomatic interest has waned</w:t>
      </w:r>
      <w:r w:rsidRPr="006D713E">
        <w:rPr>
          <w:sz w:val="16"/>
        </w:rPr>
        <w:t xml:space="preserve">. </w:t>
      </w:r>
      <w:r w:rsidRPr="006D713E">
        <w:rPr>
          <w:u w:val="single"/>
        </w:rPr>
        <w:t>Although President Vladimir Putin has met twice with Mexican presidents</w:t>
      </w:r>
      <w:r w:rsidRPr="006D713E">
        <w:rPr>
          <w:sz w:val="16"/>
        </w:rPr>
        <w:t xml:space="preserve"> (in 2004 with Vicente Fox and in 2012 with Enrique Peña Nieto), </w:t>
      </w:r>
      <w:r w:rsidRPr="006D713E">
        <w:rPr>
          <w:u w:val="single"/>
        </w:rPr>
        <w:t>high-level meetings are infrequent</w:t>
      </w:r>
      <w:r w:rsidRPr="006D713E">
        <w:rPr>
          <w:sz w:val="16"/>
        </w:rPr>
        <w:t xml:space="preserve">. Foreign Minister Luis </w:t>
      </w:r>
      <w:proofErr w:type="spellStart"/>
      <w:r w:rsidRPr="006D713E">
        <w:rPr>
          <w:sz w:val="16"/>
        </w:rPr>
        <w:t>Videgaray</w:t>
      </w:r>
      <w:proofErr w:type="spellEnd"/>
      <w:r w:rsidRPr="006D713E">
        <w:rPr>
          <w:sz w:val="16"/>
        </w:rPr>
        <w:t xml:space="preserve"> made his first trip to Moscow in late 2017, the first since President Felipe Calderon’s foreign minister, Patricia Espinosa, visited in 2011.</w:t>
      </w:r>
    </w:p>
    <w:p w:rsidR="00734CCA" w:rsidRDefault="00734CCA" w:rsidP="00734CCA">
      <w:pPr>
        <w:pStyle w:val="Heading4"/>
      </w:pPr>
      <w:r>
        <w:t>Non UQ- Russia already sells high numbers of arms to Mexico- deals are in the making now</w:t>
      </w:r>
    </w:p>
    <w:p w:rsidR="00734CCA" w:rsidRPr="004B6E50" w:rsidRDefault="00734CCA" w:rsidP="00734CCA">
      <w:pPr>
        <w:spacing w:line="240" w:lineRule="auto"/>
        <w:rPr>
          <w:b/>
          <w:sz w:val="26"/>
        </w:rPr>
      </w:pPr>
      <w:proofErr w:type="spellStart"/>
      <w:r>
        <w:rPr>
          <w:rStyle w:val="Style13ptBold"/>
        </w:rPr>
        <w:t>Krauze</w:t>
      </w:r>
      <w:proofErr w:type="spellEnd"/>
      <w:r>
        <w:rPr>
          <w:rStyle w:val="Style13ptBold"/>
        </w:rPr>
        <w:t xml:space="preserve"> 19 </w:t>
      </w:r>
      <w:proofErr w:type="gramStart"/>
      <w:r>
        <w:t xml:space="preserve">( </w:t>
      </w:r>
      <w:r w:rsidRPr="003E30A5">
        <w:t>León</w:t>
      </w:r>
      <w:proofErr w:type="gramEnd"/>
      <w:r w:rsidRPr="003E30A5">
        <w:t xml:space="preserve"> </w:t>
      </w:r>
      <w:proofErr w:type="spellStart"/>
      <w:r w:rsidRPr="003E30A5">
        <w:t>Krauze</w:t>
      </w:r>
      <w:proofErr w:type="spellEnd"/>
      <w:r>
        <w:t xml:space="preserve">: </w:t>
      </w:r>
      <w:r w:rsidRPr="003E30A5">
        <w:t xml:space="preserve">a columnist for Slate and co-host of </w:t>
      </w:r>
      <w:proofErr w:type="spellStart"/>
      <w:r w:rsidRPr="003E30A5">
        <w:t>Trumpcast</w:t>
      </w:r>
      <w:proofErr w:type="spellEnd"/>
      <w:r w:rsidRPr="003E30A5">
        <w:t>. He is a news anchor for Univision based in Los Angeles and a senior fellow at the University of Southern California’s Annenberg Center on Communication Leadership &amp; Policy</w:t>
      </w:r>
      <w:r>
        <w:t xml:space="preserve">. 2-14-2019, “What’s Russia Up to in Mexico?,” </w:t>
      </w:r>
      <w:hyperlink r:id="rId58" w:history="1">
        <w:r>
          <w:rPr>
            <w:rStyle w:val="Hyperlink"/>
          </w:rPr>
          <w:t>https://slate.com/news-and-politics/2019/02/russia-mexico-delegation-energy-sector.html</w:t>
        </w:r>
      </w:hyperlink>
      <w:r>
        <w:t>)//EK</w:t>
      </w:r>
    </w:p>
    <w:p w:rsidR="00734CCA" w:rsidRPr="004B6E50" w:rsidRDefault="00734CCA" w:rsidP="00734CCA">
      <w:pPr>
        <w:rPr>
          <w:sz w:val="16"/>
        </w:rPr>
      </w:pPr>
      <w:r w:rsidRPr="004B6E50">
        <w:rPr>
          <w:sz w:val="16"/>
        </w:rPr>
        <w:lastRenderedPageBreak/>
        <w:t xml:space="preserve">Vladimir </w:t>
      </w:r>
      <w:r w:rsidRPr="004B6E50">
        <w:rPr>
          <w:u w:val="single"/>
        </w:rPr>
        <w:t xml:space="preserve">Putin’s interest in Latin America is </w:t>
      </w:r>
      <w:hyperlink r:id="rId59" w:history="1">
        <w:r w:rsidRPr="004B6E50">
          <w:rPr>
            <w:rStyle w:val="Hyperlink"/>
            <w:u w:val="single"/>
          </w:rPr>
          <w:t>well documented</w:t>
        </w:r>
      </w:hyperlink>
      <w:r w:rsidRPr="004B6E50">
        <w:rPr>
          <w:u w:val="single"/>
        </w:rPr>
        <w:t>.</w:t>
      </w:r>
      <w:r w:rsidRPr="004B6E50">
        <w:rPr>
          <w:sz w:val="16"/>
        </w:rPr>
        <w:t xml:space="preserve"> In Venezuela, Russia has gained a </w:t>
      </w:r>
      <w:hyperlink r:id="rId60" w:history="1">
        <w:r w:rsidRPr="004B6E50">
          <w:rPr>
            <w:rStyle w:val="Hyperlink"/>
            <w:sz w:val="16"/>
          </w:rPr>
          <w:t>foothold</w:t>
        </w:r>
      </w:hyperlink>
      <w:r w:rsidRPr="004B6E50">
        <w:rPr>
          <w:sz w:val="16"/>
        </w:rPr>
        <w:t xml:space="preserve"> in the energy sector and vast oilfields in exchange for financing Nicolás Maduro’s regime. It should come as no surprise that Russia has refused to recognize Juan </w:t>
      </w:r>
      <w:proofErr w:type="spellStart"/>
      <w:r w:rsidRPr="004B6E50">
        <w:rPr>
          <w:sz w:val="16"/>
        </w:rPr>
        <w:t>Guaidó’s</w:t>
      </w:r>
      <w:proofErr w:type="spellEnd"/>
      <w:r w:rsidRPr="004B6E50">
        <w:rPr>
          <w:sz w:val="16"/>
        </w:rPr>
        <w:t xml:space="preserve"> interim presidency or that the Kremlin’s RT website repeatedly </w:t>
      </w:r>
      <w:hyperlink r:id="rId61" w:history="1">
        <w:r w:rsidRPr="004B6E50">
          <w:rPr>
            <w:rStyle w:val="Hyperlink"/>
            <w:sz w:val="16"/>
          </w:rPr>
          <w:t>parrots</w:t>
        </w:r>
      </w:hyperlink>
      <w:r w:rsidRPr="004B6E50">
        <w:rPr>
          <w:sz w:val="16"/>
        </w:rPr>
        <w:t xml:space="preserve"> Maduro’s deceitful talking points. </w:t>
      </w:r>
      <w:r w:rsidRPr="004B6E50">
        <w:rPr>
          <w:u w:val="single"/>
        </w:rPr>
        <w:t>But with Maduro’s government now on the brink of collapse, Russia has begun to look elsewhere. If a recent high-level conference is any indication, Putin and his cronies have managed to find a new willing partner even closer to the United States: Mexico.</w:t>
      </w:r>
      <w:r w:rsidRPr="004B6E50">
        <w:rPr>
          <w:sz w:val="16"/>
        </w:rPr>
        <w:t xml:space="preserve"> </w:t>
      </w:r>
      <w:r w:rsidRPr="004B6E50">
        <w:rPr>
          <w:u w:val="single"/>
        </w:rPr>
        <w:t xml:space="preserve">In a Feb. 7 meeting, covered with great fanfare by both </w:t>
      </w:r>
      <w:hyperlink r:id="rId62" w:history="1">
        <w:r w:rsidRPr="004B6E50">
          <w:rPr>
            <w:rStyle w:val="Hyperlink"/>
            <w:u w:val="single"/>
          </w:rPr>
          <w:t>RT</w:t>
        </w:r>
      </w:hyperlink>
      <w:r w:rsidRPr="004B6E50">
        <w:rPr>
          <w:u w:val="single"/>
        </w:rPr>
        <w:t xml:space="preserve"> and state-run news wire </w:t>
      </w:r>
      <w:hyperlink r:id="rId63" w:history="1">
        <w:r w:rsidRPr="004B6E50">
          <w:rPr>
            <w:rStyle w:val="Hyperlink"/>
            <w:u w:val="single"/>
          </w:rPr>
          <w:t>Sputnik</w:t>
        </w:r>
      </w:hyperlink>
      <w:r w:rsidRPr="004B6E50">
        <w:rPr>
          <w:u w:val="single"/>
        </w:rPr>
        <w:t xml:space="preserve">, Mexican lawmakers welcomed a Russian delegation to discuss investment opportunities in Mexico’s energy sector. </w:t>
      </w:r>
      <w:r w:rsidRPr="004B6E50">
        <w:rPr>
          <w:sz w:val="16"/>
        </w:rPr>
        <w:t xml:space="preserve">Congressman Manuel Rodríguez, who chairs the lower chamber’s energy commission, </w:t>
      </w:r>
      <w:hyperlink r:id="rId64" w:history="1">
        <w:r w:rsidRPr="004B6E50">
          <w:rPr>
            <w:rStyle w:val="Hyperlink"/>
            <w:sz w:val="16"/>
          </w:rPr>
          <w:t>sang</w:t>
        </w:r>
      </w:hyperlink>
      <w:r w:rsidRPr="004B6E50">
        <w:rPr>
          <w:sz w:val="16"/>
        </w:rPr>
        <w:t xml:space="preserve"> the guests’ praises. “It’s a great honor to be here among members of the Russian legislature and a group of businessmen from Russia, a great nation and a friend of Mexico,” Rodríguez said. </w:t>
      </w:r>
      <w:r w:rsidRPr="004B6E50">
        <w:rPr>
          <w:u w:val="single"/>
        </w:rPr>
        <w:t xml:space="preserve">Cora </w:t>
      </w:r>
      <w:proofErr w:type="spellStart"/>
      <w:r w:rsidRPr="004B6E50">
        <w:rPr>
          <w:u w:val="single"/>
        </w:rPr>
        <w:t>Pinedo</w:t>
      </w:r>
      <w:proofErr w:type="spellEnd"/>
      <w:r w:rsidRPr="004B6E50">
        <w:rPr>
          <w:u w:val="single"/>
        </w:rPr>
        <w:t xml:space="preserve">, a senator, told reporters that, given its “vast experience” in the field, Russia has “plenty to teach” Mexico. She then echoed her colleague Rodríguez’s excitement: She had been “honored” to host the Russian delegation. By itself, the meeting might not be newsworthy: Members of the Mexican Congress have the prerogative to open the Senate’s doors to guests from abroad, and they certainly have the right to be overwhelmed with fervor for whomever they see fit. But this Russian group wasn’t just any group. The delegation that visited Mexico was led by Sen. Alexander </w:t>
      </w:r>
      <w:proofErr w:type="spellStart"/>
      <w:r w:rsidRPr="004B6E50">
        <w:rPr>
          <w:u w:val="single"/>
        </w:rPr>
        <w:t>Babakov</w:t>
      </w:r>
      <w:proofErr w:type="spellEnd"/>
      <w:r w:rsidRPr="004B6E50">
        <w:rPr>
          <w:u w:val="single"/>
        </w:rPr>
        <w:t xml:space="preserve">, deputy chair of the Russian Federation’s Council Committee on Foreign Affairs. </w:t>
      </w:r>
      <w:proofErr w:type="spellStart"/>
      <w:r w:rsidRPr="004B6E50">
        <w:rPr>
          <w:u w:val="single"/>
        </w:rPr>
        <w:t>Babakov</w:t>
      </w:r>
      <w:proofErr w:type="spellEnd"/>
      <w:r w:rsidRPr="004B6E50">
        <w:rPr>
          <w:u w:val="single"/>
        </w:rPr>
        <w:t xml:space="preserve"> has become a poster boy for the brazen kleptocracy that has made Russia one of the most </w:t>
      </w:r>
      <w:hyperlink r:id="rId65" w:history="1">
        <w:r w:rsidRPr="004B6E50">
          <w:rPr>
            <w:rStyle w:val="Hyperlink"/>
            <w:u w:val="single"/>
          </w:rPr>
          <w:t>corrupt</w:t>
        </w:r>
      </w:hyperlink>
      <w:r w:rsidRPr="004B6E50">
        <w:rPr>
          <w:u w:val="single"/>
        </w:rPr>
        <w:t xml:space="preserve"> countries in the world. Though in recent years his reported annual </w:t>
      </w:r>
      <w:hyperlink r:id="rId66" w:history="1">
        <w:r w:rsidRPr="004B6E50">
          <w:rPr>
            <w:rStyle w:val="Hyperlink"/>
            <w:u w:val="single"/>
          </w:rPr>
          <w:t>income</w:t>
        </w:r>
      </w:hyperlink>
      <w:r w:rsidRPr="004B6E50">
        <w:rPr>
          <w:u w:val="single"/>
        </w:rPr>
        <w:t xml:space="preserve"> has only been $128,000, he is reportedly building a fortune. </w:t>
      </w:r>
      <w:r w:rsidRPr="004B6E50">
        <w:rPr>
          <w:sz w:val="16"/>
        </w:rPr>
        <w:t xml:space="preserve">Property </w:t>
      </w:r>
      <w:hyperlink r:id="rId67" w:history="1">
        <w:r w:rsidRPr="004B6E50">
          <w:rPr>
            <w:rStyle w:val="Hyperlink"/>
            <w:sz w:val="16"/>
          </w:rPr>
          <w:t>records</w:t>
        </w:r>
      </w:hyperlink>
      <w:r w:rsidRPr="004B6E50">
        <w:rPr>
          <w:sz w:val="16"/>
        </w:rPr>
        <w:t xml:space="preserve">, for example, indicate that the humble </w:t>
      </w:r>
      <w:proofErr w:type="spellStart"/>
      <w:r w:rsidRPr="004B6E50">
        <w:rPr>
          <w:sz w:val="16"/>
        </w:rPr>
        <w:t>Babakov</w:t>
      </w:r>
      <w:proofErr w:type="spellEnd"/>
      <w:r w:rsidRPr="004B6E50">
        <w:rPr>
          <w:sz w:val="16"/>
        </w:rPr>
        <w:t xml:space="preserve"> and his family own a chateau in France and an apartment in Paris. </w:t>
      </w:r>
      <w:proofErr w:type="spellStart"/>
      <w:r w:rsidRPr="004B6E50">
        <w:rPr>
          <w:sz w:val="16"/>
        </w:rPr>
        <w:t>Babakov’s</w:t>
      </w:r>
      <w:proofErr w:type="spellEnd"/>
      <w:r w:rsidRPr="004B6E50">
        <w:rPr>
          <w:sz w:val="16"/>
        </w:rPr>
        <w:t xml:space="preserve"> name also appears in the Panama Papers as the likely beneficiary of dishonest enrichment schemes in Ukraine through a company called </w:t>
      </w:r>
      <w:hyperlink r:id="rId68" w:history="1">
        <w:r w:rsidRPr="004B6E50">
          <w:rPr>
            <w:rStyle w:val="Hyperlink"/>
            <w:sz w:val="16"/>
          </w:rPr>
          <w:t>VS Energy</w:t>
        </w:r>
      </w:hyperlink>
      <w:r w:rsidRPr="004B6E50">
        <w:rPr>
          <w:sz w:val="16"/>
        </w:rPr>
        <w:t xml:space="preserve">. </w:t>
      </w:r>
      <w:proofErr w:type="spellStart"/>
      <w:r w:rsidRPr="004B6E50">
        <w:rPr>
          <w:sz w:val="16"/>
        </w:rPr>
        <w:t>Babakov</w:t>
      </w:r>
      <w:proofErr w:type="spellEnd"/>
      <w:r w:rsidRPr="004B6E50">
        <w:rPr>
          <w:sz w:val="16"/>
        </w:rPr>
        <w:t xml:space="preserve"> has been sanctioned by the </w:t>
      </w:r>
      <w:hyperlink r:id="rId69" w:history="1">
        <w:r w:rsidRPr="004B6E50">
          <w:rPr>
            <w:rStyle w:val="Hyperlink"/>
            <w:sz w:val="16"/>
          </w:rPr>
          <w:t>United States</w:t>
        </w:r>
      </w:hyperlink>
      <w:r w:rsidRPr="004B6E50">
        <w:rPr>
          <w:sz w:val="16"/>
        </w:rPr>
        <w:t xml:space="preserve"> and the EU for his role in the annexation of Crimea and is also believed to have been a </w:t>
      </w:r>
      <w:hyperlink r:id="rId70" w:history="1">
        <w:r w:rsidRPr="004B6E50">
          <w:rPr>
            <w:rStyle w:val="Hyperlink"/>
            <w:sz w:val="16"/>
          </w:rPr>
          <w:t>crucial player</w:t>
        </w:r>
      </w:hyperlink>
      <w:r w:rsidRPr="004B6E50">
        <w:rPr>
          <w:sz w:val="16"/>
        </w:rPr>
        <w:t xml:space="preserve"> in the financing arrangements between Russia and Marine Le Pen’s National Front in France.</w:t>
      </w:r>
    </w:p>
    <w:p w:rsidR="00734CCA" w:rsidRDefault="00734CCA" w:rsidP="00734CCA">
      <w:pPr>
        <w:pStyle w:val="Heading4"/>
      </w:pPr>
      <w:r>
        <w:t>US efforts thump fill-in now</w:t>
      </w:r>
    </w:p>
    <w:p w:rsidR="00734CCA" w:rsidRPr="000B62DF" w:rsidRDefault="00734CCA" w:rsidP="00734CCA">
      <w:pPr>
        <w:rPr>
          <w:b/>
          <w:sz w:val="26"/>
        </w:rPr>
      </w:pPr>
      <w:r>
        <w:rPr>
          <w:rStyle w:val="Style13ptBold"/>
        </w:rPr>
        <w:t xml:space="preserve">Seligman 18 </w:t>
      </w:r>
      <w:r>
        <w:t xml:space="preserve">(Lara Seligman: </w:t>
      </w:r>
      <w:r w:rsidRPr="000B62DF">
        <w:t>Foreign Policy’s Pentagon correspondent. Before joining FP, she served as the Pentagon editor for Aviation Week and Space Technology. Seligman has also held positions at Inside Defense, Defense News, National Journal, and The Hill. She is a graduate of the University of Pennsylvania</w:t>
      </w:r>
      <w:r>
        <w:t xml:space="preserve">, 11-19-2018, “U.S. Military Targets Growing Russian and Chinese Influence in Latin America,” </w:t>
      </w:r>
      <w:hyperlink r:id="rId71" w:history="1">
        <w:r>
          <w:rPr>
            <w:rStyle w:val="Hyperlink"/>
          </w:rPr>
          <w:t>https://foreignpolicy.com/2018/11/19/us-military-targets-growing-russian-and-chinese-influence-in-latin-america/</w:t>
        </w:r>
      </w:hyperlink>
      <w:r>
        <w:t>)//EK</w:t>
      </w:r>
    </w:p>
    <w:p w:rsidR="00734CCA" w:rsidRPr="000B62DF" w:rsidRDefault="00734CCA" w:rsidP="00734CCA">
      <w:pPr>
        <w:rPr>
          <w:u w:val="single"/>
        </w:rPr>
      </w:pPr>
      <w:r w:rsidRPr="000B62DF">
        <w:rPr>
          <w:sz w:val="14"/>
        </w:rPr>
        <w:t xml:space="preserve">U.S. Air Force Chief of Staff Gen. </w:t>
      </w:r>
      <w:r w:rsidRPr="000B62DF">
        <w:rPr>
          <w:u w:val="single"/>
        </w:rPr>
        <w:t xml:space="preserve">David Goldfein, </w:t>
      </w:r>
      <w:r w:rsidRPr="000B62DF">
        <w:rPr>
          <w:sz w:val="14"/>
        </w:rPr>
        <w:t xml:space="preserve">returning from a trip to Colombia, </w:t>
      </w:r>
      <w:r w:rsidRPr="000B62DF">
        <w:rPr>
          <w:u w:val="single"/>
        </w:rPr>
        <w:t>said over the weekend that the Trump administration is making a push to strengthen alliances across Latin America as part of an effort to counter rising Chinese and Russian influence in the United States’ backyard.</w:t>
      </w:r>
      <w:r w:rsidRPr="000B62DF">
        <w:rPr>
          <w:sz w:val="14"/>
        </w:rPr>
        <w:t xml:space="preserve"> In an interview with Foreign Policy, </w:t>
      </w:r>
      <w:r w:rsidRPr="000B62DF">
        <w:rPr>
          <w:u w:val="single"/>
        </w:rPr>
        <w:t xml:space="preserve">Goldfein said Colombia and other Latin American countries risked being locked out of U.S. and allied operations if they stopped buying military hardware from the United States and turned to other markets instead. “While there may be other cheap hardware out there that might be available on the market, at some point it becomes really hard to make it connect and share within the system,” </w:t>
      </w:r>
      <w:r w:rsidRPr="000B62DF">
        <w:rPr>
          <w:sz w:val="14"/>
        </w:rPr>
        <w:t>Goldfein said by phone Saturday while flying home from Colombia. His trip was part of a broader administration effort to reinforce alliances across Latin America as the region grapples with a range of security threats, from narcotrafficking and terrorism to Venezuela’s economic collapse and ensuing refugee crisis. During the two-day visit, which followed U.S. Defense Secretary James Mattis’s own</w:t>
      </w:r>
      <w:hyperlink r:id="rId72" w:history="1">
        <w:r w:rsidRPr="000B62DF">
          <w:rPr>
            <w:rStyle w:val="Hyperlink"/>
            <w:sz w:val="14"/>
          </w:rPr>
          <w:t xml:space="preserve"> South America tour</w:t>
        </w:r>
      </w:hyperlink>
      <w:r w:rsidRPr="000B62DF">
        <w:rPr>
          <w:sz w:val="14"/>
        </w:rPr>
        <w:t xml:space="preserve"> in August, Goldfein met with Colombia’s minister of defense, commander general, and air force chief, and he spoke with students at the Colombian war college. </w:t>
      </w:r>
      <w:r w:rsidRPr="000B62DF">
        <w:rPr>
          <w:u w:val="single"/>
        </w:rPr>
        <w:t xml:space="preserve">“When it comes to China and Russia, we are looking at cooperation where we can and pushing back aggressively where we must,” Goldfein said. “We keep a close </w:t>
      </w:r>
      <w:r w:rsidRPr="000B62DF">
        <w:rPr>
          <w:u w:val="single"/>
        </w:rPr>
        <w:lastRenderedPageBreak/>
        <w:t>eye on their activities globally, but certainly we keep an eye on their activities [in Latin America].”</w:t>
      </w:r>
    </w:p>
    <w:p w:rsidR="00734CCA" w:rsidRDefault="00734CCA" w:rsidP="00734CCA">
      <w:pPr>
        <w:pStyle w:val="Heading4"/>
      </w:pPr>
      <w:r>
        <w:t>European Recapitalization Incentive Program prevents Russia/China arms expansion</w:t>
      </w:r>
    </w:p>
    <w:p w:rsidR="00734CCA" w:rsidRPr="00C8418E" w:rsidRDefault="00734CCA" w:rsidP="00734CCA">
      <w:pPr>
        <w:rPr>
          <w:b/>
          <w:sz w:val="26"/>
        </w:rPr>
      </w:pPr>
      <w:r>
        <w:rPr>
          <w:rStyle w:val="Style13ptBold"/>
        </w:rPr>
        <w:t>Stilwell 19</w:t>
      </w:r>
      <w:r>
        <w:t xml:space="preserve">(Blake Stilwell: </w:t>
      </w:r>
      <w:r w:rsidRPr="00C861A8">
        <w:t>a traveler and writer with degrees in design, television &amp; film, journalism, public relations, international relations, and business administration. He is a former combat photog with experience in politics, entertainment, development, nonprofit, military, and government. His career includes work in Business Insider, Fox News, ABC News, NBC, HBO, and the White House</w:t>
      </w:r>
      <w:r>
        <w:t xml:space="preserve">, 5-21-2019, “The US Will Pay Countries Not to Buy Arms from Russia,” </w:t>
      </w:r>
      <w:hyperlink r:id="rId73" w:history="1">
        <w:r w:rsidRPr="00753955">
          <w:rPr>
            <w:rStyle w:val="Hyperlink"/>
          </w:rPr>
          <w:t>https://www.wearethemighty.com/gear-tech/us-stops-russian-arms-sales)//EK</w:t>
        </w:r>
      </w:hyperlink>
    </w:p>
    <w:p w:rsidR="00734CCA" w:rsidRPr="00934724" w:rsidRDefault="00734CCA" w:rsidP="00734CCA">
      <w:pPr>
        <w:rPr>
          <w:u w:val="single"/>
        </w:rPr>
      </w:pPr>
      <w:r w:rsidRPr="00B35356">
        <w:rPr>
          <w:u w:val="single"/>
        </w:rPr>
        <w:t xml:space="preserve">The US will pay countries not to buy arms from Russia It was a program designed by the State Department to help the former Warsaw Pact countries break away from dependence on the Russian economy – the United States would straight up pay the newly liberated former Soviet Union allies to buy American-made weapons instead of buying them from their former patron. That program is back, and the United States is expanding it. It's called the European Recapitalization Incentive Program and Eastern Europe is signing on for arms made in the good </w:t>
      </w:r>
      <w:proofErr w:type="spellStart"/>
      <w:r w:rsidRPr="00B35356">
        <w:rPr>
          <w:u w:val="single"/>
        </w:rPr>
        <w:t>ol</w:t>
      </w:r>
      <w:proofErr w:type="spellEnd"/>
      <w:r w:rsidRPr="00B35356">
        <w:rPr>
          <w:u w:val="single"/>
        </w:rPr>
        <w:t xml:space="preserve">' US of A. But </w:t>
      </w:r>
      <w:r w:rsidRPr="00B35356">
        <w:rPr>
          <w:b/>
          <w:u w:val="single"/>
        </w:rPr>
        <w:t xml:space="preserve">the U.S. isn't stopping at limiting Russian influence through arms sales, the American government is using the program to limit arms sales from China too. </w:t>
      </w:r>
      <w:r w:rsidRPr="00934724">
        <w:rPr>
          <w:sz w:val="14"/>
        </w:rPr>
        <w:t xml:space="preserve">It's a function of the State Department working hand-in-hand with the Pentagon in an effort to project American economic power and military goodwill. </w:t>
      </w:r>
      <w:r w:rsidRPr="00D56EC5">
        <w:rPr>
          <w:u w:val="single"/>
        </w:rPr>
        <w:t xml:space="preserve">"The goal is to help our partners break away from the Russian supply chain [and] logistics chain that allows Russian contractors and service personnel, and Russian-manufactured spare parts onto either NATO allied bases or partner military bases," </w:t>
      </w:r>
      <w:r w:rsidRPr="00934724">
        <w:rPr>
          <w:sz w:val="14"/>
        </w:rPr>
        <w:t xml:space="preserve">a State Department official </w:t>
      </w:r>
      <w:hyperlink r:id="rId74" w:tgtFrame="_blank" w:history="1">
        <w:r w:rsidRPr="00934724">
          <w:rPr>
            <w:rStyle w:val="Hyperlink"/>
            <w:sz w:val="14"/>
          </w:rPr>
          <w:t>told Defense One</w:t>
        </w:r>
      </w:hyperlink>
      <w:r w:rsidRPr="00934724">
        <w:rPr>
          <w:sz w:val="14"/>
        </w:rPr>
        <w:t xml:space="preserve">. </w:t>
      </w:r>
      <w:r w:rsidRPr="00934724">
        <w:rPr>
          <w:u w:val="single"/>
        </w:rPr>
        <w:t xml:space="preserve">The countries signing on to the revitalized program can't just promise not to buy Russian or Chinese weapons from now on. They will also need to get rid of their old ones as well as purchase new American replacements. </w:t>
      </w:r>
      <w:r w:rsidRPr="00934724">
        <w:rPr>
          <w:sz w:val="14"/>
        </w:rPr>
        <w:t xml:space="preserve">So instead of gifting these countries a hodgepodge of military arms or vehicles, the countries can invest in American military power while getting rid of old systems and updating their military capabilities. Some of the partner countries are still using Soviet-built weapons. </w:t>
      </w:r>
      <w:r w:rsidRPr="00934724">
        <w:rPr>
          <w:u w:val="single"/>
        </w:rPr>
        <w:t>In the past year, the U.S. State Department has signed on six former Soviet Bloc countries to the program to the tune of $190 million, including Albania, Bosnia, Croatia, Greece, North Macedonia, and Slovakia. The program will even bring these countries up to NATO standards in many areas. If successful, the U.S. will expand the program beyond Eastern Europe to help other countries break free of Chinese and Russian dependence.</w:t>
      </w:r>
    </w:p>
    <w:p w:rsidR="00734CCA" w:rsidRPr="00F601E6" w:rsidRDefault="00734CCA" w:rsidP="00734CCA"/>
    <w:p w:rsidR="00E44EC5" w:rsidRPr="00E44EC5" w:rsidRDefault="00E44EC5" w:rsidP="00E44EC5"/>
    <w:p w:rsidR="005B19E3" w:rsidRDefault="005B19E3" w:rsidP="005B19E3">
      <w:pPr>
        <w:pStyle w:val="Heading3"/>
      </w:pPr>
      <w:r>
        <w:lastRenderedPageBreak/>
        <w:t>AT: Cartels</w:t>
      </w:r>
    </w:p>
    <w:p w:rsidR="005B19E3" w:rsidRPr="004C5173" w:rsidRDefault="005B19E3" w:rsidP="005B19E3">
      <w:pPr>
        <w:pStyle w:val="Heading4"/>
      </w:pPr>
      <w:r>
        <w:t xml:space="preserve">Link turn- </w:t>
      </w:r>
      <w:r w:rsidRPr="004C5173">
        <w:t>Mexic</w:t>
      </w:r>
      <w:r>
        <w:t>an DCS arms go to cartels</w:t>
      </w:r>
    </w:p>
    <w:p w:rsidR="005B19E3" w:rsidRPr="004C5173" w:rsidRDefault="005B19E3" w:rsidP="005B19E3">
      <w:r w:rsidRPr="004C5173">
        <w:rPr>
          <w:rStyle w:val="Style13ptBold"/>
        </w:rPr>
        <w:t>Attkisson 11</w:t>
      </w:r>
      <w:r w:rsidRPr="004C5173">
        <w:t xml:space="preserve"> (Sharyl Attkisson</w:t>
      </w:r>
      <w:r>
        <w:t>,</w:t>
      </w:r>
      <w:r w:rsidRPr="004C5173">
        <w:t xml:space="preserve"> CBS News investigative correspondent based in Washington.</w:t>
      </w:r>
      <w:r>
        <w:t xml:space="preserve"> </w:t>
      </w:r>
      <w:r w:rsidRPr="004C5173">
        <w:t xml:space="preserve">"Legal U.S. Gun Sales </w:t>
      </w:r>
      <w:proofErr w:type="gramStart"/>
      <w:r w:rsidRPr="004C5173">
        <w:t>To</w:t>
      </w:r>
      <w:proofErr w:type="gramEnd"/>
      <w:r w:rsidRPr="004C5173">
        <w:t xml:space="preserve"> Mexico Arming Cartels," </w:t>
      </w:r>
      <w:r>
        <w:t>CBS</w:t>
      </w:r>
      <w:r w:rsidRPr="004C5173">
        <w:t xml:space="preserve"> News, 12-6-2011, https://www.cbsnews.com/news/legal-us-gun-sales-to-mexico-arming-cartels/)//Bennerz</w:t>
      </w:r>
    </w:p>
    <w:p w:rsidR="005B19E3" w:rsidRPr="00454283" w:rsidRDefault="005B19E3" w:rsidP="005B19E3">
      <w:pPr>
        <w:rPr>
          <w:sz w:val="14"/>
        </w:rPr>
      </w:pPr>
      <w:r w:rsidRPr="00E02E48">
        <w:rPr>
          <w:rStyle w:val="StyleUnderline"/>
        </w:rPr>
        <w:t>Selling weapons to Mexico - where cartel violence is out of control - is controversial because so many guns fall into the wrong hands due to incompetence and corruption</w:t>
      </w:r>
      <w:r w:rsidRPr="00454283">
        <w:rPr>
          <w:sz w:val="14"/>
        </w:rPr>
        <w:t xml:space="preserve">. </w:t>
      </w:r>
      <w:r w:rsidRPr="00E02E48">
        <w:rPr>
          <w:rStyle w:val="StyleUnderline"/>
        </w:rPr>
        <w:t>The Mexican military recently reported nearly 9,000 police weapons "missing."</w:t>
      </w:r>
      <w:r>
        <w:rPr>
          <w:rStyle w:val="StyleUnderline"/>
        </w:rPr>
        <w:t xml:space="preserve"> </w:t>
      </w:r>
      <w:r w:rsidRPr="00454283">
        <w:rPr>
          <w:sz w:val="14"/>
        </w:rPr>
        <w:t xml:space="preserve">Yet </w:t>
      </w:r>
      <w:r w:rsidRPr="00E02E48">
        <w:rPr>
          <w:rStyle w:val="StyleUnderline"/>
        </w:rPr>
        <w:t xml:space="preserve">the U.S. has approved the sale of more guns to Mexico in recent years than ever before through a </w:t>
      </w:r>
      <w:r w:rsidRPr="00E02E48">
        <w:rPr>
          <w:rStyle w:val="Emphasis"/>
        </w:rPr>
        <w:t>program called "direct commercial sales."</w:t>
      </w:r>
      <w:r w:rsidRPr="00454283">
        <w:rPr>
          <w:sz w:val="14"/>
        </w:rPr>
        <w:t xml:space="preserve"> It's a program that some say is worse than the highly-criticized "Fast and Furious" gunrunning scandal, where U.S. agents allowed thousands of weapons to pass from the U.S. to Mexican drug cartels. CBS News investigative correspondent Sharyl Attkisson discovered that </w:t>
      </w:r>
      <w:r w:rsidRPr="00E02E48">
        <w:rPr>
          <w:rStyle w:val="StyleUnderline"/>
        </w:rPr>
        <w:t>the official tracking all those guns sold through "direct commercial sales" leaves something to be desired.</w:t>
      </w:r>
      <w:r>
        <w:rPr>
          <w:rStyle w:val="StyleUnderline"/>
        </w:rPr>
        <w:t xml:space="preserve"> </w:t>
      </w:r>
      <w:r w:rsidRPr="00CF026B">
        <w:rPr>
          <w:rStyle w:val="StyleUnderline"/>
        </w:rPr>
        <w:t>One weapon - an AR-15-type semi-automatic rifle - tells the story. In 2006, this same kind of rifle - tracked by serial number - is legally sold by a U.S. manufacturer to the Mexican military.</w:t>
      </w:r>
      <w:r>
        <w:rPr>
          <w:rStyle w:val="StyleUnderline"/>
        </w:rPr>
        <w:t xml:space="preserve"> </w:t>
      </w:r>
      <w:r w:rsidRPr="00CF026B">
        <w:rPr>
          <w:rStyle w:val="Emphasis"/>
        </w:rPr>
        <w:t>Three years later - it's found in a criminal stash in a region wracked by Mexican drug cartel violence</w:t>
      </w:r>
      <w:r w:rsidRPr="00454283">
        <w:rPr>
          <w:sz w:val="14"/>
        </w:rPr>
        <w:t xml:space="preserve">. That prompted a "sensitive" cable, uncovered by WikiLeaks, dated June 4, 2009, in which the U.S. State Department asked Mexico "how </w:t>
      </w:r>
      <w:r w:rsidRPr="00CF026B">
        <w:rPr>
          <w:rStyle w:val="StyleUnderline"/>
        </w:rPr>
        <w:t>the AR-15" - meant only for the military or police - was "diverted" into criminal hands.</w:t>
      </w:r>
      <w:r>
        <w:rPr>
          <w:rStyle w:val="StyleUnderline"/>
        </w:rPr>
        <w:t xml:space="preserve"> </w:t>
      </w:r>
      <w:r w:rsidRPr="00454283">
        <w:rPr>
          <w:sz w:val="14"/>
        </w:rPr>
        <w:t xml:space="preserve">And, more importantly, where the other rifles from the same shipment went: "Please account for the current location of the 1,030 AR-15 type rifles," reads the cable. There's no response in the record. </w:t>
      </w:r>
      <w:r w:rsidRPr="00CF026B">
        <w:rPr>
          <w:rStyle w:val="StyleUnderline"/>
        </w:rPr>
        <w:t>The problem of weapons legally sold to Mexico</w:t>
      </w:r>
      <w:r w:rsidRPr="00454283">
        <w:rPr>
          <w:sz w:val="14"/>
        </w:rPr>
        <w:t xml:space="preserve"> - </w:t>
      </w:r>
      <w:r w:rsidRPr="00CF026B">
        <w:rPr>
          <w:rStyle w:val="Emphasis"/>
        </w:rPr>
        <w:t>then diverted to violent cartels</w:t>
      </w:r>
      <w:r w:rsidRPr="00454283">
        <w:rPr>
          <w:sz w:val="14"/>
        </w:rPr>
        <w:t xml:space="preserve"> - </w:t>
      </w:r>
      <w:r w:rsidRPr="00CF026B">
        <w:rPr>
          <w:rStyle w:val="Emphasis"/>
        </w:rPr>
        <w:t>is becoming more urgent</w:t>
      </w:r>
      <w:r w:rsidRPr="00454283">
        <w:rPr>
          <w:sz w:val="14"/>
        </w:rPr>
        <w:t xml:space="preserve">. </w:t>
      </w:r>
      <w:r w:rsidRPr="00CF026B">
        <w:rPr>
          <w:rStyle w:val="StyleUnderline"/>
        </w:rPr>
        <w:t xml:space="preserve">That's because the U.S. has quietly authorized a massive escalation in the number of guns sold to Mexico through "direct commercial sales." It's a </w:t>
      </w:r>
      <w:proofErr w:type="gramStart"/>
      <w:r w:rsidRPr="00CF026B">
        <w:rPr>
          <w:rStyle w:val="StyleUnderline"/>
        </w:rPr>
        <w:t>way foreign countries</w:t>
      </w:r>
      <w:proofErr w:type="gramEnd"/>
      <w:r w:rsidRPr="00CF026B">
        <w:rPr>
          <w:rStyle w:val="StyleUnderline"/>
        </w:rPr>
        <w:t xml:space="preserve"> can acquire firearms faster and with less disclosure than going through the Pentagon.</w:t>
      </w:r>
      <w:r>
        <w:rPr>
          <w:rStyle w:val="StyleUnderline"/>
        </w:rPr>
        <w:t xml:space="preserve"> </w:t>
      </w:r>
      <w:r w:rsidRPr="00454283">
        <w:rPr>
          <w:sz w:val="14"/>
        </w:rPr>
        <w:t xml:space="preserve">Here's how it works: A foreign government fills out an application to buy weapons from private gun manufacturers in the U.S. Then the State Department decides whether to approve. And it did approve 2,476 guns to be sold to Mexico in 2006. In 2009, that number was up nearly 10 times, to 18,709. The State Department has since stopped disclosing numbers of guns it </w:t>
      </w:r>
      <w:proofErr w:type="gramStart"/>
      <w:r w:rsidRPr="00454283">
        <w:rPr>
          <w:sz w:val="14"/>
        </w:rPr>
        <w:t>approves, and</w:t>
      </w:r>
      <w:proofErr w:type="gramEnd"/>
      <w:r w:rsidRPr="00454283">
        <w:rPr>
          <w:sz w:val="14"/>
        </w:rPr>
        <w:t xml:space="preserve"> wouldn't give CBS News figures for 2010 or 2011. </w:t>
      </w:r>
      <w:r w:rsidRPr="00D63CCE">
        <w:rPr>
          <w:rStyle w:val="Emphasis"/>
        </w:rPr>
        <w:t>With Mexico in a virtual state of war with its cartels, nobody's tracking how many U.S. guns are ending up with the enemy.</w:t>
      </w:r>
      <w:r>
        <w:rPr>
          <w:rStyle w:val="Emphasis"/>
        </w:rPr>
        <w:t xml:space="preserve"> </w:t>
      </w:r>
      <w:r w:rsidRPr="00454283">
        <w:rPr>
          <w:sz w:val="14"/>
        </w:rPr>
        <w:t xml:space="preserve">"I think most Americans are aware that there's a problem in terms of the drug traffickers in Mexico, increases in violence," said Bill Hartung, an arms control advocate with the Arms and Security Project at the Center for International Policy. "I don't think they realize that </w:t>
      </w:r>
      <w:r w:rsidRPr="00D63CCE">
        <w:rPr>
          <w:rStyle w:val="StyleUnderline"/>
        </w:rPr>
        <w:t>we're sending so many guns there, and that some of them may be diverted to the very cartels that we're trying to get under control</w:t>
      </w:r>
      <w:r w:rsidRPr="00454283">
        <w:rPr>
          <w:sz w:val="14"/>
        </w:rPr>
        <w:t xml:space="preserve">." </w:t>
      </w:r>
      <w:r w:rsidRPr="00D63CCE">
        <w:rPr>
          <w:rStyle w:val="StyleUnderline"/>
        </w:rPr>
        <w:t xml:space="preserve">The State Department audits only a tiny sample - less than 1 percent of sales - but the results are disturbing: In 2009, </w:t>
      </w:r>
      <w:r w:rsidRPr="00D63CCE">
        <w:rPr>
          <w:rStyle w:val="Emphasis"/>
        </w:rPr>
        <w:t>more than a quarter</w:t>
      </w:r>
      <w:r w:rsidRPr="00D63CCE">
        <w:rPr>
          <w:rStyle w:val="StyleUnderline"/>
        </w:rPr>
        <w:t xml:space="preserve"> </w:t>
      </w:r>
      <w:r w:rsidRPr="00454283">
        <w:rPr>
          <w:sz w:val="14"/>
        </w:rPr>
        <w:t>(26 percent</w:t>
      </w:r>
      <w:r w:rsidRPr="00D63CCE">
        <w:rPr>
          <w:rStyle w:val="Emphasis"/>
        </w:rPr>
        <w:t>) of the guns sold to the region that includes Mexico were "diverted" into the wrong hands</w:t>
      </w:r>
      <w:r w:rsidRPr="00454283">
        <w:rPr>
          <w:sz w:val="14"/>
        </w:rPr>
        <w:t>, or had other "unfavorable" results. The National Shooting Sports Foundation's Larry Keane, who speaks for gun manufacturers, said he understands the potential for abuse. "</w:t>
      </w:r>
      <w:r w:rsidRPr="00D63CCE">
        <w:rPr>
          <w:rStyle w:val="Emphasis"/>
        </w:rPr>
        <w:t xml:space="preserve">There have been 150,000 or more Mexican </w:t>
      </w:r>
      <w:proofErr w:type="gramStart"/>
      <w:r w:rsidRPr="00D63CCE">
        <w:rPr>
          <w:rStyle w:val="Emphasis"/>
        </w:rPr>
        <w:t>soldiers</w:t>
      </w:r>
      <w:proofErr w:type="gramEnd"/>
      <w:r w:rsidRPr="00D63CCE">
        <w:rPr>
          <w:rStyle w:val="Emphasis"/>
        </w:rPr>
        <w:t xml:space="preserve"> defect to go work for the cartels, and I think it's safe to assume that when they defect they take their firearms with them</w:t>
      </w:r>
      <w:r w:rsidRPr="00454283">
        <w:rPr>
          <w:sz w:val="14"/>
        </w:rPr>
        <w:t xml:space="preserve">," Keane told CBS News. But Keane said the sales help the U.S. "These sales by the industry actually support U.S. national security interests," Keane told Attkisson. "If they didn't, the State Department wouldn't allow them." "Do they need better oversight?" asked Attkisson. </w:t>
      </w:r>
      <w:r w:rsidRPr="006700E4">
        <w:rPr>
          <w:rStyle w:val="StyleUnderline"/>
        </w:rPr>
        <w:t>"It's certainly for the State Department</w:t>
      </w:r>
      <w:r w:rsidRPr="00454283">
        <w:rPr>
          <w:sz w:val="14"/>
        </w:rPr>
        <w:t xml:space="preserve"> and the Mexican government </w:t>
      </w:r>
      <w:r w:rsidRPr="006700E4">
        <w:rPr>
          <w:rStyle w:val="StyleUnderline"/>
        </w:rPr>
        <w:t>to try to make sure that the cartels don't obtain firearms that way</w:t>
      </w:r>
      <w:r w:rsidRPr="00454283">
        <w:rPr>
          <w:sz w:val="14"/>
        </w:rPr>
        <w:t xml:space="preserve">," he replied. "But that's really beyond the control of the industry." </w:t>
      </w:r>
      <w:r w:rsidRPr="006700E4">
        <w:rPr>
          <w:rStyle w:val="Emphasis"/>
        </w:rPr>
        <w:t>Mexico is now one of the world's largest purchasers of U.S. guns through direct commercial sales</w:t>
      </w:r>
      <w:r w:rsidRPr="00454283">
        <w:rPr>
          <w:sz w:val="14"/>
        </w:rPr>
        <w:t>, beating out countries like Iraq. The State Department office that oversees the sales wouldn't agree to an interview. But an official has told Congress their top priority is to advance national security and foreign policy.</w:t>
      </w:r>
    </w:p>
    <w:p w:rsidR="005B19E3" w:rsidRDefault="005B19E3" w:rsidP="005B19E3"/>
    <w:p w:rsidR="005B19E3" w:rsidRDefault="005B19E3" w:rsidP="005B19E3">
      <w:pPr>
        <w:pStyle w:val="Heading4"/>
      </w:pPr>
      <w:r>
        <w:lastRenderedPageBreak/>
        <w:t>Small arms via DCS fuels cartel violence</w:t>
      </w:r>
    </w:p>
    <w:p w:rsidR="005B19E3" w:rsidRDefault="005B19E3" w:rsidP="005B19E3">
      <w:r w:rsidRPr="008F7502">
        <w:rPr>
          <w:rStyle w:val="Style13ptBold"/>
        </w:rPr>
        <w:t>Yang 17</w:t>
      </w:r>
      <w:r w:rsidRPr="008F7502">
        <w:t xml:space="preserve"> (</w:t>
      </w:r>
      <w:proofErr w:type="spellStart"/>
      <w:r w:rsidRPr="008F7502">
        <w:t>Yixuan</w:t>
      </w:r>
      <w:proofErr w:type="spellEnd"/>
      <w:r w:rsidRPr="008F7502">
        <w:t xml:space="preserve"> Yang</w:t>
      </w:r>
      <w:r>
        <w:t>, expert in international relations.</w:t>
      </w:r>
      <w:r w:rsidRPr="008F7502">
        <w:t xml:space="preserve">  "</w:t>
      </w:r>
      <w:proofErr w:type="spellStart"/>
      <w:r w:rsidRPr="008F7502">
        <w:t>Disec</w:t>
      </w:r>
      <w:proofErr w:type="spellEnd"/>
      <w:r w:rsidRPr="008F7502">
        <w:t xml:space="preserve"> I: Proliferation </w:t>
      </w:r>
      <w:proofErr w:type="gramStart"/>
      <w:r w:rsidRPr="008F7502">
        <w:t>Of</w:t>
      </w:r>
      <w:proofErr w:type="gramEnd"/>
      <w:r w:rsidRPr="008F7502">
        <w:t xml:space="preserve"> Small Arms And Light Weaponry," Shorthand, 2-24-2017, https://social.shorthand.com/ymuntaiwan/ug53Pq2PhT/disec-i-proliferation-of-small-arms-and-light-weaponry)//Bennerz</w:t>
      </w:r>
    </w:p>
    <w:p w:rsidR="005B19E3" w:rsidRDefault="005B19E3" w:rsidP="005B19E3">
      <w:pPr>
        <w:rPr>
          <w:sz w:val="16"/>
        </w:rPr>
      </w:pPr>
      <w:r w:rsidRPr="005B19E3">
        <w:rPr>
          <w:sz w:val="16"/>
        </w:rPr>
        <w:t xml:space="preserve">The videos make a few important points. </w:t>
      </w:r>
      <w:r w:rsidRPr="004C4E23">
        <w:rPr>
          <w:rStyle w:val="Emphasis"/>
        </w:rPr>
        <w:t>A large proportion of US firearm flows to Mexico is completely legal through direct commercial sales, but more than a quarter</w:t>
      </w:r>
      <w:r w:rsidRPr="005B19E3">
        <w:rPr>
          <w:sz w:val="16"/>
        </w:rPr>
        <w:t xml:space="preserve"> (2009 numbers) </w:t>
      </w:r>
      <w:r w:rsidRPr="004C4E23">
        <w:rPr>
          <w:rStyle w:val="Emphasis"/>
        </w:rPr>
        <w:t>are diverted into the hands of non-state actors such as drug cartels</w:t>
      </w:r>
      <w:r w:rsidRPr="005B19E3">
        <w:rPr>
          <w:sz w:val="16"/>
        </w:rPr>
        <w:t xml:space="preserve">. </w:t>
      </w:r>
      <w:r w:rsidRPr="004C4E23">
        <w:rPr>
          <w:rStyle w:val="StyleUnderline"/>
        </w:rPr>
        <w:t xml:space="preserve">Some of them arise as many Mexican military members defect to the cartels, bringing their weapons with them. Others are stolen, intercepted or lost, thus entering the </w:t>
      </w:r>
      <w:proofErr w:type="gramStart"/>
      <w:r w:rsidRPr="004C4E23">
        <w:rPr>
          <w:rStyle w:val="StyleUnderline"/>
        </w:rPr>
        <w:t>black market</w:t>
      </w:r>
      <w:proofErr w:type="gramEnd"/>
      <w:r w:rsidRPr="004C4E23">
        <w:rPr>
          <w:rStyle w:val="StyleUnderline"/>
        </w:rPr>
        <w:t xml:space="preserve"> trade. </w:t>
      </w:r>
      <w:r w:rsidRPr="004C4E23">
        <w:rPr>
          <w:rStyle w:val="Emphasis"/>
        </w:rPr>
        <w:t>These SALW fuel cartel violence</w:t>
      </w:r>
      <w:r w:rsidRPr="004C4E23">
        <w:rPr>
          <w:rStyle w:val="StyleUnderline"/>
        </w:rPr>
        <w:t>--Mexico’s homicide rate is five times that of the US.</w:t>
      </w:r>
      <w:r>
        <w:rPr>
          <w:rStyle w:val="StyleUnderline"/>
        </w:rPr>
        <w:t xml:space="preserve"> </w:t>
      </w:r>
      <w:r w:rsidRPr="004C4E23">
        <w:rPr>
          <w:rStyle w:val="StyleUnderline"/>
        </w:rPr>
        <w:t>Local law enforcement is weak in the face of such rampant violence</w:t>
      </w:r>
      <w:r w:rsidRPr="005B19E3">
        <w:rPr>
          <w:sz w:val="16"/>
        </w:rPr>
        <w:t xml:space="preserve">. The government struggles to provide its police officers with enough resources, funds and protection from the dangerous drug cartels. Moreover, </w:t>
      </w:r>
      <w:r w:rsidRPr="004C4E23">
        <w:rPr>
          <w:rStyle w:val="StyleUnderline"/>
        </w:rPr>
        <w:t>police corruption is a serious problem - an estimated 63 percent of Mexicans do not trust their municipal police force</w:t>
      </w:r>
      <w:r w:rsidRPr="005B19E3">
        <w:rPr>
          <w:sz w:val="16"/>
        </w:rPr>
        <w:t xml:space="preserve">, while </w:t>
      </w:r>
      <w:r w:rsidRPr="004C4E23">
        <w:rPr>
          <w:rStyle w:val="StyleUnderline"/>
        </w:rPr>
        <w:t>66 percent view them as corrupt</w:t>
      </w:r>
      <w:r w:rsidRPr="005B19E3">
        <w:rPr>
          <w:sz w:val="16"/>
        </w:rPr>
        <w:t xml:space="preserve">. </w:t>
      </w:r>
      <w:r w:rsidRPr="004C4E23">
        <w:rPr>
          <w:rStyle w:val="StyleUnderline"/>
        </w:rPr>
        <w:t xml:space="preserve">In the face of tempting bribes and more importantly, threats to themselves and their family, police officers often find it easier to collaborate with cartels </w:t>
      </w:r>
      <w:proofErr w:type="gramStart"/>
      <w:r w:rsidRPr="004C4E23">
        <w:rPr>
          <w:rStyle w:val="StyleUnderline"/>
        </w:rPr>
        <w:t>instead</w:t>
      </w:r>
      <w:r w:rsidRPr="005B19E3">
        <w:rPr>
          <w:sz w:val="16"/>
        </w:rPr>
        <w:t xml:space="preserve"> .</w:t>
      </w:r>
      <w:proofErr w:type="gramEnd"/>
      <w:r w:rsidRPr="005B19E3">
        <w:rPr>
          <w:sz w:val="16"/>
        </w:rPr>
        <w:t xml:space="preserve"> This makes it even more difficult to monitor the sales and circulation of SALW.</w:t>
      </w:r>
    </w:p>
    <w:p w:rsidR="006C44F1" w:rsidRDefault="006C44F1" w:rsidP="006C44F1">
      <w:pPr>
        <w:pStyle w:val="Heading4"/>
      </w:pPr>
      <w:r>
        <w:t>Arms sales to Mexico end up being used in homicides and human rights violations</w:t>
      </w:r>
    </w:p>
    <w:p w:rsidR="006C44F1" w:rsidRDefault="006C44F1" w:rsidP="006C44F1">
      <w:r w:rsidRPr="00155584">
        <w:rPr>
          <w:rStyle w:val="Style13ptBold"/>
        </w:rPr>
        <w:t>Lindsay-Poland et al. 16</w:t>
      </w:r>
      <w:r>
        <w:t xml:space="preserve"> (John Lindsay-Poland, researcher specializing in Latin American foreign policy with over 30 years of experience. He wrote this paper in coordination with 17 other authors.  Daisy Alonso, Arnie Alpert, Fernando Becerra, Gabriela Flora, Fabiola Flores, Kathryn Johnson, Steve Latimer, Milli </w:t>
      </w:r>
      <w:proofErr w:type="spellStart"/>
      <w:r>
        <w:t>Legrain</w:t>
      </w:r>
      <w:proofErr w:type="spellEnd"/>
      <w:r>
        <w:t xml:space="preserve">, </w:t>
      </w:r>
      <w:proofErr w:type="spellStart"/>
      <w:r>
        <w:t>Michaelene</w:t>
      </w:r>
      <w:proofErr w:type="spellEnd"/>
      <w:r>
        <w:t xml:space="preserve"> Loughlin, Benjamin Prado, Layla </w:t>
      </w:r>
      <w:proofErr w:type="spellStart"/>
      <w:r>
        <w:t>Razavi</w:t>
      </w:r>
      <w:proofErr w:type="spellEnd"/>
      <w:r>
        <w:t xml:space="preserve">, Linda Sanchez, Sahar </w:t>
      </w:r>
      <w:proofErr w:type="spellStart"/>
      <w:r>
        <w:t>Vardi</w:t>
      </w:r>
      <w:proofErr w:type="spellEnd"/>
      <w:r>
        <w:t xml:space="preserve">, Emily Verdugo, Ivan </w:t>
      </w:r>
      <w:proofErr w:type="spellStart"/>
      <w:r>
        <w:t>Vilchis</w:t>
      </w:r>
      <w:proofErr w:type="spellEnd"/>
      <w:r>
        <w:t xml:space="preserve"> Ibarra, Laura Weiss, and Nicholas Wright. “Where the Guns Go: US Arms and the Crisis of Violence in Mexico,” American Friends Service Committee, November 2016, https://www.afsc.org/sites/default/files/documents/2016%20Where%20the%20Guns%20Go.pdf)//Bennerz</w:t>
      </w:r>
    </w:p>
    <w:p w:rsidR="006C44F1" w:rsidRPr="00AA1860" w:rsidRDefault="006C44F1" w:rsidP="006C44F1">
      <w:pPr>
        <w:rPr>
          <w:sz w:val="16"/>
        </w:rPr>
      </w:pPr>
      <w:r w:rsidRPr="00AA1860">
        <w:rPr>
          <w:sz w:val="16"/>
        </w:rPr>
        <w:t xml:space="preserve">Arms sales are a pivotal element of U.S. policy with regard to Mexico, motivated largely by the “war on drugs.” </w:t>
      </w:r>
      <w:r w:rsidRPr="00FE1481">
        <w:rPr>
          <w:rStyle w:val="StyleUnderline"/>
        </w:rPr>
        <w:t>This military approach to combating drug trafficking has led to a dramatic escalation of homicides in Mexico since 2007, making it the second-most deadly armed conflict in the world in 2015.34 And the Mexican government is responsible for flagrant abuses of human rights, including forced disappearances, torture, and extrajudicial killings</w:t>
      </w:r>
      <w:r w:rsidRPr="00AA1860">
        <w:rPr>
          <w:sz w:val="16"/>
        </w:rPr>
        <w:t xml:space="preserve">, as documented by the U.S. Department of State, Inter-American Human Rights Commission, and Mexico’s National Human Rights Commission. </w:t>
      </w:r>
      <w:r w:rsidRPr="00FE1481">
        <w:rPr>
          <w:rStyle w:val="StyleUnderline"/>
        </w:rPr>
        <w:t>Victims are disproportionately indigenous people and migrants</w:t>
      </w:r>
      <w:r w:rsidRPr="00AA1860">
        <w:rPr>
          <w:sz w:val="16"/>
        </w:rPr>
        <w:t xml:space="preserve">. </w:t>
      </w:r>
      <w:r w:rsidRPr="00FE1481">
        <w:rPr>
          <w:rStyle w:val="Emphasis"/>
        </w:rPr>
        <w:t>Collaboration between organized criminal groups and the Mexican state is also extensively documented at the local, state, and federal levels</w:t>
      </w:r>
      <w:r w:rsidRPr="00AA1860">
        <w:rPr>
          <w:sz w:val="16"/>
        </w:rPr>
        <w:t xml:space="preserve">, leading observers such as journalist Anabel Hernández to call Mexico a “criminal state” that lacks legitimacy. 35 </w:t>
      </w:r>
      <w:r w:rsidRPr="0052611E">
        <w:rPr>
          <w:rStyle w:val="Emphasis"/>
        </w:rPr>
        <w:t>Arms sales to Mexican government forces escalate violence between the state and criminal organizations</w:t>
      </w:r>
      <w:r w:rsidRPr="00AA1860">
        <w:rPr>
          <w:sz w:val="16"/>
        </w:rPr>
        <w:t xml:space="preserve">. </w:t>
      </w:r>
      <w:r w:rsidRPr="0052611E">
        <w:rPr>
          <w:rStyle w:val="StyleUnderline"/>
        </w:rPr>
        <w:t>At the same time, tens of thousands of weapons have gone missing from Mexican police inventories</w:t>
      </w:r>
      <w:r w:rsidRPr="00AA1860">
        <w:rPr>
          <w:sz w:val="16"/>
        </w:rPr>
        <w:t xml:space="preserve">. In a 2014 directive on conventional arms transfers, the Obama administration states that the U.S. should maintain “the appropriate balance between legitimate arms transfers to support U.S. national security and that of our allies and partners, and the need for restraint against the transfer of arms that would enhance the military capabilities of hostile states, serve to facilitate </w:t>
      </w:r>
      <w:r w:rsidRPr="00AA1860">
        <w:rPr>
          <w:sz w:val="16"/>
        </w:rPr>
        <w:lastRenderedPageBreak/>
        <w:t>human rights abuses or violations of international humanitarian law, or otherwise undermine international security.” Clearly, the balance has tipped far from the need to restrain violations of human rights and humanitarian law.</w:t>
      </w:r>
    </w:p>
    <w:p w:rsidR="006C44F1" w:rsidRDefault="006C44F1" w:rsidP="005B19E3">
      <w:pPr>
        <w:rPr>
          <w:sz w:val="16"/>
        </w:rPr>
      </w:pPr>
    </w:p>
    <w:p w:rsidR="009559DC" w:rsidRDefault="009559DC" w:rsidP="00AA1860">
      <w:pPr>
        <w:pStyle w:val="Heading3"/>
      </w:pPr>
      <w:r>
        <w:lastRenderedPageBreak/>
        <w:t>AT: Mexico Relations</w:t>
      </w:r>
    </w:p>
    <w:p w:rsidR="009559DC" w:rsidRDefault="009559DC" w:rsidP="009559DC">
      <w:pPr>
        <w:pStyle w:val="Heading4"/>
      </w:pPr>
      <w:r>
        <w:t>Tariffs and Immigration conflicts proves that AMLO won’t backlash</w:t>
      </w:r>
    </w:p>
    <w:p w:rsidR="009559DC" w:rsidRDefault="009559DC" w:rsidP="009559DC">
      <w:proofErr w:type="spellStart"/>
      <w:r w:rsidRPr="00AC495F">
        <w:rPr>
          <w:rStyle w:val="Style13ptBold"/>
        </w:rPr>
        <w:t>Antelo</w:t>
      </w:r>
      <w:proofErr w:type="spellEnd"/>
      <w:r w:rsidRPr="00AC495F">
        <w:rPr>
          <w:rStyle w:val="Style13ptBold"/>
        </w:rPr>
        <w:t xml:space="preserve"> 6/11/19</w:t>
      </w:r>
      <w:r>
        <w:t xml:space="preserve"> (</w:t>
      </w:r>
      <w:r w:rsidRPr="00AC495F">
        <w:t xml:space="preserve">Cristina </w:t>
      </w:r>
      <w:proofErr w:type="spellStart"/>
      <w:r w:rsidRPr="00AC495F">
        <w:t>Antelo</w:t>
      </w:r>
      <w:proofErr w:type="spellEnd"/>
      <w:r w:rsidRPr="00AC495F">
        <w:t xml:space="preserve">, 6-11-2019, "Why won't Mexican President López Obrador stand up to Trump?," </w:t>
      </w:r>
      <w:proofErr w:type="spellStart"/>
      <w:r w:rsidRPr="00AC495F">
        <w:t>TheHill</w:t>
      </w:r>
      <w:proofErr w:type="spellEnd"/>
      <w:r w:rsidRPr="00AC495F">
        <w:t xml:space="preserve">, </w:t>
      </w:r>
      <w:hyperlink r:id="rId75" w:history="1">
        <w:r w:rsidRPr="00DB5834">
          <w:rPr>
            <w:rStyle w:val="Hyperlink"/>
          </w:rPr>
          <w:t>https://thehill.com/opinion/immigration/447914-why-wont-mexican-president-lopez-obrador-stand-up-to-trump)//ICH-EC</w:t>
        </w:r>
      </w:hyperlink>
    </w:p>
    <w:p w:rsidR="009559DC" w:rsidRPr="004865DF" w:rsidRDefault="009559DC" w:rsidP="009559DC">
      <w:pPr>
        <w:rPr>
          <w:sz w:val="16"/>
        </w:rPr>
      </w:pPr>
      <w:r w:rsidRPr="00CD7F83">
        <w:rPr>
          <w:rStyle w:val="StyleUnderline"/>
        </w:rPr>
        <w:t>At every turn, the U.S. Administration tramples</w:t>
      </w:r>
      <w:r w:rsidRPr="004865DF">
        <w:rPr>
          <w:sz w:val="16"/>
        </w:rPr>
        <w:t xml:space="preserve"> (or at least embarrasses) </w:t>
      </w:r>
      <w:r w:rsidRPr="00CD7F83">
        <w:rPr>
          <w:rStyle w:val="StyleUnderline"/>
        </w:rPr>
        <w:t>our southern neighbor.</w:t>
      </w:r>
      <w:r w:rsidRPr="004865DF">
        <w:rPr>
          <w:sz w:val="16"/>
        </w:rPr>
        <w:t xml:space="preserve"> First, </w:t>
      </w:r>
      <w:hyperlink r:id="rId76" w:history="1">
        <w:r w:rsidRPr="00CD7F83">
          <w:rPr>
            <w:rStyle w:val="StyleUnderline"/>
          </w:rPr>
          <w:t>Donald Trump</w:t>
        </w:r>
      </w:hyperlink>
      <w:r>
        <w:rPr>
          <w:rStyle w:val="StyleUnderline"/>
        </w:rPr>
        <w:t xml:space="preserve"> </w:t>
      </w:r>
      <w:r w:rsidRPr="00CD7F83">
        <w:rPr>
          <w:rStyle w:val="StyleUnderline"/>
        </w:rPr>
        <w:t>announced that he would</w:t>
      </w:r>
      <w:r>
        <w:rPr>
          <w:rStyle w:val="StyleUnderline"/>
        </w:rPr>
        <w:t xml:space="preserve"> </w:t>
      </w:r>
      <w:hyperlink r:id="rId77" w:tgtFrame="_blank" w:history="1">
        <w:r w:rsidRPr="00CD7F83">
          <w:rPr>
            <w:rStyle w:val="StyleUnderline"/>
          </w:rPr>
          <w:t>build the wall and make Mexico pay for it</w:t>
        </w:r>
      </w:hyperlink>
      <w:r w:rsidRPr="004865DF">
        <w:rPr>
          <w:sz w:val="16"/>
        </w:rPr>
        <w:t xml:space="preserve">. Then, </w:t>
      </w:r>
      <w:r w:rsidRPr="00CD7F83">
        <w:rPr>
          <w:rStyle w:val="StyleUnderline"/>
        </w:rPr>
        <w:t xml:space="preserve">he slapped Mexico with steel and aluminum tariffs </w:t>
      </w:r>
      <w:r w:rsidRPr="004865DF">
        <w:rPr>
          <w:sz w:val="16"/>
        </w:rPr>
        <w:t xml:space="preserve">and attempted to pull the rug out from under NAFTA. Now, he’s blaming Mexico for the U.S.’s faulty immigration system and threatened to add </w:t>
      </w:r>
      <w:hyperlink r:id="rId78" w:tgtFrame="_blank" w:history="1">
        <w:r w:rsidRPr="004865DF">
          <w:rPr>
            <w:rStyle w:val="Hyperlink"/>
            <w:sz w:val="16"/>
          </w:rPr>
          <w:t>even more tariffs</w:t>
        </w:r>
      </w:hyperlink>
      <w:r w:rsidRPr="004865DF">
        <w:rPr>
          <w:sz w:val="16"/>
        </w:rPr>
        <w:t xml:space="preserve"> that would escalate throughout the summer. In his final days, former Mexican President Peña Nieto (2012-2018) declared that “</w:t>
      </w:r>
      <w:hyperlink r:id="rId79" w:tgtFrame="_blank" w:history="1">
        <w:r w:rsidRPr="004865DF">
          <w:rPr>
            <w:rStyle w:val="Hyperlink"/>
            <w:sz w:val="16"/>
          </w:rPr>
          <w:t>nothing and no one stands above the dignity of Mexico</w:t>
        </w:r>
      </w:hyperlink>
      <w:r w:rsidRPr="004865DF">
        <w:rPr>
          <w:sz w:val="16"/>
        </w:rPr>
        <w:t>.” Vicente Fox, another former President of Mexico (2000-2006), was even more candid: “</w:t>
      </w:r>
      <w:hyperlink r:id="rId80" w:tgtFrame="_blank" w:history="1">
        <w:r w:rsidRPr="004865DF">
          <w:rPr>
            <w:rStyle w:val="Hyperlink"/>
            <w:sz w:val="16"/>
          </w:rPr>
          <w:t>I’m not paying for that freaking wall!</w:t>
        </w:r>
      </w:hyperlink>
      <w:r w:rsidRPr="004865DF">
        <w:rPr>
          <w:sz w:val="16"/>
        </w:rPr>
        <w:t xml:space="preserve">” Only he didn’t say “freaking.” But President </w:t>
      </w:r>
      <w:r w:rsidRPr="0057430B">
        <w:rPr>
          <w:rStyle w:val="StyleUnderline"/>
        </w:rPr>
        <w:t>A</w:t>
      </w:r>
      <w:r w:rsidRPr="004865DF">
        <w:rPr>
          <w:sz w:val="16"/>
        </w:rPr>
        <w:t xml:space="preserve">ndrés </w:t>
      </w:r>
      <w:r w:rsidRPr="0057430B">
        <w:rPr>
          <w:rStyle w:val="StyleUnderline"/>
        </w:rPr>
        <w:t>M</w:t>
      </w:r>
      <w:r w:rsidRPr="004865DF">
        <w:rPr>
          <w:sz w:val="16"/>
        </w:rPr>
        <w:t>anuel</w:t>
      </w:r>
      <w:r w:rsidRPr="0057430B">
        <w:rPr>
          <w:rStyle w:val="StyleUnderline"/>
        </w:rPr>
        <w:t xml:space="preserve"> L</w:t>
      </w:r>
      <w:r w:rsidRPr="004865DF">
        <w:rPr>
          <w:sz w:val="16"/>
        </w:rPr>
        <w:t xml:space="preserve">ópez </w:t>
      </w:r>
      <w:r w:rsidRPr="0057430B">
        <w:rPr>
          <w:rStyle w:val="StyleUnderline"/>
        </w:rPr>
        <w:t>O</w:t>
      </w:r>
      <w:r w:rsidRPr="004865DF">
        <w:rPr>
          <w:sz w:val="16"/>
        </w:rPr>
        <w:t xml:space="preserve">brador, known colloquially as </w:t>
      </w:r>
      <w:proofErr w:type="spellStart"/>
      <w:r w:rsidRPr="004865DF">
        <w:rPr>
          <w:sz w:val="16"/>
        </w:rPr>
        <w:t>Amlo</w:t>
      </w:r>
      <w:proofErr w:type="spellEnd"/>
      <w:r w:rsidRPr="004865DF">
        <w:rPr>
          <w:sz w:val="16"/>
        </w:rPr>
        <w:t xml:space="preserve">, </w:t>
      </w:r>
      <w:r w:rsidRPr="0057430B">
        <w:rPr>
          <w:rStyle w:val="StyleUnderline"/>
        </w:rPr>
        <w:t xml:space="preserve">has said… well, </w:t>
      </w:r>
      <w:r w:rsidRPr="004865DF">
        <w:rPr>
          <w:rStyle w:val="Emphasis"/>
          <w:bCs/>
        </w:rPr>
        <w:t>nothing</w:t>
      </w:r>
      <w:r w:rsidRPr="0057430B">
        <w:rPr>
          <w:rStyle w:val="StyleUnderline"/>
        </w:rPr>
        <w:t>.</w:t>
      </w:r>
      <w:r>
        <w:rPr>
          <w:rStyle w:val="StyleUnderline"/>
        </w:rPr>
        <w:t xml:space="preserve"> </w:t>
      </w:r>
      <w:r w:rsidRPr="004865DF">
        <w:rPr>
          <w:sz w:val="16"/>
        </w:rPr>
        <w:t xml:space="preserve">Could he be holding his breath for the passage of the United States-Mexico-Canada Agreement (USMCA), at which point he will unleash a stream of expletives on Twitter? That is a popular theory with pundits in Washington, but I’m not buying it. I think that </w:t>
      </w:r>
      <w:proofErr w:type="spellStart"/>
      <w:r w:rsidRPr="0032476A">
        <w:rPr>
          <w:rStyle w:val="StyleUnderline"/>
        </w:rPr>
        <w:t>Amlo</w:t>
      </w:r>
      <w:proofErr w:type="spellEnd"/>
      <w:r w:rsidRPr="0032476A">
        <w:rPr>
          <w:rStyle w:val="StyleUnderline"/>
        </w:rPr>
        <w:t xml:space="preserve"> is disinclined to butt heads with Trump because the two are eerily similar. </w:t>
      </w:r>
      <w:r w:rsidRPr="004865DF">
        <w:rPr>
          <w:sz w:val="16"/>
        </w:rPr>
        <w:t xml:space="preserve">Despite his leftism, </w:t>
      </w:r>
      <w:proofErr w:type="spellStart"/>
      <w:r w:rsidRPr="0032476A">
        <w:rPr>
          <w:rStyle w:val="StyleUnderline"/>
        </w:rPr>
        <w:t>Amlo</w:t>
      </w:r>
      <w:proofErr w:type="spellEnd"/>
      <w:r w:rsidRPr="0032476A">
        <w:rPr>
          <w:rStyle w:val="StyleUnderline"/>
        </w:rPr>
        <w:t xml:space="preserve"> sees qualities in Trump’s leadership style and economic agenda that he respects and even emulates.</w:t>
      </w:r>
      <w:r>
        <w:rPr>
          <w:rStyle w:val="StyleUnderline"/>
        </w:rPr>
        <w:t xml:space="preserve"> </w:t>
      </w:r>
      <w:proofErr w:type="spellStart"/>
      <w:r w:rsidRPr="004865DF">
        <w:rPr>
          <w:sz w:val="16"/>
        </w:rPr>
        <w:t>Amlo’s</w:t>
      </w:r>
      <w:proofErr w:type="spellEnd"/>
      <w:r w:rsidRPr="004865DF">
        <w:rPr>
          <w:sz w:val="16"/>
        </w:rPr>
        <w:t xml:space="preserve"> campaign promise to “</w:t>
      </w:r>
      <w:hyperlink r:id="rId81" w:tgtFrame="_blank" w:history="1">
        <w:r w:rsidRPr="004865DF">
          <w:rPr>
            <w:rStyle w:val="Hyperlink"/>
            <w:sz w:val="16"/>
          </w:rPr>
          <w:t>purify public life</w:t>
        </w:r>
      </w:hyperlink>
      <w:r w:rsidRPr="004865DF">
        <w:rPr>
          <w:sz w:val="16"/>
        </w:rPr>
        <w:t>” was strikingly reminiscent of Trump’s statement at the 2016 RNC: “</w:t>
      </w:r>
      <w:hyperlink r:id="rId82" w:tgtFrame="_blank" w:history="1">
        <w:r w:rsidRPr="004865DF">
          <w:rPr>
            <w:rStyle w:val="Hyperlink"/>
            <w:sz w:val="16"/>
          </w:rPr>
          <w:t>I alone can fix it</w:t>
        </w:r>
      </w:hyperlink>
      <w:r w:rsidRPr="004865DF">
        <w:rPr>
          <w:sz w:val="16"/>
        </w:rPr>
        <w:t xml:space="preserve">.” </w:t>
      </w:r>
      <w:r w:rsidRPr="0032476A">
        <w:rPr>
          <w:rStyle w:val="StyleUnderline"/>
        </w:rPr>
        <w:t xml:space="preserve">The actions </w:t>
      </w:r>
      <w:proofErr w:type="spellStart"/>
      <w:r w:rsidRPr="0032476A">
        <w:rPr>
          <w:rStyle w:val="StyleUnderline"/>
        </w:rPr>
        <w:t>Amlo</w:t>
      </w:r>
      <w:proofErr w:type="spellEnd"/>
      <w:r w:rsidRPr="0032476A">
        <w:rPr>
          <w:rStyle w:val="StyleUnderline"/>
        </w:rPr>
        <w:t xml:space="preserve"> took in his</w:t>
      </w:r>
      <w:r>
        <w:rPr>
          <w:rStyle w:val="StyleUnderline"/>
        </w:rPr>
        <w:t xml:space="preserve"> </w:t>
      </w:r>
      <w:hyperlink r:id="rId83" w:tgtFrame="_blank" w:history="1">
        <w:r w:rsidRPr="0032476A">
          <w:rPr>
            <w:rStyle w:val="StyleUnderline"/>
          </w:rPr>
          <w:t>first 100 days</w:t>
        </w:r>
      </w:hyperlink>
      <w:r>
        <w:rPr>
          <w:rStyle w:val="StyleUnderline"/>
        </w:rPr>
        <w:t xml:space="preserve"> </w:t>
      </w:r>
      <w:r w:rsidRPr="0032476A">
        <w:rPr>
          <w:rStyle w:val="StyleUnderline"/>
        </w:rPr>
        <w:t>have been accompanied by heaps of messianic rhetoric. Both presidents constantly imply that the problems faced by citizens will be rectified by the president himself, not the government as a democratic institution.</w:t>
      </w:r>
      <w:r>
        <w:rPr>
          <w:rStyle w:val="StyleUnderline"/>
        </w:rPr>
        <w:t xml:space="preserve"> </w:t>
      </w:r>
      <w:r w:rsidRPr="0032476A">
        <w:rPr>
          <w:rStyle w:val="StyleUnderline"/>
        </w:rPr>
        <w:t>Both</w:t>
      </w:r>
      <w:r w:rsidRPr="004865DF">
        <w:rPr>
          <w:sz w:val="16"/>
        </w:rPr>
        <w:t xml:space="preserve"> leaders have also </w:t>
      </w:r>
      <w:r w:rsidRPr="0032476A">
        <w:rPr>
          <w:rStyle w:val="StyleUnderline"/>
        </w:rPr>
        <w:t>expressed disdain for federal agencies and balances of power</w:t>
      </w:r>
      <w:r w:rsidRPr="004865DF">
        <w:rPr>
          <w:sz w:val="16"/>
        </w:rPr>
        <w:t xml:space="preserve">, all while touting reputations as decidedly and unapologetically nationalistic. Most recently, </w:t>
      </w:r>
      <w:proofErr w:type="spellStart"/>
      <w:r w:rsidRPr="0032476A">
        <w:rPr>
          <w:rStyle w:val="StyleUnderline"/>
        </w:rPr>
        <w:t>Amlo’s</w:t>
      </w:r>
      <w:proofErr w:type="spellEnd"/>
      <w:r w:rsidRPr="0032476A">
        <w:rPr>
          <w:rStyle w:val="StyleUnderline"/>
        </w:rPr>
        <w:t xml:space="preserve"> political party concocted a plan to restructure the 11-person Supreme Court to his advantage</w:t>
      </w:r>
      <w:r w:rsidRPr="004865DF">
        <w:rPr>
          <w:sz w:val="16"/>
        </w:rPr>
        <w:t xml:space="preserve"> by </w:t>
      </w:r>
      <w:hyperlink r:id="rId84" w:tgtFrame="_blank" w:history="1">
        <w:r w:rsidRPr="004865DF">
          <w:rPr>
            <w:rStyle w:val="Hyperlink"/>
            <w:sz w:val="16"/>
          </w:rPr>
          <w:t>adding 5 more justices</w:t>
        </w:r>
      </w:hyperlink>
      <w:r w:rsidRPr="004865DF">
        <w:rPr>
          <w:sz w:val="16"/>
        </w:rPr>
        <w:t xml:space="preserve">. When it comes to international relations, </w:t>
      </w:r>
      <w:r w:rsidRPr="0032476A">
        <w:rPr>
          <w:rStyle w:val="StyleUnderline"/>
        </w:rPr>
        <w:t xml:space="preserve">Trump and </w:t>
      </w:r>
      <w:proofErr w:type="spellStart"/>
      <w:r w:rsidRPr="0032476A">
        <w:rPr>
          <w:rStyle w:val="StyleUnderline"/>
        </w:rPr>
        <w:t>Amlo</w:t>
      </w:r>
      <w:proofErr w:type="spellEnd"/>
      <w:r w:rsidRPr="0032476A">
        <w:rPr>
          <w:rStyle w:val="StyleUnderline"/>
        </w:rPr>
        <w:t xml:space="preserve"> verge on isolationism and show a disturbing inclination to support undemocratic power. Trump has been downright affectionate towards</w:t>
      </w:r>
      <w:r>
        <w:rPr>
          <w:rStyle w:val="StyleUnderline"/>
        </w:rPr>
        <w:t xml:space="preserve"> </w:t>
      </w:r>
      <w:hyperlink r:id="rId85" w:history="1">
        <w:r w:rsidRPr="0032476A">
          <w:rPr>
            <w:rStyle w:val="StyleUnderline"/>
          </w:rPr>
          <w:t>Kim Jong-un</w:t>
        </w:r>
      </w:hyperlink>
      <w:r w:rsidRPr="0032476A">
        <w:rPr>
          <w:rStyle w:val="StyleUnderline"/>
        </w:rPr>
        <w:t xml:space="preserve">, </w:t>
      </w:r>
      <w:r w:rsidRPr="004865DF">
        <w:rPr>
          <w:sz w:val="16"/>
        </w:rPr>
        <w:t>Supreme Leader of North Korea</w:t>
      </w:r>
      <w:r w:rsidRPr="0032476A">
        <w:rPr>
          <w:rStyle w:val="StyleUnderline"/>
        </w:rPr>
        <w:t>, and</w:t>
      </w:r>
      <w:r>
        <w:rPr>
          <w:rStyle w:val="StyleUnderline"/>
        </w:rPr>
        <w:t xml:space="preserve"> </w:t>
      </w:r>
      <w:hyperlink r:id="rId86" w:history="1">
        <w:r w:rsidRPr="0032476A">
          <w:rPr>
            <w:rStyle w:val="StyleUnderline"/>
          </w:rPr>
          <w:t>Vladimir Putin</w:t>
        </w:r>
      </w:hyperlink>
      <w:r w:rsidRPr="004865DF">
        <w:rPr>
          <w:sz w:val="16"/>
        </w:rPr>
        <w:t xml:space="preserve">, Russian President (and infamous election meddler). Meanwhile, </w:t>
      </w:r>
      <w:proofErr w:type="spellStart"/>
      <w:r w:rsidRPr="0032476A">
        <w:rPr>
          <w:rStyle w:val="StyleUnderline"/>
        </w:rPr>
        <w:t>Amlo</w:t>
      </w:r>
      <w:proofErr w:type="spellEnd"/>
      <w:r w:rsidRPr="0032476A">
        <w:rPr>
          <w:rStyle w:val="StyleUnderline"/>
        </w:rPr>
        <w:t xml:space="preserve"> has</w:t>
      </w:r>
      <w:r>
        <w:rPr>
          <w:rStyle w:val="StyleUnderline"/>
        </w:rPr>
        <w:t xml:space="preserve"> </w:t>
      </w:r>
      <w:hyperlink r:id="rId87" w:tgtFrame="_blank" w:history="1">
        <w:r w:rsidRPr="0032476A">
          <w:rPr>
            <w:rStyle w:val="StyleUnderline"/>
          </w:rPr>
          <w:t>chosen to back Venezuelan President Nicolás Maduro</w:t>
        </w:r>
      </w:hyperlink>
      <w:r w:rsidRPr="004865DF">
        <w:rPr>
          <w:sz w:val="16"/>
        </w:rPr>
        <w:t xml:space="preserve">, whose authoritarian grip on that country exacerbates an ongoing humanitarian crisis. I will concede that nationalism and disdain for checks and balances are not new concepts, nor are they uniquely Trumpian. In fact, in recent years, world leaders with these qualities have reared their heads on every continent, even in countries where Trump is loathed. But </w:t>
      </w:r>
      <w:r w:rsidRPr="004865DF">
        <w:rPr>
          <w:rStyle w:val="StyleUnderline"/>
        </w:rPr>
        <w:t>the Trump-</w:t>
      </w:r>
      <w:proofErr w:type="spellStart"/>
      <w:r w:rsidRPr="004865DF">
        <w:rPr>
          <w:rStyle w:val="StyleUnderline"/>
        </w:rPr>
        <w:t>Amlo</w:t>
      </w:r>
      <w:proofErr w:type="spellEnd"/>
      <w:r w:rsidRPr="004865DF">
        <w:rPr>
          <w:rStyle w:val="StyleUnderline"/>
        </w:rPr>
        <w:t xml:space="preserve"> duo has another concerning similarity: Both are promoting short-sighted economic agendas that are trapped in the past.</w:t>
      </w:r>
      <w:r>
        <w:rPr>
          <w:rStyle w:val="StyleUnderline"/>
        </w:rPr>
        <w:t xml:space="preserve"> </w:t>
      </w:r>
      <w:proofErr w:type="spellStart"/>
      <w:r w:rsidRPr="004865DF">
        <w:rPr>
          <w:rStyle w:val="StyleUnderline"/>
        </w:rPr>
        <w:t>Amlo’s</w:t>
      </w:r>
      <w:proofErr w:type="spellEnd"/>
      <w:r w:rsidRPr="004865DF">
        <w:rPr>
          <w:rStyle w:val="StyleUnderline"/>
        </w:rPr>
        <w:t xml:space="preserve"> strategy</w:t>
      </w:r>
      <w:r w:rsidRPr="004865DF">
        <w:rPr>
          <w:sz w:val="16"/>
        </w:rPr>
        <w:t xml:space="preserve"> to re-vamp the economy</w:t>
      </w:r>
      <w:r w:rsidRPr="004865DF">
        <w:rPr>
          <w:rStyle w:val="StyleUnderline"/>
        </w:rPr>
        <w:t xml:space="preserve"> hinges on</w:t>
      </w:r>
      <w:r w:rsidRPr="004865DF">
        <w:rPr>
          <w:sz w:val="16"/>
        </w:rPr>
        <w:t xml:space="preserve"> the </w:t>
      </w:r>
      <w:r w:rsidRPr="004865DF">
        <w:rPr>
          <w:rStyle w:val="StyleUnderline"/>
        </w:rPr>
        <w:t>construction of an</w:t>
      </w:r>
      <w:r>
        <w:rPr>
          <w:rStyle w:val="StyleUnderline"/>
        </w:rPr>
        <w:t xml:space="preserve"> </w:t>
      </w:r>
      <w:hyperlink r:id="rId88" w:tgtFrame="_blank" w:history="1">
        <w:r w:rsidRPr="004865DF">
          <w:rPr>
            <w:rStyle w:val="StyleUnderline"/>
          </w:rPr>
          <w:t>$8 billion dollar oil refinery</w:t>
        </w:r>
      </w:hyperlink>
      <w:r w:rsidRPr="004865DF">
        <w:rPr>
          <w:sz w:val="16"/>
        </w:rPr>
        <w:t xml:space="preserve">. He claims that building another mega-refinery will increase Mexico’s oil production and sustain the economy, an economic strategy from the 1960s. But the six existing refineries in Mexico are operating at </w:t>
      </w:r>
      <w:hyperlink r:id="rId89" w:tgtFrame="_blank" w:history="1">
        <w:r w:rsidRPr="004865DF">
          <w:rPr>
            <w:rStyle w:val="Hyperlink"/>
            <w:sz w:val="16"/>
          </w:rPr>
          <w:t>30 percent of their total capacity</w:t>
        </w:r>
      </w:hyperlink>
      <w:r w:rsidRPr="004865DF">
        <w:rPr>
          <w:sz w:val="16"/>
        </w:rPr>
        <w:t xml:space="preserve">, the lowest output in three decades. Why waste money on another refinery when the country is underutilizing its current infrastructure? Not to mention, Pemex, the state-owned petroleum company, would not have the capacity to support the economy, even if seven refineries were fully operational. </w:t>
      </w:r>
      <w:proofErr w:type="spellStart"/>
      <w:r w:rsidRPr="004865DF">
        <w:rPr>
          <w:rStyle w:val="StyleUnderline"/>
        </w:rPr>
        <w:t>Amlo’s</w:t>
      </w:r>
      <w:proofErr w:type="spellEnd"/>
      <w:r w:rsidRPr="004865DF">
        <w:rPr>
          <w:rStyle w:val="StyleUnderline"/>
        </w:rPr>
        <w:t xml:space="preserve"> refinery plan is similar to Trump’s emphasis on the coal industry. Most Americans have gladly shifted away from coa</w:t>
      </w:r>
      <w:r w:rsidRPr="004865DF">
        <w:rPr>
          <w:sz w:val="16"/>
        </w:rPr>
        <w:t>l in favor of cleaner, more efficient, and more sustainable energy, y</w:t>
      </w:r>
      <w:r w:rsidRPr="004865DF">
        <w:rPr>
          <w:rStyle w:val="StyleUnderline"/>
        </w:rPr>
        <w:t>et the administration vows to reboot mining efforts.</w:t>
      </w:r>
      <w:r w:rsidRPr="004865DF">
        <w:rPr>
          <w:sz w:val="16"/>
        </w:rPr>
        <w:t xml:space="preserve"> As Trump denies the science behind climate change to promote the industry, </w:t>
      </w:r>
      <w:hyperlink r:id="rId90" w:anchor="7a50eb171d74" w:tgtFrame="_blank" w:history="1">
        <w:r w:rsidRPr="004865DF">
          <w:rPr>
            <w:rStyle w:val="Hyperlink"/>
            <w:sz w:val="16"/>
          </w:rPr>
          <w:t>coal-fired power plants continue to shut down</w:t>
        </w:r>
      </w:hyperlink>
      <w:r w:rsidRPr="004865DF">
        <w:rPr>
          <w:sz w:val="16"/>
        </w:rPr>
        <w:t xml:space="preserve"> to make way for more economical production methods. Why would he dig his heels into an energy source that is inferior in every way? </w:t>
      </w:r>
      <w:r w:rsidRPr="004865DF">
        <w:rPr>
          <w:rStyle w:val="StyleUnderline"/>
        </w:rPr>
        <w:t xml:space="preserve">Both Trump and </w:t>
      </w:r>
      <w:proofErr w:type="spellStart"/>
      <w:r w:rsidRPr="004865DF">
        <w:rPr>
          <w:rStyle w:val="StyleUnderline"/>
        </w:rPr>
        <w:t>Amlo</w:t>
      </w:r>
      <w:proofErr w:type="spellEnd"/>
      <w:r w:rsidRPr="004865DF">
        <w:rPr>
          <w:rStyle w:val="StyleUnderline"/>
        </w:rPr>
        <w:t xml:space="preserve"> are appealing to a base</w:t>
      </w:r>
      <w:r w:rsidRPr="004865DF">
        <w:rPr>
          <w:sz w:val="16"/>
        </w:rPr>
        <w:t xml:space="preserve">. The two are more interested in policies that make statements than policies that actually move the economy forward. Building a populist base of support is key to consolidating power, and that mentality lends itself to short-sighted economic policy. Last July, in a classic outburst of narcissism, </w:t>
      </w:r>
      <w:hyperlink r:id="rId91" w:tgtFrame="_blank" w:history="1">
        <w:r w:rsidRPr="004865DF">
          <w:rPr>
            <w:rStyle w:val="Hyperlink"/>
            <w:sz w:val="16"/>
          </w:rPr>
          <w:t xml:space="preserve">Trump privately referred to </w:t>
        </w:r>
        <w:proofErr w:type="spellStart"/>
        <w:r w:rsidRPr="004865DF">
          <w:rPr>
            <w:rStyle w:val="Hyperlink"/>
            <w:sz w:val="16"/>
          </w:rPr>
          <w:t>Amlo</w:t>
        </w:r>
        <w:proofErr w:type="spellEnd"/>
        <w:r w:rsidRPr="004865DF">
          <w:rPr>
            <w:rStyle w:val="Hyperlink"/>
            <w:sz w:val="16"/>
          </w:rPr>
          <w:t xml:space="preserve"> as “Juan Trump,”</w:t>
        </w:r>
      </w:hyperlink>
      <w:r w:rsidRPr="004865DF">
        <w:rPr>
          <w:sz w:val="16"/>
        </w:rPr>
        <w:t xml:space="preserve"> declaring the newly-elected president to be his Mexican equivalent. </w:t>
      </w:r>
      <w:proofErr w:type="spellStart"/>
      <w:r w:rsidRPr="004865DF">
        <w:rPr>
          <w:sz w:val="16"/>
        </w:rPr>
        <w:t>Amlo’s</w:t>
      </w:r>
      <w:proofErr w:type="spellEnd"/>
      <w:r w:rsidRPr="004865DF">
        <w:rPr>
          <w:sz w:val="16"/>
        </w:rPr>
        <w:t xml:space="preserve"> staunchly anti-neoliberal supporters rejected this nickname, but, ironically, Trump was right in more ways than one. Both leaders are undermining their own democratic institutions and failing to </w:t>
      </w:r>
      <w:r w:rsidRPr="004865DF">
        <w:rPr>
          <w:sz w:val="16"/>
        </w:rPr>
        <w:lastRenderedPageBreak/>
        <w:t xml:space="preserve">make investments in the future of the North American economy. </w:t>
      </w:r>
      <w:r w:rsidRPr="0011037F">
        <w:rPr>
          <w:rStyle w:val="Emphasis"/>
        </w:rPr>
        <w:t xml:space="preserve">I don’t expect </w:t>
      </w:r>
      <w:proofErr w:type="spellStart"/>
      <w:r w:rsidRPr="0011037F">
        <w:rPr>
          <w:rStyle w:val="Emphasis"/>
        </w:rPr>
        <w:t>Amlo</w:t>
      </w:r>
      <w:proofErr w:type="spellEnd"/>
      <w:r w:rsidRPr="0011037F">
        <w:rPr>
          <w:rStyle w:val="Emphasis"/>
        </w:rPr>
        <w:t xml:space="preserve"> to stand up to Trump anytime soon, if at all.</w:t>
      </w:r>
      <w:r w:rsidRPr="004865DF">
        <w:rPr>
          <w:sz w:val="16"/>
        </w:rPr>
        <w:t xml:space="preserve"> The two presidents are trapped in the 20th century and, ultimately, enable one another.</w:t>
      </w:r>
    </w:p>
    <w:p w:rsidR="009559DC" w:rsidRDefault="009559DC" w:rsidP="009559DC"/>
    <w:p w:rsidR="009559DC" w:rsidRPr="002D7CB6" w:rsidRDefault="009559DC" w:rsidP="009559DC">
      <w:pPr>
        <w:pStyle w:val="Heading4"/>
      </w:pPr>
      <w:r>
        <w:t>Tariffs thump the link.</w:t>
      </w:r>
    </w:p>
    <w:p w:rsidR="009559DC" w:rsidRPr="002D7CB6" w:rsidRDefault="009559DC" w:rsidP="009559DC">
      <w:r w:rsidRPr="005E34C0">
        <w:rPr>
          <w:rStyle w:val="Style13ptBold"/>
        </w:rPr>
        <w:t>Sheridan 19</w:t>
      </w:r>
      <w:r w:rsidRPr="002D7CB6">
        <w:t xml:space="preserve"> (Mary Beth Sheridan, correspondent covering Mexico and Central America, 6/5/19, “In tariff talks, Mexico's negotiators fear crisis in U.S. relations, politics back home” https://www.washingtonpost.com/world/the_americas/in-mexico-fears-grow-of-crisis-in-relationship-with-us-over-trump-tariff-threat/2019/06/04/9db3f3b0-871f-11e9-9d73-e2ba6bbf1b9b_story.html Washington Post Blogs, Lexis)//ICH-EC</w:t>
      </w:r>
    </w:p>
    <w:p w:rsidR="009559DC" w:rsidRPr="00B97AD5" w:rsidRDefault="009559DC" w:rsidP="009559DC">
      <w:pPr>
        <w:rPr>
          <w:rStyle w:val="StyleUnderline"/>
        </w:rPr>
      </w:pPr>
      <w:r w:rsidRPr="00B97AD5">
        <w:rPr>
          <w:sz w:val="16"/>
        </w:rPr>
        <w:t xml:space="preserve">MEXICO CITY - </w:t>
      </w:r>
      <w:r w:rsidRPr="00D87996">
        <w:rPr>
          <w:rStyle w:val="StyleUnderline"/>
        </w:rPr>
        <w:t>Mexico's</w:t>
      </w:r>
      <w:r>
        <w:rPr>
          <w:rStyle w:val="StyleUnderline"/>
        </w:rPr>
        <w:t xml:space="preserve"> </w:t>
      </w:r>
      <w:r w:rsidRPr="00D87996">
        <w:rPr>
          <w:rStyle w:val="StyleUnderline"/>
        </w:rPr>
        <w:t>government is trying to delicately negotiate its way out of looming</w:t>
      </w:r>
      <w:r>
        <w:rPr>
          <w:rStyle w:val="StyleUnderline"/>
        </w:rPr>
        <w:t xml:space="preserve"> </w:t>
      </w:r>
      <w:r w:rsidRPr="00D87996">
        <w:rPr>
          <w:rStyle w:val="StyleUnderline"/>
        </w:rPr>
        <w:t>U.S.</w:t>
      </w:r>
      <w:r>
        <w:rPr>
          <w:rStyle w:val="StyleUnderline"/>
        </w:rPr>
        <w:t xml:space="preserve"> </w:t>
      </w:r>
      <w:r w:rsidRPr="00D87996">
        <w:rPr>
          <w:rStyle w:val="StyleUnderline"/>
        </w:rPr>
        <w:t xml:space="preserve">tariffs. </w:t>
      </w:r>
      <w:r w:rsidRPr="00B97AD5">
        <w:rPr>
          <w:sz w:val="16"/>
        </w:rPr>
        <w:t>But</w:t>
      </w:r>
      <w:r w:rsidRPr="00D87996">
        <w:rPr>
          <w:rStyle w:val="StyleUnderline"/>
        </w:rPr>
        <w:t xml:space="preserve"> many</w:t>
      </w:r>
      <w:r>
        <w:rPr>
          <w:rStyle w:val="StyleUnderline"/>
        </w:rPr>
        <w:t xml:space="preserve"> </w:t>
      </w:r>
      <w:proofErr w:type="gramStart"/>
      <w:r w:rsidRPr="00D87996">
        <w:rPr>
          <w:rStyle w:val="StyleUnderline"/>
        </w:rPr>
        <w:t>fear</w:t>
      </w:r>
      <w:proofErr w:type="gramEnd"/>
      <w:r>
        <w:rPr>
          <w:rStyle w:val="StyleUnderline"/>
        </w:rPr>
        <w:t xml:space="preserve"> </w:t>
      </w:r>
      <w:r w:rsidRPr="00D87996">
        <w:rPr>
          <w:rStyle w:val="StyleUnderline"/>
        </w:rPr>
        <w:t xml:space="preserve">that </w:t>
      </w:r>
      <w:r w:rsidRPr="00B97AD5">
        <w:rPr>
          <w:sz w:val="16"/>
        </w:rPr>
        <w:t>its</w:t>
      </w:r>
      <w:r>
        <w:rPr>
          <w:rStyle w:val="StyleUnderline"/>
        </w:rPr>
        <w:t xml:space="preserve"> </w:t>
      </w:r>
      <w:r w:rsidRPr="00D87996">
        <w:rPr>
          <w:rStyle w:val="StyleUnderline"/>
        </w:rPr>
        <w:t>talks</w:t>
      </w:r>
      <w:r>
        <w:rPr>
          <w:rStyle w:val="StyleUnderline"/>
        </w:rPr>
        <w:t xml:space="preserve"> </w:t>
      </w:r>
      <w:r w:rsidRPr="00D87996">
        <w:rPr>
          <w:rStyle w:val="StyleUnderline"/>
        </w:rPr>
        <w:t xml:space="preserve">with </w:t>
      </w:r>
      <w:r w:rsidRPr="00B97AD5">
        <w:rPr>
          <w:sz w:val="16"/>
        </w:rPr>
        <w:t>the</w:t>
      </w:r>
      <w:r w:rsidRPr="00D87996">
        <w:rPr>
          <w:rStyle w:val="StyleUnderline"/>
        </w:rPr>
        <w:t xml:space="preserve"> Trump </w:t>
      </w:r>
      <w:r w:rsidRPr="00B97AD5">
        <w:rPr>
          <w:sz w:val="16"/>
        </w:rPr>
        <w:t>administration</w:t>
      </w:r>
      <w:r w:rsidRPr="00D87996">
        <w:rPr>
          <w:rStyle w:val="StyleUnderline"/>
        </w:rPr>
        <w:t xml:space="preserve"> could break down, leading to </w:t>
      </w:r>
      <w:r w:rsidRPr="00B97AD5">
        <w:rPr>
          <w:sz w:val="16"/>
        </w:rPr>
        <w:t>a</w:t>
      </w:r>
      <w:r w:rsidRPr="00D87996">
        <w:rPr>
          <w:rStyle w:val="StyleUnderline"/>
        </w:rPr>
        <w:t xml:space="preserve"> backlash here and long-term damage to the </w:t>
      </w:r>
      <w:r w:rsidRPr="00B97AD5">
        <w:rPr>
          <w:sz w:val="16"/>
        </w:rPr>
        <w:t>bilateral</w:t>
      </w:r>
      <w:r w:rsidRPr="00D87996">
        <w:rPr>
          <w:rStyle w:val="StyleUnderline"/>
        </w:rPr>
        <w:t xml:space="preserve"> relationship.</w:t>
      </w:r>
      <w:r>
        <w:rPr>
          <w:rStyle w:val="StyleUnderline"/>
        </w:rPr>
        <w:t xml:space="preserve"> </w:t>
      </w:r>
      <w:r w:rsidRPr="00B97AD5">
        <w:rPr>
          <w:sz w:val="16"/>
        </w:rPr>
        <w:t xml:space="preserve">Senior-level delegations from both countries met on Wednesday to try and reach a </w:t>
      </w:r>
      <w:proofErr w:type="gramStart"/>
      <w:r w:rsidRPr="00B97AD5">
        <w:rPr>
          <w:sz w:val="16"/>
        </w:rPr>
        <w:t>deal, and</w:t>
      </w:r>
      <w:proofErr w:type="gramEnd"/>
      <w:r w:rsidRPr="00B97AD5">
        <w:rPr>
          <w:sz w:val="16"/>
        </w:rPr>
        <w:t xml:space="preserve"> are scheduled to continue their </w:t>
      </w:r>
      <w:proofErr w:type="spellStart"/>
      <w:r w:rsidRPr="00B97AD5">
        <w:rPr>
          <w:sz w:val="16"/>
        </w:rPr>
        <w:t>talkson</w:t>
      </w:r>
      <w:proofErr w:type="spellEnd"/>
      <w:r w:rsidRPr="00B97AD5">
        <w:rPr>
          <w:sz w:val="16"/>
        </w:rPr>
        <w:t xml:space="preserve"> Thursday. "You always have to be optimistic, especially in a difficult negotiation with lots of tension," said Mexican Foreign Minister Marcelo </w:t>
      </w:r>
      <w:proofErr w:type="spellStart"/>
      <w:r w:rsidRPr="00B97AD5">
        <w:rPr>
          <w:sz w:val="16"/>
        </w:rPr>
        <w:t>Ebrard</w:t>
      </w:r>
      <w:proofErr w:type="spellEnd"/>
      <w:r w:rsidRPr="00B97AD5">
        <w:rPr>
          <w:sz w:val="16"/>
        </w:rPr>
        <w:t xml:space="preserve">, after the two-hour meeting. "We are going to find some point of agreement as soon as possible." Mexican officials are eager to make a deal - worrying that the tariffs threatened by President Trump could further slow this country's lethargic economy while also hurting U.S. businesses and consumers. At the same time, they also must contend with a Mexican public that is irritated by what it views as U.S. bullying. A poll published this week by the newspaper El </w:t>
      </w:r>
      <w:proofErr w:type="spellStart"/>
      <w:r w:rsidRPr="00B97AD5">
        <w:rPr>
          <w:sz w:val="16"/>
        </w:rPr>
        <w:t>Financiero</w:t>
      </w:r>
      <w:proofErr w:type="spellEnd"/>
      <w:r w:rsidRPr="00B97AD5">
        <w:rPr>
          <w:sz w:val="16"/>
        </w:rPr>
        <w:t xml:space="preserve"> gave a sense of the narrow path Mexican leaders are treading. An overwhelming number of respondents - 84 percent - said the nation should support President Andrés Manuel López </w:t>
      </w:r>
      <w:proofErr w:type="spellStart"/>
      <w:r w:rsidRPr="00B97AD5">
        <w:rPr>
          <w:sz w:val="16"/>
        </w:rPr>
        <w:t>Obrador'sdiplomatic</w:t>
      </w:r>
      <w:proofErr w:type="spellEnd"/>
      <w:r w:rsidRPr="00B97AD5">
        <w:rPr>
          <w:sz w:val="16"/>
        </w:rPr>
        <w:t xml:space="preserve"> drive. But only 40 percent thought Mexico should cut off the flow of unauthorized migrants as Trump has demanded. "Regardless of how this story ends, Trump could scupper US-Mexico relations and lose #Mexico as a strategic partner and ally," wrote Arturo Sarukhan, a former Mexican ambassador to the United States, in a tweet. </w:t>
      </w:r>
      <w:r w:rsidRPr="00D87996">
        <w:rPr>
          <w:rStyle w:val="StyleUnderline"/>
        </w:rPr>
        <w:t>Trump</w:t>
      </w:r>
      <w:r w:rsidRPr="00B97AD5">
        <w:rPr>
          <w:sz w:val="16"/>
        </w:rPr>
        <w:t xml:space="preserve"> has </w:t>
      </w:r>
      <w:r w:rsidRPr="00D87996">
        <w:rPr>
          <w:rStyle w:val="StyleUnderline"/>
        </w:rPr>
        <w:t>threatened to</w:t>
      </w:r>
      <w:r>
        <w:rPr>
          <w:rStyle w:val="StyleUnderline"/>
        </w:rPr>
        <w:t xml:space="preserve"> </w:t>
      </w:r>
      <w:r w:rsidRPr="00D87996">
        <w:rPr>
          <w:rStyle w:val="StyleUnderline"/>
        </w:rPr>
        <w:t>impose</w:t>
      </w:r>
      <w:r>
        <w:rPr>
          <w:rStyle w:val="StyleUnderline"/>
        </w:rPr>
        <w:t xml:space="preserve"> </w:t>
      </w:r>
      <w:r w:rsidRPr="00D87996">
        <w:rPr>
          <w:rStyle w:val="StyleUnderline"/>
        </w:rPr>
        <w:t>tariffs</w:t>
      </w:r>
      <w:r w:rsidRPr="00B97AD5">
        <w:rPr>
          <w:sz w:val="16"/>
        </w:rPr>
        <w:t xml:space="preserve"> starting at 5 percent and gradually rising to 25 percent on all Mexican exports to the United States unless Mexican authorities prevent U.S.-bound Central Americans from crossing their country. López Obrador, a leftist who took office in December, has sought to maintain smooth relations with the U.S. president. Trump said in a tweet on Wednesday that progress had been made in the talks - "but not nearly enough!" </w:t>
      </w:r>
      <w:r w:rsidRPr="00B97AD5">
        <w:rPr>
          <w:rStyle w:val="StyleUnderline"/>
        </w:rPr>
        <w:t>He said the</w:t>
      </w:r>
      <w:r>
        <w:rPr>
          <w:rStyle w:val="StyleUnderline"/>
        </w:rPr>
        <w:t xml:space="preserve"> </w:t>
      </w:r>
      <w:r w:rsidRPr="00B97AD5">
        <w:rPr>
          <w:rStyle w:val="StyleUnderline"/>
        </w:rPr>
        <w:t>talks</w:t>
      </w:r>
      <w:r>
        <w:rPr>
          <w:rStyle w:val="StyleUnderline"/>
        </w:rPr>
        <w:t xml:space="preserve"> </w:t>
      </w:r>
      <w:r w:rsidRPr="00B97AD5">
        <w:rPr>
          <w:rStyle w:val="StyleUnderline"/>
        </w:rPr>
        <w:t>would continue on Thursday</w:t>
      </w:r>
      <w:r>
        <w:rPr>
          <w:rStyle w:val="StyleUnderline"/>
        </w:rPr>
        <w:t xml:space="preserve"> </w:t>
      </w:r>
      <w:r w:rsidRPr="00B97AD5">
        <w:rPr>
          <w:rStyle w:val="StyleUnderline"/>
        </w:rPr>
        <w:t>"with the</w:t>
      </w:r>
      <w:r>
        <w:rPr>
          <w:rStyle w:val="StyleUnderline"/>
        </w:rPr>
        <w:t xml:space="preserve"> </w:t>
      </w:r>
      <w:r w:rsidRPr="00B97AD5">
        <w:rPr>
          <w:rStyle w:val="StyleUnderline"/>
        </w:rPr>
        <w:t>understanding that, if no agreement is reached,</w:t>
      </w:r>
      <w:r>
        <w:rPr>
          <w:rStyle w:val="StyleUnderline"/>
        </w:rPr>
        <w:t xml:space="preserve"> </w:t>
      </w:r>
      <w:r w:rsidRPr="00B97AD5">
        <w:rPr>
          <w:rStyle w:val="StyleUnderline"/>
        </w:rPr>
        <w:t>Tariffs</w:t>
      </w:r>
      <w:r>
        <w:rPr>
          <w:rStyle w:val="StyleUnderline"/>
        </w:rPr>
        <w:t xml:space="preserve"> </w:t>
      </w:r>
      <w:r w:rsidRPr="00B97AD5">
        <w:rPr>
          <w:rStyle w:val="StyleUnderline"/>
        </w:rPr>
        <w:t>at the 5% level will begin on Monday."</w:t>
      </w:r>
      <w:r>
        <w:rPr>
          <w:rStyle w:val="StyleUnderline"/>
        </w:rPr>
        <w:t xml:space="preserve"> </w:t>
      </w:r>
      <w:r w:rsidRPr="00B97AD5">
        <w:rPr>
          <w:rStyle w:val="Emphasis"/>
        </w:rPr>
        <w:t>Mexican officials have largely avoided discussion of retaliatory steps</w:t>
      </w:r>
      <w:r w:rsidRPr="00B97AD5">
        <w:rPr>
          <w:sz w:val="16"/>
        </w:rPr>
        <w:t xml:space="preserve"> they could take. They could slap their own tariffs on </w:t>
      </w:r>
      <w:proofErr w:type="spellStart"/>
      <w:r w:rsidRPr="00B97AD5">
        <w:rPr>
          <w:sz w:val="16"/>
        </w:rPr>
        <w:t>U.</w:t>
      </w:r>
      <w:proofErr w:type="gramStart"/>
      <w:r w:rsidRPr="00B97AD5">
        <w:rPr>
          <w:sz w:val="16"/>
        </w:rPr>
        <w:t>S.products</w:t>
      </w:r>
      <w:proofErr w:type="spellEnd"/>
      <w:proofErr w:type="gramEnd"/>
      <w:r w:rsidRPr="00B97AD5">
        <w:rPr>
          <w:sz w:val="16"/>
        </w:rPr>
        <w:t xml:space="preserve">, potentially increasing pressure on Trump to cut a deal. The leader of a major Mexican agricultural association, Bosco de la Vega, said Wednesday that U.S. tariffs should be met with equal measures by Mexico. "It's right for Mexico to negotiate and be prudent, but when the aggression is so strong and unjustified, we will have to respond," he told the newspaper El Universal. In the recent newspaper poll, 57 percent of respondents wanted Mexico to strike back with its own taxes on U.S. goods. </w:t>
      </w:r>
      <w:r w:rsidRPr="00B97AD5">
        <w:rPr>
          <w:rStyle w:val="StyleUnderline"/>
        </w:rPr>
        <w:t>Trump's</w:t>
      </w:r>
      <w:r>
        <w:rPr>
          <w:rStyle w:val="StyleUnderline"/>
        </w:rPr>
        <w:t xml:space="preserve"> </w:t>
      </w:r>
      <w:r w:rsidRPr="00B97AD5">
        <w:rPr>
          <w:rStyle w:val="StyleUnderline"/>
        </w:rPr>
        <w:t>gambit has threatened to upend plans by the</w:t>
      </w:r>
      <w:r>
        <w:rPr>
          <w:rStyle w:val="StyleUnderline"/>
        </w:rPr>
        <w:t xml:space="preserve"> </w:t>
      </w:r>
      <w:r w:rsidRPr="00B97AD5">
        <w:rPr>
          <w:rStyle w:val="StyleUnderline"/>
        </w:rPr>
        <w:t>U.S.</w:t>
      </w:r>
      <w:r>
        <w:rPr>
          <w:rStyle w:val="StyleUnderline"/>
        </w:rPr>
        <w:t xml:space="preserve"> </w:t>
      </w:r>
      <w:r w:rsidRPr="00B97AD5">
        <w:rPr>
          <w:rStyle w:val="StyleUnderline"/>
        </w:rPr>
        <w:t>and Mexican congresses to ratify the updated version of the North American Free Trade Agreement.</w:t>
      </w:r>
      <w:r>
        <w:rPr>
          <w:rStyle w:val="StyleUnderline"/>
        </w:rPr>
        <w:t xml:space="preserve"> </w:t>
      </w:r>
      <w:r w:rsidRPr="00B97AD5">
        <w:rPr>
          <w:sz w:val="16"/>
        </w:rPr>
        <w:t xml:space="preserve">The tariffs could become the biggest bilateral crisis yet for </w:t>
      </w:r>
      <w:proofErr w:type="spellStart"/>
      <w:r w:rsidRPr="00B97AD5">
        <w:rPr>
          <w:sz w:val="16"/>
        </w:rPr>
        <w:t>U.S.and</w:t>
      </w:r>
      <w:proofErr w:type="spellEnd"/>
      <w:r w:rsidRPr="00B97AD5">
        <w:rPr>
          <w:sz w:val="16"/>
        </w:rPr>
        <w:t xml:space="preserve"> Mexican leaders. Mexico is heavily dependent on trade with the United States - the destination of 80 percent of its exports. "The bilateral relationship could be harmed for a long time" if an agreement is not reached soon, said Gustavo Mohar, a former top intelligence and migration official in Mexico. "President Trump is sending a very worrying signal about what Mexico faces while he's in the White House." </w:t>
      </w:r>
      <w:r w:rsidRPr="00B97AD5">
        <w:rPr>
          <w:rStyle w:val="StyleUnderline"/>
        </w:rPr>
        <w:t xml:space="preserve">El </w:t>
      </w:r>
      <w:proofErr w:type="spellStart"/>
      <w:r w:rsidRPr="00B97AD5">
        <w:rPr>
          <w:rStyle w:val="StyleUnderline"/>
        </w:rPr>
        <w:t>Financiero's</w:t>
      </w:r>
      <w:proofErr w:type="spellEnd"/>
      <w:r>
        <w:rPr>
          <w:rStyle w:val="StyleUnderline"/>
        </w:rPr>
        <w:t xml:space="preserve"> </w:t>
      </w:r>
      <w:r w:rsidRPr="00B97AD5">
        <w:rPr>
          <w:rStyle w:val="StyleUnderline"/>
        </w:rPr>
        <w:t>poll found that only 16</w:t>
      </w:r>
      <w:r>
        <w:rPr>
          <w:rStyle w:val="StyleUnderline"/>
        </w:rPr>
        <w:t xml:space="preserve"> </w:t>
      </w:r>
      <w:r w:rsidRPr="00B97AD5">
        <w:rPr>
          <w:rStyle w:val="StyleUnderline"/>
        </w:rPr>
        <w:t>percent of those surveyed expressed a favorable view of bilateral</w:t>
      </w:r>
      <w:r>
        <w:rPr>
          <w:rStyle w:val="StyleUnderline"/>
        </w:rPr>
        <w:t xml:space="preserve"> </w:t>
      </w:r>
      <w:r w:rsidRPr="00B97AD5">
        <w:rPr>
          <w:rStyle w:val="StyleUnderline"/>
        </w:rPr>
        <w:t>relations, compared with 33</w:t>
      </w:r>
      <w:r>
        <w:rPr>
          <w:rStyle w:val="StyleUnderline"/>
        </w:rPr>
        <w:t xml:space="preserve"> </w:t>
      </w:r>
      <w:r w:rsidRPr="00B97AD5">
        <w:rPr>
          <w:rStyle w:val="StyleUnderline"/>
        </w:rPr>
        <w:t>percent in March.</w:t>
      </w:r>
      <w:r>
        <w:rPr>
          <w:rStyle w:val="StyleUnderline"/>
        </w:rPr>
        <w:t xml:space="preserve"> </w:t>
      </w:r>
      <w:r w:rsidRPr="00B97AD5">
        <w:rPr>
          <w:sz w:val="16"/>
        </w:rPr>
        <w:t>The White House has not said exactly what it expects from Mexico. The Mexican delegation to the talks has not tipped its hand on what it may offer. But s</w:t>
      </w:r>
      <w:r w:rsidRPr="00B97AD5">
        <w:rPr>
          <w:rStyle w:val="StyleUnderline"/>
        </w:rPr>
        <w:t>enior officials at the Department of Homeland Security have said they want Mexico to strengthen security on its border with Guatemala and intensify its investigation of smuggling rings that transport most migrants across Mexican territory.</w:t>
      </w:r>
    </w:p>
    <w:p w:rsidR="00321342" w:rsidRDefault="00D02D57" w:rsidP="00D02D57">
      <w:pPr>
        <w:pStyle w:val="Heading3"/>
      </w:pPr>
      <w:r w:rsidRPr="00D02D57">
        <w:lastRenderedPageBreak/>
        <w:t>AT: Econ Impacts</w:t>
      </w:r>
    </w:p>
    <w:p w:rsidR="00D02D57" w:rsidRDefault="00D02D57" w:rsidP="00D02D57">
      <w:pPr>
        <w:pStyle w:val="Heading4"/>
      </w:pPr>
      <w:r>
        <w:t xml:space="preserve">Mainstream economics is structured by Homo </w:t>
      </w:r>
      <w:proofErr w:type="spellStart"/>
      <w:r>
        <w:t>economicus</w:t>
      </w:r>
      <w:proofErr w:type="spellEnd"/>
      <w:r>
        <w:t xml:space="preserve">, which is dependent on detached and gendered notions of economic agency </w:t>
      </w:r>
    </w:p>
    <w:p w:rsidR="00D02D57" w:rsidRDefault="00D02D57" w:rsidP="00D02D57">
      <w:pPr>
        <w:rPr>
          <w:rStyle w:val="Style13ptBold"/>
        </w:rPr>
      </w:pPr>
      <w:proofErr w:type="spellStart"/>
      <w:r>
        <w:rPr>
          <w:rStyle w:val="Style13ptBold"/>
        </w:rPr>
        <w:t>Hagengruber</w:t>
      </w:r>
      <w:proofErr w:type="spellEnd"/>
      <w:r>
        <w:rPr>
          <w:rStyle w:val="Style13ptBold"/>
        </w:rPr>
        <w:t xml:space="preserve"> 16</w:t>
      </w:r>
    </w:p>
    <w:p w:rsidR="00D02D57" w:rsidRPr="005D0CBD" w:rsidRDefault="00D02D57" w:rsidP="00D02D57">
      <w:pPr>
        <w:rPr>
          <w:rStyle w:val="Style13ptBold"/>
          <w:sz w:val="20"/>
          <w:szCs w:val="20"/>
        </w:rPr>
      </w:pPr>
      <w:r w:rsidRPr="005D0CBD">
        <w:rPr>
          <w:rStyle w:val="Style13ptBold"/>
          <w:sz w:val="20"/>
          <w:szCs w:val="20"/>
        </w:rPr>
        <w:t>(Ruth, University of Paderborn, Springer International Publishing Switzerland 2016 171 M.C. Amoretti and N. Vassallo (eds.), Meta-Philosophical Reflection</w:t>
      </w:r>
      <w:r>
        <w:rPr>
          <w:rStyle w:val="Style13ptBold"/>
          <w:sz w:val="20"/>
          <w:szCs w:val="20"/>
        </w:rPr>
        <w:t xml:space="preserve"> </w:t>
      </w:r>
      <w:r w:rsidRPr="005D0CBD">
        <w:rPr>
          <w:rStyle w:val="Style13ptBold"/>
          <w:sz w:val="20"/>
          <w:szCs w:val="20"/>
        </w:rPr>
        <w:t>on Feminist Philosophies of Science, Boston Studies in the Philosophy</w:t>
      </w:r>
      <w:r>
        <w:rPr>
          <w:rStyle w:val="Style13ptBold"/>
          <w:sz w:val="20"/>
          <w:szCs w:val="20"/>
        </w:rPr>
        <w:t xml:space="preserve"> </w:t>
      </w:r>
      <w:r w:rsidRPr="005D0CBD">
        <w:rPr>
          <w:rStyle w:val="Style13ptBold"/>
          <w:sz w:val="20"/>
          <w:szCs w:val="20"/>
        </w:rPr>
        <w:t>and History of Science 317, DOI 10.1007/978-3-319-26348-9_10, JKS)</w:t>
      </w:r>
    </w:p>
    <w:p w:rsidR="00D02D57" w:rsidRPr="009635E8" w:rsidRDefault="00D02D57" w:rsidP="00D02D57">
      <w:pPr>
        <w:rPr>
          <w:sz w:val="10"/>
        </w:rPr>
      </w:pPr>
      <w:r w:rsidRPr="00DD5E10">
        <w:rPr>
          <w:rStyle w:val="StyleUnderline"/>
        </w:rPr>
        <w:t xml:space="preserve">The science of </w:t>
      </w:r>
      <w:r w:rsidRPr="00B173EF">
        <w:rPr>
          <w:rStyle w:val="StyleUnderline"/>
        </w:rPr>
        <w:t>economics conceptualizes itself as a value-free and universal</w:t>
      </w:r>
      <w:r w:rsidRPr="00DD5E10">
        <w:rPr>
          <w:rStyle w:val="StyleUnderline"/>
        </w:rPr>
        <w:t xml:space="preserve"> methodical </w:t>
      </w:r>
      <w:r w:rsidRPr="00B173EF">
        <w:rPr>
          <w:rStyle w:val="StyleUnderline"/>
        </w:rPr>
        <w:t>approach used to describe self-interested actions by the agents in a market</w:t>
      </w:r>
      <w:r w:rsidRPr="00DD5E10">
        <w:rPr>
          <w:rStyle w:val="StyleUnderline"/>
        </w:rPr>
        <w:t>, which is defined as a place for the exchange of goods.</w:t>
      </w:r>
      <w:r w:rsidRPr="009635E8">
        <w:rPr>
          <w:sz w:val="10"/>
        </w:rPr>
        <w:t xml:space="preserve"> The description of this process does not need to include values or evaluative </w:t>
      </w:r>
      <w:proofErr w:type="gramStart"/>
      <w:r w:rsidRPr="009635E8">
        <w:rPr>
          <w:sz w:val="10"/>
        </w:rPr>
        <w:t>standpoints,</w:t>
      </w:r>
      <w:proofErr w:type="gramEnd"/>
      <w:r w:rsidRPr="009635E8">
        <w:rPr>
          <w:sz w:val="10"/>
        </w:rPr>
        <w:t xml:space="preserve"> however it does not deny that economic agency is restricted and shaped by normative topics. A Jewish society differs from the action parameters of a Moslem society, this from a Buddhist, a Confucian and a Christian one, and so on. Science itself is not bothered by these preconditions. For the different societies it is true that women are not equally present, neither as producers of economic output nor as economic agents</w:t>
      </w:r>
      <w:r w:rsidRPr="00DD5E10">
        <w:rPr>
          <w:rStyle w:val="StyleUnderline"/>
        </w:rPr>
        <w:t xml:space="preserve">. </w:t>
      </w:r>
      <w:r w:rsidRPr="006012B5">
        <w:rPr>
          <w:rStyle w:val="StyleUnderline"/>
        </w:rPr>
        <w:t>Women are excluded as agents in the market and</w:t>
      </w:r>
      <w:r w:rsidRPr="009635E8">
        <w:rPr>
          <w:sz w:val="10"/>
        </w:rPr>
        <w:t xml:space="preserve"> thus</w:t>
      </w:r>
      <w:r w:rsidRPr="00DD5E10">
        <w:rPr>
          <w:rStyle w:val="StyleUnderline"/>
        </w:rPr>
        <w:t xml:space="preserve"> </w:t>
      </w:r>
      <w:r w:rsidRPr="006012B5">
        <w:rPr>
          <w:rStyle w:val="StyleUnderline"/>
        </w:rPr>
        <w:t>excluded from the relevant positioning of their interests</w:t>
      </w:r>
      <w:r w:rsidRPr="009635E8">
        <w:rPr>
          <w:sz w:val="10"/>
        </w:rPr>
        <w:t xml:space="preserve"> (</w:t>
      </w:r>
      <w:proofErr w:type="spellStart"/>
      <w:r w:rsidRPr="009635E8">
        <w:rPr>
          <w:sz w:val="10"/>
        </w:rPr>
        <w:t>Strassmann</w:t>
      </w:r>
      <w:proofErr w:type="spellEnd"/>
      <w:r w:rsidRPr="009635E8">
        <w:rPr>
          <w:sz w:val="10"/>
        </w:rPr>
        <w:t xml:space="preserve"> 1997: viii</w:t>
      </w:r>
      <w:r w:rsidRPr="006012B5">
        <w:rPr>
          <w:sz w:val="10"/>
        </w:rPr>
        <w:t xml:space="preserve">). </w:t>
      </w:r>
      <w:r w:rsidRPr="006012B5">
        <w:rPr>
          <w:rStyle w:val="StyleUnderline"/>
        </w:rPr>
        <w:t>The</w:t>
      </w:r>
      <w:r w:rsidRPr="00DD5E10">
        <w:rPr>
          <w:rStyle w:val="StyleUnderline"/>
        </w:rPr>
        <w:t xml:space="preserve"> </w:t>
      </w:r>
      <w:r w:rsidRPr="009635E8">
        <w:rPr>
          <w:sz w:val="10"/>
        </w:rPr>
        <w:t xml:space="preserve">sheer </w:t>
      </w:r>
      <w:r w:rsidRPr="006012B5">
        <w:rPr>
          <w:rStyle w:val="StyleUnderline"/>
        </w:rPr>
        <w:t>fact that women are not visible within the different economic realms is not problematized within the systems themselves.</w:t>
      </w:r>
      <w:r w:rsidRPr="00DD5E10">
        <w:rPr>
          <w:rStyle w:val="StyleUnderline"/>
        </w:rPr>
        <w:t xml:space="preserve"> The fact of their absence and the inferior valuation of their contribution to the Gross National Products worldwide is taken to be a result of their lack of participation and a consequence of women’s role in society, stereotyping them into activities which are not regarded as being a part of economic productivity</w:t>
      </w:r>
      <w:r w:rsidRPr="009635E8">
        <w:rPr>
          <w:sz w:val="10"/>
        </w:rPr>
        <w:t xml:space="preserve">. Nonetheless, </w:t>
      </w:r>
      <w:r w:rsidRPr="006012B5">
        <w:rPr>
          <w:rStyle w:val="Emphasis"/>
        </w:rPr>
        <w:t>the rational economic agent is perceived to be gender-neutral</w:t>
      </w:r>
      <w:r w:rsidRPr="009635E8">
        <w:rPr>
          <w:sz w:val="10"/>
        </w:rPr>
        <w:t xml:space="preserve"> (Ferber and Nelson 2003; </w:t>
      </w:r>
      <w:proofErr w:type="spellStart"/>
      <w:r w:rsidRPr="009635E8">
        <w:rPr>
          <w:sz w:val="10"/>
        </w:rPr>
        <w:t>Strassmann</w:t>
      </w:r>
      <w:proofErr w:type="spellEnd"/>
      <w:r w:rsidRPr="009635E8">
        <w:rPr>
          <w:sz w:val="10"/>
        </w:rPr>
        <w:t xml:space="preserve"> 1993; </w:t>
      </w:r>
      <w:proofErr w:type="spellStart"/>
      <w:r w:rsidRPr="009635E8">
        <w:rPr>
          <w:sz w:val="10"/>
        </w:rPr>
        <w:t>Justman</w:t>
      </w:r>
      <w:proofErr w:type="spellEnd"/>
      <w:r w:rsidRPr="009635E8">
        <w:rPr>
          <w:sz w:val="10"/>
        </w:rPr>
        <w:t xml:space="preserve"> 1996). The </w:t>
      </w:r>
      <w:r w:rsidRPr="006012B5">
        <w:rPr>
          <w:rStyle w:val="StyleUnderline"/>
        </w:rPr>
        <w:t xml:space="preserve">homo </w:t>
      </w:r>
      <w:proofErr w:type="spellStart"/>
      <w:r w:rsidRPr="006012B5">
        <w:rPr>
          <w:rStyle w:val="StyleUnderline"/>
        </w:rPr>
        <w:t>oeconomicus</w:t>
      </w:r>
      <w:proofErr w:type="spellEnd"/>
      <w:r w:rsidRPr="006012B5">
        <w:rPr>
          <w:rStyle w:val="StyleUnderline"/>
        </w:rPr>
        <w:t xml:space="preserve"> is</w:t>
      </w:r>
      <w:r w:rsidRPr="00DD5E10">
        <w:rPr>
          <w:rStyle w:val="StyleUnderline"/>
        </w:rPr>
        <w:t xml:space="preserve"> a </w:t>
      </w:r>
      <w:r w:rsidRPr="006012B5">
        <w:rPr>
          <w:rStyle w:val="Emphasis"/>
        </w:rPr>
        <w:t>preference-selecting person</w:t>
      </w:r>
      <w:r w:rsidRPr="006012B5">
        <w:rPr>
          <w:rStyle w:val="StyleUnderline"/>
        </w:rPr>
        <w:t>, an autonomous individual</w:t>
      </w:r>
      <w:r w:rsidRPr="00DD5E10">
        <w:rPr>
          <w:rStyle w:val="StyleUnderline"/>
        </w:rPr>
        <w:t xml:space="preserve"> </w:t>
      </w:r>
      <w:r w:rsidRPr="009635E8">
        <w:rPr>
          <w:sz w:val="10"/>
        </w:rPr>
        <w:t xml:space="preserve">acting </w:t>
      </w:r>
      <w:r w:rsidRPr="006012B5">
        <w:rPr>
          <w:rStyle w:val="StyleUnderline"/>
        </w:rPr>
        <w:t>in abstract circumstances,</w:t>
      </w:r>
      <w:r w:rsidRPr="00DD5E10">
        <w:rPr>
          <w:rStyle w:val="StyleUnderline"/>
        </w:rPr>
        <w:t xml:space="preserve"> </w:t>
      </w:r>
      <w:r w:rsidRPr="009635E8">
        <w:rPr>
          <w:sz w:val="10"/>
        </w:rPr>
        <w:t xml:space="preserve">“in society </w:t>
      </w:r>
      <w:r w:rsidRPr="006012B5">
        <w:rPr>
          <w:rStyle w:val="StyleUnderline"/>
        </w:rPr>
        <w:t>without being influenced by society,”</w:t>
      </w:r>
      <w:r w:rsidRPr="00DD5E10">
        <w:rPr>
          <w:rStyle w:val="StyleUnderline"/>
        </w:rPr>
        <w:t xml:space="preserve"> and acting in an “ideal market</w:t>
      </w:r>
      <w:r w:rsidRPr="009635E8">
        <w:rPr>
          <w:sz w:val="10"/>
        </w:rPr>
        <w:t xml:space="preserve">” without realizing the ostracisms and segregations that shape this market (Nelson 1995). </w:t>
      </w:r>
      <w:r w:rsidRPr="00DD5E10">
        <w:rPr>
          <w:rStyle w:val="StyleUnderline"/>
        </w:rPr>
        <w:t xml:space="preserve">Although economic science claims that the homo </w:t>
      </w:r>
      <w:proofErr w:type="spellStart"/>
      <w:r w:rsidRPr="00DD5E10">
        <w:rPr>
          <w:rStyle w:val="StyleUnderline"/>
        </w:rPr>
        <w:t>oeconomicus</w:t>
      </w:r>
      <w:proofErr w:type="spellEnd"/>
      <w:r w:rsidRPr="00DD5E10">
        <w:rPr>
          <w:rStyle w:val="StyleUnderline"/>
        </w:rPr>
        <w:t xml:space="preserve"> is a universal model of economic action, it </w:t>
      </w:r>
      <w:r w:rsidRPr="006012B5">
        <w:rPr>
          <w:rStyle w:val="StyleUnderline"/>
        </w:rPr>
        <w:t>regards the predicates of autonomy and context-free action capacity as</w:t>
      </w:r>
      <w:r w:rsidRPr="00DD5E10">
        <w:rPr>
          <w:rStyle w:val="StyleUnderline"/>
        </w:rPr>
        <w:t xml:space="preserve"> </w:t>
      </w:r>
      <w:r w:rsidRPr="009635E8">
        <w:rPr>
          <w:sz w:val="10"/>
        </w:rPr>
        <w:t xml:space="preserve">particularly </w:t>
      </w:r>
      <w:r w:rsidRPr="006012B5">
        <w:rPr>
          <w:rStyle w:val="StyleUnderline"/>
        </w:rPr>
        <w:t>masculine</w:t>
      </w:r>
      <w:r w:rsidRPr="00DD5E10">
        <w:rPr>
          <w:rStyle w:val="StyleUnderline"/>
        </w:rPr>
        <w:t xml:space="preserve"> and is convinced that </w:t>
      </w:r>
      <w:r w:rsidRPr="006012B5">
        <w:rPr>
          <w:rStyle w:val="StyleUnderline"/>
        </w:rPr>
        <w:t>these concepts are</w:t>
      </w:r>
      <w:r w:rsidRPr="00DD5E10">
        <w:rPr>
          <w:rStyle w:val="StyleUnderline"/>
        </w:rPr>
        <w:t xml:space="preserve"> </w:t>
      </w:r>
      <w:r w:rsidRPr="009635E8">
        <w:rPr>
          <w:sz w:val="10"/>
        </w:rPr>
        <w:t xml:space="preserve">justifiably </w:t>
      </w:r>
      <w:r w:rsidRPr="006012B5">
        <w:rPr>
          <w:rStyle w:val="StyleUnderline"/>
        </w:rPr>
        <w:t>dominant over culturally feminine predicates</w:t>
      </w:r>
      <w:r w:rsidRPr="00DD5E10">
        <w:rPr>
          <w:rStyle w:val="StyleUnderline"/>
        </w:rPr>
        <w:t xml:space="preserve">, like </w:t>
      </w:r>
      <w:proofErr w:type="spellStart"/>
      <w:r w:rsidRPr="00DD5E10">
        <w:rPr>
          <w:rStyle w:val="StyleUnderline"/>
        </w:rPr>
        <w:t>interde</w:t>
      </w:r>
      <w:proofErr w:type="spellEnd"/>
      <w:r w:rsidRPr="00DD5E10">
        <w:rPr>
          <w:rStyle w:val="StyleUnderline"/>
        </w:rPr>
        <w:t>- pendency, interconnectivity and concreteness</w:t>
      </w:r>
      <w:r w:rsidRPr="009635E8">
        <w:rPr>
          <w:sz w:val="10"/>
        </w:rPr>
        <w:t xml:space="preserve">. Albeit the economic man is </w:t>
      </w:r>
      <w:proofErr w:type="spellStart"/>
      <w:r w:rsidRPr="009635E8">
        <w:rPr>
          <w:sz w:val="10"/>
        </w:rPr>
        <w:t>predi</w:t>
      </w:r>
      <w:proofErr w:type="spellEnd"/>
      <w:r w:rsidRPr="009635E8">
        <w:rPr>
          <w:sz w:val="10"/>
        </w:rPr>
        <w:t xml:space="preserve">- </w:t>
      </w:r>
      <w:proofErr w:type="spellStart"/>
      <w:r w:rsidRPr="009635E8">
        <w:rPr>
          <w:sz w:val="10"/>
        </w:rPr>
        <w:t>cated</w:t>
      </w:r>
      <w:proofErr w:type="spellEnd"/>
      <w:r w:rsidRPr="009635E8">
        <w:rPr>
          <w:sz w:val="10"/>
        </w:rPr>
        <w:t xml:space="preserve"> as a universal one, it is a particular identity, built upon exploitation and discrimination (Barker and Kuiper 2003: 9). Cultural organization has placed one at the market place, the other in the house. Often these two kinds of activities are presented as being opposite. When they are designed to be complementary, this is not relevant for the market. The assumption of perfect competition in the market turns out to be irrelevant for the </w:t>
      </w:r>
      <w:proofErr w:type="spellStart"/>
      <w:r w:rsidRPr="009635E8">
        <w:rPr>
          <w:sz w:val="10"/>
        </w:rPr>
        <w:t>comple</w:t>
      </w:r>
      <w:proofErr w:type="spellEnd"/>
      <w:r w:rsidRPr="009635E8">
        <w:rPr>
          <w:sz w:val="10"/>
        </w:rPr>
        <w:t xml:space="preserve">- </w:t>
      </w:r>
      <w:proofErr w:type="spellStart"/>
      <w:r w:rsidRPr="009635E8">
        <w:rPr>
          <w:sz w:val="10"/>
        </w:rPr>
        <w:t>mentary</w:t>
      </w:r>
      <w:proofErr w:type="spellEnd"/>
      <w:r w:rsidRPr="009635E8">
        <w:rPr>
          <w:sz w:val="10"/>
        </w:rPr>
        <w:t xml:space="preserve"> activities of the gendered production endeavors. On the contrary</w:t>
      </w:r>
      <w:r w:rsidRPr="006012B5">
        <w:rPr>
          <w:sz w:val="10"/>
        </w:rPr>
        <w:t xml:space="preserve">, </w:t>
      </w:r>
      <w:r w:rsidRPr="006012B5">
        <w:rPr>
          <w:rStyle w:val="StyleUnderline"/>
        </w:rPr>
        <w:t>the market is a male segregation locus, supported by women</w:t>
      </w:r>
      <w:r w:rsidRPr="00DD5E10">
        <w:rPr>
          <w:rStyle w:val="StyleUnderline"/>
        </w:rPr>
        <w:t xml:space="preserve"> and caregivers, </w:t>
      </w:r>
      <w:r w:rsidRPr="006012B5">
        <w:rPr>
          <w:rStyle w:val="StyleUnderline"/>
        </w:rPr>
        <w:t>who provide</w:t>
      </w:r>
      <w:r w:rsidRPr="00DD5E10">
        <w:rPr>
          <w:rStyle w:val="StyleUnderline"/>
        </w:rPr>
        <w:t xml:space="preserve"> </w:t>
      </w:r>
      <w:r w:rsidRPr="009635E8">
        <w:rPr>
          <w:sz w:val="10"/>
        </w:rPr>
        <w:t>important</w:t>
      </w:r>
      <w:r w:rsidRPr="00DD5E10">
        <w:rPr>
          <w:rStyle w:val="StyleUnderline"/>
        </w:rPr>
        <w:t xml:space="preserve"> </w:t>
      </w:r>
      <w:r w:rsidRPr="006012B5">
        <w:rPr>
          <w:rStyle w:val="StyleUnderline"/>
        </w:rPr>
        <w:t>labor to support the</w:t>
      </w:r>
      <w:r w:rsidRPr="006D76EE">
        <w:rPr>
          <w:rStyle w:val="StyleUnderline"/>
        </w:rPr>
        <w:t xml:space="preserve"> </w:t>
      </w:r>
      <w:r w:rsidRPr="009635E8">
        <w:rPr>
          <w:sz w:val="10"/>
        </w:rPr>
        <w:t>productivity in the</w:t>
      </w:r>
      <w:r w:rsidRPr="006012B5">
        <w:rPr>
          <w:rStyle w:val="StyleUnderline"/>
        </w:rPr>
        <w:t xml:space="preserve"> market</w:t>
      </w:r>
      <w:r w:rsidRPr="006012B5">
        <w:rPr>
          <w:sz w:val="10"/>
        </w:rPr>
        <w:t xml:space="preserve"> (</w:t>
      </w:r>
      <w:r w:rsidRPr="009635E8">
        <w:rPr>
          <w:sz w:val="10"/>
        </w:rPr>
        <w:t xml:space="preserve">Waring 1988: 14). </w:t>
      </w:r>
      <w:r w:rsidRPr="006012B5">
        <w:rPr>
          <w:rStyle w:val="Emphasis"/>
        </w:rPr>
        <w:t xml:space="preserve">Mainstream economics presents itself as a result of abstract, free and independent individual actions and ignores </w:t>
      </w:r>
      <w:r w:rsidRPr="009635E8">
        <w:rPr>
          <w:sz w:val="10"/>
        </w:rPr>
        <w:t>the fact that</w:t>
      </w:r>
      <w:r w:rsidRPr="006012B5">
        <w:rPr>
          <w:rStyle w:val="Emphasis"/>
        </w:rPr>
        <w:t xml:space="preserve"> its categories depend on the cultural contexts and social norms which comprise a nation</w:t>
      </w:r>
      <w:r w:rsidRPr="009635E8">
        <w:rPr>
          <w:sz w:val="10"/>
        </w:rPr>
        <w:t>, with religion shaping the determining conditions and traits on the paths which economics has developed and has not overcome but confirmed. It ignores the fact that its knowledge belongs to epistemic communities (</w:t>
      </w:r>
      <w:proofErr w:type="spellStart"/>
      <w:r w:rsidRPr="009635E8">
        <w:rPr>
          <w:sz w:val="10"/>
        </w:rPr>
        <w:t>Strassmann</w:t>
      </w:r>
      <w:proofErr w:type="spellEnd"/>
      <w:r w:rsidRPr="009635E8">
        <w:rPr>
          <w:sz w:val="10"/>
        </w:rPr>
        <w:t xml:space="preserve"> 1993; </w:t>
      </w:r>
      <w:proofErr w:type="spellStart"/>
      <w:r w:rsidRPr="009635E8">
        <w:rPr>
          <w:sz w:val="10"/>
        </w:rPr>
        <w:t>Longino</w:t>
      </w:r>
      <w:proofErr w:type="spellEnd"/>
      <w:r w:rsidRPr="009635E8">
        <w:rPr>
          <w:sz w:val="10"/>
        </w:rPr>
        <w:t xml:space="preserve"> 1993; Nelson 1993). Preference economics has disregarded important elements that influence the eco- nomic process, shape preferences and thus lead to a tautology of self-confirming effectiveness (</w:t>
      </w:r>
      <w:proofErr w:type="spellStart"/>
      <w:r w:rsidRPr="009635E8">
        <w:rPr>
          <w:sz w:val="10"/>
        </w:rPr>
        <w:t>Hagengruber</w:t>
      </w:r>
      <w:proofErr w:type="spellEnd"/>
      <w:r w:rsidRPr="009635E8">
        <w:rPr>
          <w:sz w:val="10"/>
        </w:rPr>
        <w:t xml:space="preserve"> 2000). Elementary economic principles that should guarantee the transparency of action, equal access to the market, preference for the best, are ignored and even contradicted by this practice. These kinds of social patterns are realized in preference and utility-functions and deepen the traps of cultural backgrounds. Choice theory is built upon tautology and a consequentialist attitude (Dunleavy 1991; </w:t>
      </w:r>
      <w:proofErr w:type="spellStart"/>
      <w:r w:rsidRPr="009635E8">
        <w:rPr>
          <w:sz w:val="10"/>
        </w:rPr>
        <w:t>Seiz</w:t>
      </w:r>
      <w:proofErr w:type="spellEnd"/>
      <w:r w:rsidRPr="009635E8">
        <w:rPr>
          <w:sz w:val="10"/>
        </w:rPr>
        <w:t xml:space="preserve"> 1999). This way, </w:t>
      </w:r>
      <w:r w:rsidRPr="006012B5">
        <w:rPr>
          <w:rStyle w:val="Emphasis"/>
        </w:rPr>
        <w:t>economic actions perpetuate segregation habits, allowing the maximum benefit from</w:t>
      </w:r>
      <w:r w:rsidRPr="00F70DB3">
        <w:rPr>
          <w:rStyle w:val="Emphasis"/>
        </w:rPr>
        <w:t xml:space="preserve"> </w:t>
      </w:r>
      <w:r w:rsidRPr="009635E8">
        <w:rPr>
          <w:sz w:val="10"/>
        </w:rPr>
        <w:t>this kind</w:t>
      </w:r>
      <w:r w:rsidRPr="00F70DB3">
        <w:rPr>
          <w:rStyle w:val="Emphasis"/>
        </w:rPr>
        <w:t xml:space="preserve"> </w:t>
      </w:r>
      <w:r w:rsidRPr="006012B5">
        <w:rPr>
          <w:rStyle w:val="Emphasis"/>
        </w:rPr>
        <w:t>of oppression and segregation</w:t>
      </w:r>
      <w:r w:rsidRPr="009635E8">
        <w:rPr>
          <w:sz w:val="10"/>
        </w:rPr>
        <w:t xml:space="preserve"> (McCloskey 1998). Stating that these kinds of values enter into eco- nomic analysis, as every choice is the expression of personal value, the value judgments in all aspects of economics must be considered (van </w:t>
      </w:r>
      <w:proofErr w:type="spellStart"/>
      <w:r w:rsidRPr="009635E8">
        <w:rPr>
          <w:sz w:val="10"/>
        </w:rPr>
        <w:t>Staveren</w:t>
      </w:r>
      <w:proofErr w:type="spellEnd"/>
      <w:r w:rsidRPr="009635E8">
        <w:rPr>
          <w:sz w:val="10"/>
        </w:rPr>
        <w:t xml:space="preserve"> 2007). There are elementary parts in economic theory which are inherently qualitative. </w:t>
      </w:r>
      <w:r w:rsidRPr="000A7824">
        <w:rPr>
          <w:rStyle w:val="StyleUnderline"/>
        </w:rPr>
        <w:t xml:space="preserve">Economics, like any science, is referring to social constructions that shape its theory </w:t>
      </w:r>
      <w:r w:rsidRPr="009635E8">
        <w:rPr>
          <w:sz w:val="10"/>
        </w:rPr>
        <w:t xml:space="preserve">(Nelson 1995). The </w:t>
      </w:r>
      <w:r w:rsidRPr="000A7824">
        <w:rPr>
          <w:rStyle w:val="StyleUnderline"/>
        </w:rPr>
        <w:t>aim of feminist research on economic concepts is thus to identify these social and cultural constructions that privilege male interpretations of economic issues</w:t>
      </w:r>
      <w:r w:rsidRPr="009635E8">
        <w:rPr>
          <w:sz w:val="10"/>
        </w:rPr>
        <w:t xml:space="preserve">, identifying where these forms of dominance and subjection tend to devaluate women in the economic realm (Power 2004). The market is dependent on provisioning activities which are not part of itself. </w:t>
      </w:r>
      <w:r w:rsidRPr="000A7824">
        <w:rPr>
          <w:rStyle w:val="StyleUnderline"/>
        </w:rPr>
        <w:t xml:space="preserve">These </w:t>
      </w:r>
      <w:r w:rsidRPr="00B173EF">
        <w:rPr>
          <w:rStyle w:val="StyleUnderline"/>
        </w:rPr>
        <w:t>are g</w:t>
      </w:r>
      <w:r w:rsidRPr="000A7824">
        <w:rPr>
          <w:rStyle w:val="StyleUnderline"/>
        </w:rPr>
        <w:t xml:space="preserve">endered social activities, performed mostly in favor of the male of the house and performed by the females. The sex-segregating labor implies the per- </w:t>
      </w:r>
      <w:proofErr w:type="spellStart"/>
      <w:r w:rsidRPr="000A7824">
        <w:rPr>
          <w:rStyle w:val="StyleUnderline"/>
        </w:rPr>
        <w:t>formance</w:t>
      </w:r>
      <w:proofErr w:type="spellEnd"/>
      <w:r w:rsidRPr="000A7824">
        <w:rPr>
          <w:rStyle w:val="StyleUnderline"/>
        </w:rPr>
        <w:t xml:space="preserve"> of domestic work, care work, subsistence work such as that of the male dependent worker, with unpaid or lower paid labor and even “voluntary” work, often connected to personal and </w:t>
      </w:r>
      <w:r w:rsidRPr="000A7824">
        <w:rPr>
          <w:rStyle w:val="StyleUnderline"/>
        </w:rPr>
        <w:lastRenderedPageBreak/>
        <w:t>emotional interaction</w:t>
      </w:r>
      <w:r w:rsidRPr="009635E8">
        <w:rPr>
          <w:sz w:val="10"/>
        </w:rPr>
        <w:t xml:space="preserve">. This social provisional work —although necessary and also acknowledged as such—has presented a challenge to mainstream economics as the traditional image of the economic man is shaped as the autonomous and self-interested individual. Consequently, the thus constituted homo economics negated this provisional work as a market relevant action, as neoclassic economics did in demarcation to classic and ancient economics. Although provisional labor is a substantial and necessary part of every market participation and participant, it is excluded as fact-relevant labor and not counted as a relevant input for the homo </w:t>
      </w:r>
      <w:proofErr w:type="spellStart"/>
      <w:r w:rsidRPr="009635E8">
        <w:rPr>
          <w:sz w:val="10"/>
        </w:rPr>
        <w:t>oeconomicus</w:t>
      </w:r>
      <w:proofErr w:type="spellEnd"/>
      <w:r w:rsidRPr="009635E8">
        <w:rPr>
          <w:sz w:val="10"/>
        </w:rPr>
        <w:t xml:space="preserve"> to present himself in the market.</w:t>
      </w:r>
    </w:p>
    <w:p w:rsidR="00D02D57" w:rsidRDefault="00D02D57" w:rsidP="00D02D57">
      <w:pPr>
        <w:pStyle w:val="Heading4"/>
      </w:pPr>
      <w:r>
        <w:t xml:space="preserve">Financial crisis narratives rely on gendered underpinnings which displace the social reproduction that is required to make financing possible </w:t>
      </w:r>
    </w:p>
    <w:p w:rsidR="00D02D57" w:rsidRDefault="00D02D57" w:rsidP="00D02D57">
      <w:pPr>
        <w:rPr>
          <w:rStyle w:val="Style13ptBold"/>
        </w:rPr>
      </w:pPr>
      <w:r>
        <w:t xml:space="preserve"> </w:t>
      </w:r>
      <w:r>
        <w:rPr>
          <w:rStyle w:val="Style13ptBold"/>
        </w:rPr>
        <w:t>Roberts 16</w:t>
      </w:r>
    </w:p>
    <w:p w:rsidR="00D02D57" w:rsidRPr="009A17DF" w:rsidRDefault="00D02D57" w:rsidP="00D02D57">
      <w:pPr>
        <w:rPr>
          <w:rStyle w:val="Style13ptBold"/>
          <w:sz w:val="20"/>
          <w:szCs w:val="20"/>
        </w:rPr>
      </w:pPr>
      <w:r w:rsidRPr="009A17DF">
        <w:rPr>
          <w:rStyle w:val="Style13ptBold"/>
          <w:sz w:val="20"/>
          <w:szCs w:val="20"/>
        </w:rPr>
        <w:t xml:space="preserve">(Adrienne Roberts, Lecturer in IR at the U. of Manchester, Chapter 4 in Scandalous Economics, Finance, Financialization, and the Production of Gender, edited by Aida </w:t>
      </w:r>
      <w:proofErr w:type="spellStart"/>
      <w:r w:rsidRPr="009A17DF">
        <w:rPr>
          <w:rStyle w:val="Style13ptBold"/>
          <w:sz w:val="20"/>
          <w:szCs w:val="20"/>
        </w:rPr>
        <w:t>Hozic</w:t>
      </w:r>
      <w:proofErr w:type="spellEnd"/>
      <w:r w:rsidRPr="009A17DF">
        <w:rPr>
          <w:rStyle w:val="Style13ptBold"/>
          <w:sz w:val="20"/>
          <w:szCs w:val="20"/>
        </w:rPr>
        <w:t xml:space="preserve"> and Jacqui True, </w:t>
      </w:r>
      <w:proofErr w:type="spellStart"/>
      <w:r w:rsidRPr="009A17DF">
        <w:rPr>
          <w:rStyle w:val="Style13ptBold"/>
          <w:sz w:val="20"/>
          <w:szCs w:val="20"/>
        </w:rPr>
        <w:t>pgs</w:t>
      </w:r>
      <w:proofErr w:type="spellEnd"/>
      <w:r w:rsidRPr="009A17DF">
        <w:rPr>
          <w:rStyle w:val="Style13ptBold"/>
          <w:sz w:val="20"/>
          <w:szCs w:val="20"/>
        </w:rPr>
        <w:t xml:space="preserve"> 59-61, Hardback, JKS)</w:t>
      </w:r>
    </w:p>
    <w:p w:rsidR="00D02D57" w:rsidRDefault="00D02D57" w:rsidP="00D02D57">
      <w:pPr>
        <w:rPr>
          <w:sz w:val="14"/>
        </w:rPr>
      </w:pPr>
      <w:r w:rsidRPr="009A17DF">
        <w:rPr>
          <w:rStyle w:val="StyleUnderline"/>
        </w:rPr>
        <w:t>One problem</w:t>
      </w:r>
      <w:r w:rsidRPr="001D2A02">
        <w:rPr>
          <w:sz w:val="14"/>
        </w:rPr>
        <w:t xml:space="preserve"> with the three narratives noted in the previous section </w:t>
      </w:r>
      <w:r w:rsidRPr="009A17DF">
        <w:rPr>
          <w:rStyle w:val="StyleUnderline"/>
        </w:rPr>
        <w:t xml:space="preserve">is their framing of the extension and deepening of finance as a natural and inevitable outcome of technological progress that is largely de-linked from broader relations of power and production. They also rely on a </w:t>
      </w:r>
      <w:proofErr w:type="spellStart"/>
      <w:r w:rsidRPr="009A17DF">
        <w:rPr>
          <w:rStyle w:val="StyleUnderline"/>
        </w:rPr>
        <w:t>modernizationist</w:t>
      </w:r>
      <w:proofErr w:type="spellEnd"/>
      <w:r w:rsidRPr="009A17DF">
        <w:rPr>
          <w:rStyle w:val="StyleUnderline"/>
        </w:rPr>
        <w:t xml:space="preserve"> approach to development whereby it is assumed that the extension and deepening of finance will ultimately integrate the "excluded" into a more sophisticated sphere of political and economic development. </w:t>
      </w:r>
      <w:r w:rsidRPr="001D2A02">
        <w:rPr>
          <w:sz w:val="14"/>
        </w:rPr>
        <w:t xml:space="preserve">A third limitation of these approaches is that </w:t>
      </w:r>
      <w:r w:rsidRPr="006012B5">
        <w:rPr>
          <w:rStyle w:val="Emphasis"/>
        </w:rPr>
        <w:t>they tend to see structures of gender as operating alongside markets, rather than being an integral part of these historically specific social relations</w:t>
      </w:r>
      <w:r w:rsidRPr="001D2A02">
        <w:rPr>
          <w:sz w:val="14"/>
        </w:rPr>
        <w:t xml:space="preserve">. In contrast, the feminist historical materialist perspective underlying this chapter understands the extension and deepening of finance, the interlinked discourses/practices of development, and gender relations to be firmly located within historically constituted social relations of power, production, and social reproduction (Bakker and Gill 2003). That is, rather than seeing the growth and deepening of finance as a natural and inevitable outcome of human "progress," from a historical materialist perspective, different forms of production emerge as dominant in different historical moments. These forms of production do not emerge naturally, or even as the inevitable result of technological change, but rather are connected to historically specific configurations of power relations (2003, 26). Thus, for instance, </w:t>
      </w:r>
      <w:r w:rsidRPr="009A17DF">
        <w:rPr>
          <w:rStyle w:val="StyleUnderline"/>
        </w:rPr>
        <w:t>the dominant form of production, or what we might think of as power-production, in any particular historical period is deeply shaped by the form of the state, by the structures of ownership and control that are in place</w:t>
      </w:r>
      <w:r w:rsidRPr="001D2A02">
        <w:rPr>
          <w:sz w:val="14"/>
        </w:rPr>
        <w:t xml:space="preserve"> (i.e., legal regulations protecting private property), and relations between labor and capital. As Bakker and Gill explain, a feminist historical materialist analysis draws attention to the ways in which forms of power-production are also fundamentally mediated by structures of gender inequality, along with structures of racialization and sexuality (2003, 26). To put it differently, </w:t>
      </w:r>
      <w:r w:rsidRPr="009A17DF">
        <w:rPr>
          <w:rStyle w:val="StyleUnderline"/>
        </w:rPr>
        <w:t>rather than seeing relations of production and gender relations as separate, from a feminist historical materialist perspective, power-production relations operate through structural hierarchies of class, gender, race, sexuality, and so on</w:t>
      </w:r>
      <w:r w:rsidRPr="001D2A02">
        <w:rPr>
          <w:sz w:val="14"/>
        </w:rPr>
        <w:t xml:space="preserve">. In terms of finance-based relations of production and accumulation, </w:t>
      </w:r>
      <w:r w:rsidRPr="006012B5">
        <w:rPr>
          <w:rStyle w:val="Emphasis"/>
        </w:rPr>
        <w:t>the Crucial point to stress is that finance is not a gender-neutral technical or pseudo-scientific tool or technique that is used in the allocation of assets and liabilities across time and space</w:t>
      </w:r>
      <w:r w:rsidRPr="009A17DF">
        <w:rPr>
          <w:rStyle w:val="Emphasis"/>
        </w:rPr>
        <w:t>.</w:t>
      </w:r>
      <w:r w:rsidRPr="001D2A02">
        <w:rPr>
          <w:sz w:val="14"/>
        </w:rPr>
        <w:t xml:space="preserve"> Rather, </w:t>
      </w:r>
      <w:r w:rsidRPr="006012B5">
        <w:rPr>
          <w:rStyle w:val="StyleUnderline"/>
        </w:rPr>
        <w:t>finance is deeply bound up with structures of gender</w:t>
      </w:r>
      <w:r w:rsidRPr="009A17DF">
        <w:rPr>
          <w:rStyle w:val="StyleUnderline"/>
        </w:rPr>
        <w:t xml:space="preserve">. </w:t>
      </w:r>
      <w:r w:rsidRPr="001D2A02">
        <w:rPr>
          <w:sz w:val="14"/>
        </w:rPr>
        <w:t>These intersections</w:t>
      </w:r>
      <w:r w:rsidRPr="009A17DF">
        <w:rPr>
          <w:rStyle w:val="StyleUnderline"/>
        </w:rPr>
        <w:t xml:space="preserve"> </w:t>
      </w:r>
      <w:r w:rsidRPr="006012B5">
        <w:rPr>
          <w:rStyle w:val="StyleUnderline"/>
        </w:rPr>
        <w:t>include the gendered underpinnings of financial modelling</w:t>
      </w:r>
      <w:r w:rsidRPr="009A17DF">
        <w:rPr>
          <w:rStyle w:val="StyleUnderline"/>
        </w:rPr>
        <w:t xml:space="preserve"> (</w:t>
      </w:r>
      <w:r w:rsidRPr="001D2A02">
        <w:rPr>
          <w:sz w:val="14"/>
        </w:rPr>
        <w:t>i.e., th</w:t>
      </w:r>
      <w:r w:rsidRPr="006012B5">
        <w:rPr>
          <w:sz w:val="14"/>
        </w:rPr>
        <w:t xml:space="preserve">e </w:t>
      </w:r>
      <w:r w:rsidRPr="006012B5">
        <w:rPr>
          <w:rStyle w:val="StyleUnderline"/>
        </w:rPr>
        <w:t>privileging of the "rational" and "utility-maximizing” individual, who is implicitly male</w:t>
      </w:r>
      <w:r w:rsidRPr="001D2A02">
        <w:rPr>
          <w:sz w:val="14"/>
        </w:rPr>
        <w:t xml:space="preserve"> England 1993; </w:t>
      </w:r>
      <w:proofErr w:type="spellStart"/>
      <w:r w:rsidRPr="001D2A02">
        <w:rPr>
          <w:sz w:val="14"/>
        </w:rPr>
        <w:t>Beneria</w:t>
      </w:r>
      <w:proofErr w:type="spellEnd"/>
      <w:r w:rsidRPr="001D2A02">
        <w:rPr>
          <w:sz w:val="14"/>
        </w:rPr>
        <w:t xml:space="preserve"> 2003), </w:t>
      </w:r>
      <w:r w:rsidRPr="006012B5">
        <w:rPr>
          <w:rStyle w:val="StyleUnderline"/>
        </w:rPr>
        <w:t>gender-based inequalities in wealth</w:t>
      </w:r>
      <w:r w:rsidRPr="009A17DF">
        <w:rPr>
          <w:rStyle w:val="StyleUnderline"/>
        </w:rPr>
        <w:t xml:space="preserve"> and asset ownership (which may be reproduced by regressive tax systems</w:t>
      </w:r>
      <w:r w:rsidRPr="001D2A02">
        <w:rPr>
          <w:sz w:val="14"/>
        </w:rPr>
        <w:t xml:space="preserve"> (Deere and Doss 2006, Deere, Alvarado, and Twyman 2010; Montgomerie and Young 2010; Roberts 2013), the rewarding of Certain </w:t>
      </w:r>
      <w:proofErr w:type="spellStart"/>
      <w:r w:rsidRPr="001D2A02">
        <w:rPr>
          <w:sz w:val="14"/>
        </w:rPr>
        <w:t>masCulinized</w:t>
      </w:r>
      <w:proofErr w:type="spellEnd"/>
      <w:r w:rsidRPr="001D2A02">
        <w:rPr>
          <w:sz w:val="14"/>
        </w:rPr>
        <w:t xml:space="preserve"> forms of behavior (such as aggressiveness and risk-taking) in the field of finance (McDowell 1997; De Goede 2005), and the positioning of men in the majority of top positions in the institutions of global financial governance (</w:t>
      </w:r>
      <w:proofErr w:type="spellStart"/>
      <w:r w:rsidRPr="001D2A02">
        <w:rPr>
          <w:sz w:val="14"/>
        </w:rPr>
        <w:t>Schuberth</w:t>
      </w:r>
      <w:proofErr w:type="spellEnd"/>
      <w:r w:rsidRPr="001D2A02">
        <w:rPr>
          <w:sz w:val="14"/>
        </w:rPr>
        <w:t xml:space="preserve"> and Young 2011). </w:t>
      </w:r>
      <w:r w:rsidRPr="009A17DF">
        <w:rPr>
          <w:rStyle w:val="StyleUnderline"/>
        </w:rPr>
        <w:t xml:space="preserve">In addition to understanding power-production as intersecting with structures of gender, feminist historical materialism understands </w:t>
      </w:r>
      <w:proofErr w:type="spellStart"/>
      <w:r w:rsidRPr="009A17DF">
        <w:rPr>
          <w:rStyle w:val="StyleUnderline"/>
        </w:rPr>
        <w:t>powerproduction</w:t>
      </w:r>
      <w:proofErr w:type="spellEnd"/>
      <w:r w:rsidRPr="009A17DF">
        <w:rPr>
          <w:rStyle w:val="StyleUnderline"/>
        </w:rPr>
        <w:t xml:space="preserve"> to be inseparable from relations of social reproduction. </w:t>
      </w:r>
      <w:r w:rsidRPr="001D2A02">
        <w:rPr>
          <w:sz w:val="14"/>
        </w:rPr>
        <w:t xml:space="preserve">In one oft-cited definition, Cindi Katz describes social reproduction as "the fleshy, messy, and indeterminate stuff of everyday life” (2001, 711). In her important work on the topic, Isabella Bakker has explained that </w:t>
      </w:r>
      <w:r w:rsidRPr="006012B5">
        <w:rPr>
          <w:rStyle w:val="StyleUnderline"/>
        </w:rPr>
        <w:t>markets cannot function without the underlying work of social reproduction, which includes the work associated with</w:t>
      </w:r>
      <w:r w:rsidRPr="009A17DF">
        <w:rPr>
          <w:rStyle w:val="StyleUnderline"/>
        </w:rPr>
        <w:t xml:space="preserve"> </w:t>
      </w:r>
      <w:r w:rsidRPr="001D2A02">
        <w:rPr>
          <w:sz w:val="14"/>
        </w:rPr>
        <w:t>(a)</w:t>
      </w:r>
      <w:r w:rsidRPr="009A17DF">
        <w:rPr>
          <w:rStyle w:val="StyleUnderline"/>
        </w:rPr>
        <w:t xml:space="preserve"> </w:t>
      </w:r>
      <w:r w:rsidRPr="006012B5">
        <w:rPr>
          <w:rStyle w:val="StyleUnderline"/>
        </w:rPr>
        <w:t>biological reproduction</w:t>
      </w:r>
      <w:r w:rsidRPr="009A17DF">
        <w:rPr>
          <w:rStyle w:val="StyleUnderline"/>
        </w:rPr>
        <w:t xml:space="preserve"> (</w:t>
      </w:r>
      <w:r w:rsidRPr="001D2A02">
        <w:rPr>
          <w:sz w:val="14"/>
        </w:rPr>
        <w:t>including social constructions of</w:t>
      </w:r>
      <w:r w:rsidRPr="009A17DF">
        <w:rPr>
          <w:rStyle w:val="StyleUnderline"/>
        </w:rPr>
        <w:t xml:space="preserve"> </w:t>
      </w:r>
      <w:r w:rsidRPr="006012B5">
        <w:rPr>
          <w:rStyle w:val="StyleUnderline"/>
        </w:rPr>
        <w:t>motherhood);</w:t>
      </w:r>
      <w:r w:rsidRPr="009A17DF">
        <w:rPr>
          <w:rStyle w:val="StyleUnderline"/>
        </w:rPr>
        <w:t xml:space="preserve"> </w:t>
      </w:r>
      <w:r w:rsidRPr="001D2A02">
        <w:rPr>
          <w:sz w:val="14"/>
        </w:rPr>
        <w:t>(b)</w:t>
      </w:r>
      <w:r w:rsidRPr="009A17DF">
        <w:rPr>
          <w:rStyle w:val="StyleUnderline"/>
        </w:rPr>
        <w:t xml:space="preserve"> </w:t>
      </w:r>
      <w:r w:rsidRPr="006012B5">
        <w:rPr>
          <w:rStyle w:val="StyleUnderline"/>
        </w:rPr>
        <w:t>the reproduction, Socialization, and education of the labor force; and</w:t>
      </w:r>
      <w:r w:rsidRPr="009A17DF">
        <w:rPr>
          <w:rStyle w:val="StyleUnderline"/>
        </w:rPr>
        <w:t xml:space="preserve"> </w:t>
      </w:r>
      <w:r w:rsidRPr="001D2A02">
        <w:rPr>
          <w:sz w:val="14"/>
        </w:rPr>
        <w:t>(c)</w:t>
      </w:r>
      <w:r w:rsidRPr="009A17DF">
        <w:rPr>
          <w:rStyle w:val="StyleUnderline"/>
        </w:rPr>
        <w:t xml:space="preserve"> </w:t>
      </w:r>
      <w:r w:rsidRPr="006012B5">
        <w:rPr>
          <w:rStyle w:val="StyleUnderline"/>
        </w:rPr>
        <w:t>the reproduction and provisioning of care</w:t>
      </w:r>
      <w:r w:rsidRPr="001D2A02">
        <w:rPr>
          <w:sz w:val="14"/>
        </w:rPr>
        <w:t xml:space="preserve"> (Bakker 2007, 541; see also Katz 2001; Bakker 2003; </w:t>
      </w:r>
      <w:proofErr w:type="spellStart"/>
      <w:r w:rsidRPr="001D2A02">
        <w:rPr>
          <w:sz w:val="14"/>
        </w:rPr>
        <w:t>Bezanson</w:t>
      </w:r>
      <w:proofErr w:type="spellEnd"/>
      <w:r w:rsidRPr="001D2A02">
        <w:rPr>
          <w:sz w:val="14"/>
        </w:rPr>
        <w:t xml:space="preserve"> and Luxton 2006).</w:t>
      </w:r>
    </w:p>
    <w:p w:rsidR="00D02D57" w:rsidRDefault="00DE63C6" w:rsidP="00DE63C6">
      <w:pPr>
        <w:pStyle w:val="Heading3"/>
      </w:pPr>
      <w:r>
        <w:lastRenderedPageBreak/>
        <w:t xml:space="preserve">AT: </w:t>
      </w:r>
      <w:proofErr w:type="spellStart"/>
      <w:r>
        <w:t>Prolif</w:t>
      </w:r>
      <w:proofErr w:type="spellEnd"/>
      <w:r>
        <w:t xml:space="preserve"> Impacts</w:t>
      </w:r>
    </w:p>
    <w:p w:rsidR="00DE63C6" w:rsidRPr="00C156E0" w:rsidRDefault="00DE63C6" w:rsidP="00DE63C6">
      <w:pPr>
        <w:pStyle w:val="Heading4"/>
      </w:pPr>
      <w:r>
        <w:t xml:space="preserve">Proliferation discourse is deeply gendered and racialized- it is epistemologically </w:t>
      </w:r>
      <w:r w:rsidRPr="00C156E0">
        <w:t>laden with gendered imagery</w:t>
      </w:r>
      <w:r>
        <w:t xml:space="preserve"> that makes states compete for power</w:t>
      </w:r>
      <w:r w:rsidRPr="00C156E0">
        <w:t xml:space="preserve"> </w:t>
      </w:r>
    </w:p>
    <w:p w:rsidR="00DE63C6" w:rsidRPr="003F3909" w:rsidRDefault="00DE63C6" w:rsidP="00DE63C6">
      <w:pPr>
        <w:rPr>
          <w:rStyle w:val="Style13ptBold"/>
        </w:rPr>
      </w:pPr>
      <w:r w:rsidRPr="003F3909">
        <w:rPr>
          <w:rStyle w:val="Style13ptBold"/>
        </w:rPr>
        <w:t>Cohn 06</w:t>
      </w:r>
    </w:p>
    <w:p w:rsidR="00DE63C6" w:rsidRPr="003F3909" w:rsidRDefault="00DE63C6" w:rsidP="00DE63C6">
      <w:pPr>
        <w:rPr>
          <w:rStyle w:val="Style13ptBold"/>
          <w:sz w:val="20"/>
          <w:szCs w:val="20"/>
        </w:rPr>
      </w:pPr>
      <w:r w:rsidRPr="003F3909">
        <w:rPr>
          <w:rStyle w:val="Style13ptBold"/>
          <w:sz w:val="20"/>
          <w:szCs w:val="20"/>
        </w:rPr>
        <w:t xml:space="preserve"> (Carol, Director of the Consortium on Gender, Security and Human Rights, Felicity Hill, Peace and Security Adviser to the United Nations Development Fund for Women and is responsible for UNIFEM's Peace and Security </w:t>
      </w:r>
      <w:proofErr w:type="spellStart"/>
      <w:r w:rsidRPr="003F3909">
        <w:rPr>
          <w:rStyle w:val="Style13ptBold"/>
          <w:sz w:val="20"/>
          <w:szCs w:val="20"/>
        </w:rPr>
        <w:t>Programme</w:t>
      </w:r>
      <w:proofErr w:type="spellEnd"/>
      <w:r w:rsidRPr="003F3909">
        <w:rPr>
          <w:rStyle w:val="Style13ptBold"/>
          <w:sz w:val="20"/>
          <w:szCs w:val="20"/>
        </w:rPr>
        <w:t>, and Sara Ruddick, prof at philosophy and women's studies at Eugene Lang College, “The Relevance of Gender for Eliminating Weapons of Mass Destruction”, http://www.wmdcommission.org/files/No38.pdf)</w:t>
      </w:r>
      <w:r>
        <w:rPr>
          <w:rStyle w:val="Style13ptBold"/>
          <w:sz w:val="20"/>
          <w:szCs w:val="20"/>
        </w:rPr>
        <w:t>*Modified</w:t>
      </w:r>
    </w:p>
    <w:p w:rsidR="00DE63C6" w:rsidRPr="00A41879" w:rsidRDefault="00DE63C6" w:rsidP="00DE63C6">
      <w:pPr>
        <w:rPr>
          <w:rStyle w:val="StyleUnderline"/>
        </w:rPr>
      </w:pPr>
      <w:r w:rsidRPr="006012B5">
        <w:rPr>
          <w:sz w:val="12"/>
        </w:rPr>
        <w:t>¶</w:t>
      </w:r>
      <w:r w:rsidRPr="006012B5">
        <w:rPr>
          <w:sz w:val="10"/>
        </w:rPr>
        <w:t xml:space="preserve"> </w:t>
      </w:r>
      <w:r w:rsidRPr="006012B5">
        <w:rPr>
          <w:rStyle w:val="StyleUnderline"/>
        </w:rPr>
        <w:t>“Proliferation”</w:t>
      </w:r>
      <w:r w:rsidRPr="00422AF4">
        <w:rPr>
          <w:rStyle w:val="StyleUnderline"/>
        </w:rPr>
        <w:t xml:space="preserve"> is not a mere description or mirror of a phenomenon that is “out there” but rather a very specific way of identifying and constructing a problem concerning weapons.</w:t>
      </w:r>
      <w:r w:rsidRPr="00285CC9">
        <w:rPr>
          <w:sz w:val="10"/>
        </w:rPr>
        <w:t xml:space="preserve"> Proliferation, as used in Western political discourse, does not simply refer to the “multiplication” of weapons of mass destruction on the planet. Rather, </w:t>
      </w:r>
      <w:r w:rsidRPr="00422AF4">
        <w:rPr>
          <w:rStyle w:val="StyleUnderline"/>
        </w:rPr>
        <w:t xml:space="preserve">it </w:t>
      </w:r>
      <w:r w:rsidRPr="006012B5">
        <w:rPr>
          <w:rStyle w:val="StyleUnderline"/>
        </w:rPr>
        <w:t xml:space="preserve">constructs some WMD as a problem, and turns </w:t>
      </w:r>
      <w:proofErr w:type="gramStart"/>
      <w:r w:rsidRPr="006012B5">
        <w:rPr>
          <w:rStyle w:val="StyleUnderline"/>
        </w:rPr>
        <w:t>an</w:t>
      </w:r>
      <w:proofErr w:type="gramEnd"/>
      <w:r w:rsidRPr="006012B5">
        <w:rPr>
          <w:rStyle w:val="StyleUnderline"/>
        </w:rPr>
        <w:t xml:space="preserve"> </w:t>
      </w:r>
      <w:r w:rsidRPr="00285CC9">
        <w:rPr>
          <w:strike/>
          <w:sz w:val="10"/>
        </w:rPr>
        <w:t>blind</w:t>
      </w:r>
      <w:r w:rsidRPr="006012B5">
        <w:rPr>
          <w:rStyle w:val="StyleUnderline"/>
        </w:rPr>
        <w:t xml:space="preserve"> eye to others</w:t>
      </w:r>
      <w:r w:rsidRPr="006012B5">
        <w:rPr>
          <w:sz w:val="10"/>
        </w:rPr>
        <w:t xml:space="preserve">. </w:t>
      </w:r>
      <w:r w:rsidRPr="006012B5">
        <w:rPr>
          <w:rStyle w:val="Emphasis"/>
        </w:rPr>
        <w:t>With nuclear weapons</w:t>
      </w:r>
      <w:r w:rsidRPr="00422AF4">
        <w:rPr>
          <w:rStyle w:val="Emphasis"/>
        </w:rPr>
        <w:t xml:space="preserve">, for example, it </w:t>
      </w:r>
      <w:r w:rsidRPr="006012B5">
        <w:rPr>
          <w:rStyle w:val="Emphasis"/>
        </w:rPr>
        <w:t>is able to do this by assuming pre-existing, legitimate possessors,</w:t>
      </w:r>
      <w:r w:rsidRPr="00422AF4">
        <w:rPr>
          <w:rStyle w:val="Emphasis"/>
        </w:rPr>
        <w:t xml:space="preserve"> implicitly not only </w:t>
      </w:r>
      <w:r w:rsidRPr="006012B5">
        <w:rPr>
          <w:rStyle w:val="Emphasis"/>
        </w:rPr>
        <w:t>entitled to those weapons</w:t>
      </w:r>
      <w:r w:rsidRPr="000C7E13">
        <w:rPr>
          <w:rStyle w:val="Emphasis"/>
        </w:rPr>
        <w:t xml:space="preserve">, but to </w:t>
      </w:r>
      <w:proofErr w:type="spellStart"/>
      <w:r w:rsidRPr="000C7E13">
        <w:rPr>
          <w:rStyle w:val="Emphasis"/>
        </w:rPr>
        <w:t>modernise</w:t>
      </w:r>
      <w:proofErr w:type="spellEnd"/>
      <w:r w:rsidRPr="000C7E13">
        <w:rPr>
          <w:rStyle w:val="Emphasis"/>
        </w:rPr>
        <w:t xml:space="preserve"> and develop new generations of them as well</w:t>
      </w:r>
      <w:r w:rsidRPr="00285CC9">
        <w:rPr>
          <w:sz w:val="10"/>
        </w:rPr>
        <w:t xml:space="preserve">. </w:t>
      </w:r>
      <w:r w:rsidRPr="006012B5">
        <w:rPr>
          <w:rStyle w:val="StyleUnderline"/>
        </w:rPr>
        <w:t>The “problematic” nuclear weapons are only those that “spread” into the arsenals of other, formerly non-possessor states</w:t>
      </w:r>
      <w:r w:rsidRPr="00422AF4">
        <w:rPr>
          <w:rStyle w:val="StyleUnderline"/>
        </w:rPr>
        <w:t>. This is the basis for the “licit/illicit” distinction commonly found in arms control discourse</w:t>
      </w:r>
      <w:r w:rsidRPr="00285CC9">
        <w:rPr>
          <w:sz w:val="10"/>
        </w:rPr>
        <w:t xml:space="preserve">, which does not refer to the nature of the weapons themselves, nor even to the purposes for which they are intended, but on who possesses them. </w:t>
      </w:r>
      <w:r w:rsidRPr="000C7E13">
        <w:rPr>
          <w:rStyle w:val="Emphasis"/>
        </w:rPr>
        <w:t>The nuclear non-proliferation regime enshrined “we got there first” as a basis for arms control</w:t>
      </w:r>
      <w:r w:rsidRPr="00422AF4">
        <w:rPr>
          <w:rStyle w:val="Emphasis"/>
        </w:rPr>
        <w:t>.</w:t>
      </w:r>
      <w:r w:rsidRPr="00285CC9">
        <w:rPr>
          <w:sz w:val="10"/>
        </w:rPr>
        <w:t xml:space="preserve"> Most people in the world view WMD as intrinsically morally indefensible, no matter who possesses them. In addition to the abhorrence attached to their use, the wide array of social, economic, political and health costs associated with their development and deployment are repugnant. Rejecting proliferation discourse’s implicit division of “good” and “bad,” “safe” and “unsafe” WMD, (defined as such depending on who possesses them), it is imperative now to understand how some WMD are rendered invisible or benign (ours) and others visible and malignant (theirs). </w:t>
      </w:r>
      <w:r w:rsidRPr="00A41879">
        <w:rPr>
          <w:rStyle w:val="StyleUnderline"/>
        </w:rPr>
        <w:t xml:space="preserve">In drawing a distinction between </w:t>
      </w:r>
      <w:r w:rsidRPr="006012B5">
        <w:rPr>
          <w:rStyle w:val="StyleUnderline"/>
        </w:rPr>
        <w:t>“the Self” and the</w:t>
      </w:r>
      <w:r w:rsidRPr="00A41879">
        <w:rPr>
          <w:rStyle w:val="StyleUnderline"/>
        </w:rPr>
        <w:t xml:space="preserve"> (generally non-Western) “</w:t>
      </w:r>
      <w:r w:rsidRPr="006012B5">
        <w:rPr>
          <w:rStyle w:val="StyleUnderline"/>
        </w:rPr>
        <w:t xml:space="preserve">Unruly Other”, the prevailing arguments against proliferation appear </w:t>
      </w:r>
      <w:proofErr w:type="spellStart"/>
      <w:r w:rsidRPr="006012B5">
        <w:rPr>
          <w:rStyle w:val="StyleUnderline"/>
        </w:rPr>
        <w:t>patronising</w:t>
      </w:r>
      <w:proofErr w:type="spellEnd"/>
      <w:r w:rsidRPr="006012B5">
        <w:rPr>
          <w:rStyle w:val="StyleUnderline"/>
        </w:rPr>
        <w:t>, ethno-racist and contemptuous</w:t>
      </w:r>
      <w:r w:rsidRPr="00A41879">
        <w:rPr>
          <w:rStyle w:val="StyleUnderline"/>
        </w:rPr>
        <w:t xml:space="preserve">. Not only </w:t>
      </w:r>
      <w:r w:rsidRPr="006012B5">
        <w:rPr>
          <w:rStyle w:val="StyleUnderline"/>
        </w:rPr>
        <w:t xml:space="preserve">does non-proliferation discourse draw on </w:t>
      </w:r>
      <w:proofErr w:type="spellStart"/>
      <w:r w:rsidRPr="006012B5">
        <w:rPr>
          <w:rStyle w:val="StyleUnderline"/>
        </w:rPr>
        <w:t>Occidentalist</w:t>
      </w:r>
      <w:proofErr w:type="spellEnd"/>
      <w:r w:rsidRPr="006012B5">
        <w:rPr>
          <w:rStyle w:val="StyleUnderline"/>
        </w:rPr>
        <w:t xml:space="preserve"> portrayals of third world actors; it does so through the medium of </w:t>
      </w:r>
      <w:r w:rsidRPr="006012B5">
        <w:rPr>
          <w:rStyle w:val="Emphasis"/>
        </w:rPr>
        <w:t>gender-laden terminology</w:t>
      </w:r>
      <w:r w:rsidRPr="00285CC9">
        <w:rPr>
          <w:sz w:val="10"/>
        </w:rPr>
        <w:t xml:space="preserve">. For example, </w:t>
      </w:r>
      <w:r w:rsidRPr="006012B5">
        <w:rPr>
          <w:rStyle w:val="StyleUnderline"/>
        </w:rPr>
        <w:t>the nuclear possessors’ Self is responsible, prudent, rational, advanced, mature</w:t>
      </w:r>
      <w:r w:rsidRPr="00A41879">
        <w:rPr>
          <w:rStyle w:val="StyleUnderline"/>
        </w:rPr>
        <w:t>, restrained, technologically and bureaucratically competent</w:t>
      </w:r>
      <w:r w:rsidRPr="00285CC9">
        <w:rPr>
          <w:sz w:val="10"/>
        </w:rPr>
        <w:t xml:space="preserve"> (and thus “hegemonically masculine”). By contrast</w:t>
      </w:r>
      <w:r w:rsidRPr="00A41879">
        <w:rPr>
          <w:rStyle w:val="StyleUnderline"/>
        </w:rPr>
        <w:t xml:space="preserve">, </w:t>
      </w:r>
      <w:r w:rsidRPr="006012B5">
        <w:rPr>
          <w:rStyle w:val="StyleUnderline"/>
        </w:rPr>
        <w:t>the Unruly Others are irrational, unpredictable, emotional, uncontrolled, immature, primitive</w:t>
      </w:r>
      <w:r w:rsidRPr="00A41879">
        <w:rPr>
          <w:rStyle w:val="StyleUnderline"/>
        </w:rPr>
        <w:t>, undisciplined, incompetent, technologically backward</w:t>
      </w:r>
      <w:r w:rsidRPr="00285CC9">
        <w:rPr>
          <w:sz w:val="10"/>
        </w:rPr>
        <w:t xml:space="preserve"> (marks of an inferior or “subordinated” masculinity). Hence the </w:t>
      </w:r>
      <w:r w:rsidRPr="00A41879">
        <w:rPr>
          <w:rStyle w:val="StyleUnderline"/>
        </w:rPr>
        <w:t xml:space="preserve">terms of the debate are constructed to </w:t>
      </w:r>
      <w:proofErr w:type="spellStart"/>
      <w:r w:rsidRPr="00A41879">
        <w:rPr>
          <w:rStyle w:val="StyleUnderline"/>
        </w:rPr>
        <w:t>normalise</w:t>
      </w:r>
      <w:proofErr w:type="spellEnd"/>
      <w:r w:rsidRPr="00A41879">
        <w:rPr>
          <w:rStyle w:val="StyleUnderline"/>
        </w:rPr>
        <w:t xml:space="preserve"> and legitimate the Self/possessor states keeping weapons that the Others must be prevented from acquiring</w:t>
      </w:r>
      <w:r w:rsidRPr="00285CC9">
        <w:rPr>
          <w:sz w:val="10"/>
        </w:rPr>
        <w:t xml:space="preserve">. </w:t>
      </w:r>
      <w:r w:rsidRPr="000C7E13">
        <w:rPr>
          <w:rStyle w:val="Emphasis"/>
        </w:rPr>
        <w:t>By</w:t>
      </w:r>
      <w:r w:rsidRPr="00A41879">
        <w:rPr>
          <w:rStyle w:val="Emphasis"/>
        </w:rPr>
        <w:t xml:space="preserve"> drawing on and </w:t>
      </w:r>
      <w:r w:rsidRPr="006012B5">
        <w:rPr>
          <w:rStyle w:val="Emphasis"/>
        </w:rPr>
        <w:t xml:space="preserve">evoking gendered imagery and resonances, the discourse </w:t>
      </w:r>
      <w:proofErr w:type="spellStart"/>
      <w:r w:rsidRPr="006012B5">
        <w:rPr>
          <w:rStyle w:val="Emphasis"/>
        </w:rPr>
        <w:t>naturalises</w:t>
      </w:r>
      <w:proofErr w:type="spellEnd"/>
      <w:r w:rsidRPr="006012B5">
        <w:rPr>
          <w:rStyle w:val="Emphasis"/>
        </w:rPr>
        <w:t xml:space="preserve"> the idea that “We”</w:t>
      </w:r>
      <w:r w:rsidRPr="00A41879">
        <w:rPr>
          <w:rStyle w:val="Emphasis"/>
        </w:rPr>
        <w:t xml:space="preserve"> (the responsible father or sheriff) </w:t>
      </w:r>
      <w:r w:rsidRPr="006012B5">
        <w:rPr>
          <w:rStyle w:val="Emphasis"/>
        </w:rPr>
        <w:t>must protect, control and limit the “</w:t>
      </w:r>
      <w:proofErr w:type="spellStart"/>
      <w:r w:rsidRPr="006012B5">
        <w:rPr>
          <w:rStyle w:val="Emphasis"/>
        </w:rPr>
        <w:t>uncivilised</w:t>
      </w:r>
      <w:proofErr w:type="spellEnd"/>
      <w:r w:rsidRPr="006012B5">
        <w:rPr>
          <w:rStyle w:val="Emphasis"/>
        </w:rPr>
        <w:t xml:space="preserve">”, </w:t>
      </w:r>
      <w:proofErr w:type="spellStart"/>
      <w:r w:rsidRPr="006012B5">
        <w:rPr>
          <w:rStyle w:val="Emphasis"/>
        </w:rPr>
        <w:t>out-of</w:t>
      </w:r>
      <w:proofErr w:type="spellEnd"/>
      <w:r w:rsidRPr="006012B5">
        <w:rPr>
          <w:rStyle w:val="Emphasis"/>
        </w:rPr>
        <w:t xml:space="preserve"> control “rogue” states – for their own good</w:t>
      </w:r>
      <w:r w:rsidRPr="00285CC9">
        <w:rPr>
          <w:sz w:val="10"/>
        </w:rPr>
        <w:t xml:space="preserve">, as well as for ours. This Western proliferation discourse has had a function in the wider context of US national security politics. With the end of the “Evil Empire” of the Soviet Union in the late 1980s, until the attacks of September 11, 2001, the United States appeared to be without an enemy sufficiently threatening to justify maintaining its sprawling military-industrial establishment. This difficulty for the military-industrial complex was forestalled by the construction of the category of “rogue states”, with governments portrayed as uncontrollable, irresponsible, irrational, malevolent, and antagonistic to Western values. Their unruliness and hostility </w:t>
      </w:r>
      <w:proofErr w:type="gramStart"/>
      <w:r w:rsidRPr="00285CC9">
        <w:rPr>
          <w:sz w:val="10"/>
        </w:rPr>
        <w:t>is</w:t>
      </w:r>
      <w:proofErr w:type="gramEnd"/>
      <w:r w:rsidRPr="00285CC9">
        <w:rPr>
          <w:sz w:val="10"/>
        </w:rPr>
        <w:t xml:space="preserve"> represented as intrinsic to their irrational nature, for to view the antagonism as politically rooted would have necessitated some soul-searching analysis into the role of Western policies and actions in contributing to disorder and breakdown in other states and regions. </w:t>
      </w:r>
      <w:r w:rsidRPr="00A41879">
        <w:rPr>
          <w:rStyle w:val="StyleUnderline"/>
        </w:rPr>
        <w:t xml:space="preserve">The discourse of WMD proliferation has been one of the </w:t>
      </w:r>
      <w:proofErr w:type="gramStart"/>
      <w:r w:rsidRPr="00A41879">
        <w:rPr>
          <w:rStyle w:val="StyleUnderline"/>
        </w:rPr>
        <w:t>principal</w:t>
      </w:r>
      <w:proofErr w:type="gramEnd"/>
      <w:r w:rsidRPr="00A41879">
        <w:rPr>
          <w:rStyle w:val="StyleUnderline"/>
        </w:rPr>
        <w:t xml:space="preserve"> means of portraying certain states as major threats.</w:t>
      </w:r>
      <w:r w:rsidRPr="00285CC9">
        <w:rPr>
          <w:sz w:val="10"/>
        </w:rPr>
        <w:t xml:space="preserve"> To say this is neither to back away from our position opposing all weapons of mass destruction, nor to argue about the degree to which WMD in the hands of “Other” states actually do threaten the United States, local populations, regional </w:t>
      </w:r>
      <w:proofErr w:type="spellStart"/>
      <w:r w:rsidRPr="00285CC9">
        <w:rPr>
          <w:sz w:val="10"/>
        </w:rPr>
        <w:t>neighbours</w:t>
      </w:r>
      <w:proofErr w:type="spellEnd"/>
      <w:r w:rsidRPr="00285CC9">
        <w:rPr>
          <w:sz w:val="10"/>
        </w:rPr>
        <w:t xml:space="preserve"> or international security. The point is that </w:t>
      </w:r>
      <w:r w:rsidRPr="006012B5">
        <w:rPr>
          <w:rStyle w:val="StyleUnderline"/>
        </w:rPr>
        <w:t>the underlying gendered symbolism in the WMD proliferation discourse helps make it feel natural and legitimate to fight war</w:t>
      </w:r>
      <w:r w:rsidRPr="00A41879">
        <w:rPr>
          <w:rStyle w:val="StyleUnderline"/>
        </w:rPr>
        <w:t xml:space="preserve">s and spend money on military </w:t>
      </w:r>
      <w:proofErr w:type="spellStart"/>
      <w:r w:rsidRPr="00A41879">
        <w:rPr>
          <w:rStyle w:val="StyleUnderline"/>
        </w:rPr>
        <w:t>programmes</w:t>
      </w:r>
      <w:proofErr w:type="spellEnd"/>
      <w:r w:rsidRPr="00A41879">
        <w:rPr>
          <w:rStyle w:val="StyleUnderline"/>
        </w:rPr>
        <w:t xml:space="preserve"> such as ballistic missile </w:t>
      </w:r>
      <w:proofErr w:type="spellStart"/>
      <w:r w:rsidRPr="00A41879">
        <w:rPr>
          <w:rStyle w:val="StyleUnderline"/>
        </w:rPr>
        <w:t>defence</w:t>
      </w:r>
      <w:proofErr w:type="spellEnd"/>
      <w:r w:rsidRPr="00A41879">
        <w:rPr>
          <w:rStyle w:val="StyleUnderline"/>
        </w:rPr>
        <w:t>, which would otherwise be difficult to justify on rational security grounds.</w:t>
      </w:r>
    </w:p>
    <w:p w:rsidR="00DE63C6" w:rsidRPr="00DE63C6" w:rsidRDefault="00DE63C6" w:rsidP="00DE63C6"/>
    <w:p w:rsidR="00CD4145" w:rsidRDefault="00CD4145" w:rsidP="00CD4145">
      <w:pPr>
        <w:pStyle w:val="Heading2"/>
      </w:pPr>
      <w:r>
        <w:lastRenderedPageBreak/>
        <w:t>**AT: Kritiks**</w:t>
      </w:r>
    </w:p>
    <w:p w:rsidR="00D44A31" w:rsidRPr="00D44A31" w:rsidRDefault="00D44A31" w:rsidP="00D44A31"/>
    <w:p w:rsidR="00404D45" w:rsidRDefault="00404D45" w:rsidP="00D44A31">
      <w:pPr>
        <w:pStyle w:val="Heading3"/>
      </w:pPr>
      <w:r>
        <w:lastRenderedPageBreak/>
        <w:t>Movements Link Turn</w:t>
      </w:r>
    </w:p>
    <w:p w:rsidR="00404D45" w:rsidRDefault="00D44A31" w:rsidP="00404D45">
      <w:pPr>
        <w:pStyle w:val="Heading4"/>
      </w:pPr>
      <w:r>
        <w:t>U.S. weapons enable Mexico’s government to commit violence against grassroots movements and migrants</w:t>
      </w:r>
    </w:p>
    <w:p w:rsidR="00404D45" w:rsidRPr="0032261C" w:rsidRDefault="00404D45" w:rsidP="00404D45">
      <w:pPr>
        <w:rPr>
          <w:b/>
          <w:sz w:val="26"/>
        </w:rPr>
      </w:pPr>
      <w:r>
        <w:rPr>
          <w:rStyle w:val="Style13ptBold"/>
        </w:rPr>
        <w:t xml:space="preserve">AFSC 16 </w:t>
      </w:r>
      <w:r>
        <w:t xml:space="preserve">(American Friends Service Committee, Quaker founded organization working for peace and social justice around the world, conduct dozens of field research reports every year, employs professionals in the relevant field, November, “Where the Guns Go: U.S. Arms and the Crisis of Violence in Mexico, </w:t>
      </w:r>
      <w:hyperlink r:id="rId92" w:history="1">
        <w:r w:rsidRPr="00F81704">
          <w:rPr>
            <w:rStyle w:val="Hyperlink"/>
            <w:rFonts w:eastAsiaTheme="majorEastAsia"/>
          </w:rPr>
          <w:t>https://www.afsc.org/resource/report-where-guns-go</w:t>
        </w:r>
      </w:hyperlink>
      <w:r>
        <w:t>) IK</w:t>
      </w:r>
    </w:p>
    <w:p w:rsidR="00404D45" w:rsidRPr="00AC4604" w:rsidRDefault="00404D45" w:rsidP="00404D45">
      <w:pPr>
        <w:rPr>
          <w:rStyle w:val="StyleUnderline"/>
        </w:rPr>
      </w:pPr>
      <w:r w:rsidRPr="00D44A31">
        <w:rPr>
          <w:sz w:val="14"/>
        </w:rPr>
        <w:t xml:space="preserve">When Mexico’s federal electoral tribunal declared Felipe Calderón the winner of the presidential elections in 2006, millions of Mexicans contested the election’s validity in the streets of Mexico City and elsewhere. After he took office, Calderón immediately sought to legitimize his presidency by declaring a war on drug cartels and leaning heavily on the Mexican military, whose forces he deployed into cities. For Calderón, </w:t>
      </w:r>
      <w:r w:rsidRPr="008A77CD">
        <w:rPr>
          <w:rStyle w:val="StyleUnderline"/>
        </w:rPr>
        <w:t>the militarization of law enforcement and army operations within the country did more than ally his administration with the military. It also was a means to get the United States on board economically as part of the drug war,</w:t>
      </w:r>
      <w:r w:rsidRPr="00D44A31">
        <w:rPr>
          <w:sz w:val="14"/>
        </w:rPr>
        <w:t xml:space="preserve"> through the $3 billion Mérida Initiative, focused on building Mexico’s police and military. The presidency of Enrique Peña </w:t>
      </w:r>
      <w:r w:rsidRPr="008A77CD">
        <w:rPr>
          <w:rStyle w:val="StyleUnderline"/>
        </w:rPr>
        <w:t>Nieto</w:t>
      </w:r>
      <w:r w:rsidRPr="00D44A31">
        <w:rPr>
          <w:sz w:val="14"/>
        </w:rPr>
        <w:t xml:space="preserve">, despite early announcements of a change of course, </w:t>
      </w:r>
      <w:r w:rsidRPr="008A77CD">
        <w:rPr>
          <w:rStyle w:val="StyleUnderline"/>
        </w:rPr>
        <w:t xml:space="preserve">has continued the same policies of military operations, especially focused on “high value targets”—killing or arresting criminal leaders, leading to fragmentation, competition, and further conflict between smaller organizations. Mexican political leaders have other interests in militarization, as well. </w:t>
      </w:r>
      <w:r w:rsidRPr="00D44A31">
        <w:rPr>
          <w:rStyle w:val="Emphasis"/>
        </w:rPr>
        <w:t xml:space="preserve">The Calderón and Peña Nieto governments have responded with force to nonviolent grassroots mobilizations for democracy and labor rights and against forced disappearances and other state violence. </w:t>
      </w:r>
      <w:r w:rsidRPr="00D44A31">
        <w:rPr>
          <w:sz w:val="14"/>
        </w:rPr>
        <w:t xml:space="preserve">While our delegation was in Mexico, federal police agents attacked unarmed participants in a teachers’ protest in </w:t>
      </w:r>
      <w:proofErr w:type="spellStart"/>
      <w:r w:rsidRPr="00D44A31">
        <w:rPr>
          <w:sz w:val="14"/>
        </w:rPr>
        <w:t>Nochixtlán</w:t>
      </w:r>
      <w:proofErr w:type="spellEnd"/>
      <w:r w:rsidRPr="00D44A31">
        <w:rPr>
          <w:sz w:val="14"/>
        </w:rPr>
        <w:t xml:space="preserve">, Oaxaca on June 19, killing at least nine people. Police snipers deployed to put down the protest used Belgian and Czech assault weapons.31 </w:t>
      </w:r>
      <w:r w:rsidRPr="00D44A31">
        <w:rPr>
          <w:rStyle w:val="Emphasis"/>
        </w:rPr>
        <w:t>Mexico also uses imported weapons to enforce the Southern Border Plan that deports thousands of Central American migrants, many of whom are fleeing violence</w:t>
      </w:r>
      <w:r w:rsidRPr="008A77CD">
        <w:rPr>
          <w:rStyle w:val="StyleUnderline"/>
        </w:rPr>
        <w:t xml:space="preserve">. </w:t>
      </w:r>
      <w:r w:rsidRPr="00D44A31">
        <w:rPr>
          <w:sz w:val="14"/>
        </w:rPr>
        <w:t>Although agents of the Mexican immigration enforcement agency INAMI are not armed, immigrant rights defenders in Chiapas have documented frequent INAMI operations with federal and state police and military agencies. T</w:t>
      </w:r>
      <w:r w:rsidRPr="008A77CD">
        <w:rPr>
          <w:rStyle w:val="StyleUnderline"/>
        </w:rPr>
        <w:t>hose agencies are armed with U.S.-supplied weapons.</w:t>
      </w:r>
      <w:r w:rsidRPr="00D44A31">
        <w:rPr>
          <w:sz w:val="14"/>
        </w:rPr>
        <w:t xml:space="preserve"> SEDENA controls all legal weapons imports into Mexico and markets them to police, private security companies, and the military itself. Gun possession by private citizens is highly restricted. During a visit by members of our delegation to SEDENA’s arms showroom, Col. Eduardo Tellez Moreno, director of the Office of Weapons and Munitions Marketing, told us that there </w:t>
      </w:r>
      <w:proofErr w:type="gramStart"/>
      <w:r w:rsidRPr="00D44A31">
        <w:rPr>
          <w:sz w:val="14"/>
        </w:rPr>
        <w:t>is</w:t>
      </w:r>
      <w:proofErr w:type="gramEnd"/>
      <w:r w:rsidRPr="00D44A31">
        <w:rPr>
          <w:sz w:val="14"/>
        </w:rPr>
        <w:t xml:space="preserve"> no uniform weapons purchasing plan for federal, state, or local police. “It’s like selling cars,” he said. “People buy what is popular.” The absence of standardized purchasing means that state police have arsenals that vary widely in country of origin, manufacturer, age, and characteristics. </w:t>
      </w:r>
      <w:r w:rsidRPr="00AC4604">
        <w:rPr>
          <w:rStyle w:val="StyleUnderline"/>
        </w:rPr>
        <w:t>Mexican communities, of course, have an interest in stopping the inflow of weaponry that is doing so much damage in the absence of the rule of law or a government that protects its citizens and others within its borders. “I would call on U.S. citizens to really question weapons policy, the production and freedom and sale of weapons from the United States to Mexico, to the Mexican government,”</w:t>
      </w:r>
      <w:r w:rsidRPr="00D44A31">
        <w:rPr>
          <w:sz w:val="14"/>
        </w:rPr>
        <w:t xml:space="preserve"> said Manuel Olivares of the Morelos y </w:t>
      </w:r>
      <w:proofErr w:type="spellStart"/>
      <w:r w:rsidRPr="00D44A31">
        <w:rPr>
          <w:sz w:val="14"/>
        </w:rPr>
        <w:t>Pavón</w:t>
      </w:r>
      <w:proofErr w:type="spellEnd"/>
      <w:r w:rsidRPr="00D44A31">
        <w:rPr>
          <w:sz w:val="14"/>
        </w:rPr>
        <w:t xml:space="preserve"> Human Rights Center in Guerrero. “The sale of these weapons is serving to massacre people.” “</w:t>
      </w:r>
      <w:r w:rsidRPr="00AC4604">
        <w:rPr>
          <w:rStyle w:val="StyleUnderline"/>
        </w:rPr>
        <w:t>All of us in Mexico know that this is not a war against drug trafficking, but a war against the society, against our families, and above all against our children,</w:t>
      </w:r>
      <w:r w:rsidRPr="00D44A31">
        <w:rPr>
          <w:sz w:val="14"/>
        </w:rPr>
        <w:t xml:space="preserve">” María Herrera told us. Four of her sons were forcibly disappeared. </w:t>
      </w:r>
      <w:r w:rsidRPr="00AC4604">
        <w:rPr>
          <w:rStyle w:val="StyleUnderline"/>
        </w:rPr>
        <w:t xml:space="preserve">Those responsible for selling weapons to Mexico, she said, “should think about the damage and destruction brought by these weapons, and that eventually it will harm them as well, which in fact we are seeing.” </w:t>
      </w:r>
    </w:p>
    <w:p w:rsidR="00404D45" w:rsidRPr="00404D45" w:rsidRDefault="00404D45" w:rsidP="00404D45"/>
    <w:p w:rsidR="00CD4145" w:rsidRDefault="00454283" w:rsidP="00454283">
      <w:pPr>
        <w:pStyle w:val="Heading3"/>
      </w:pPr>
      <w:r>
        <w:lastRenderedPageBreak/>
        <w:t>AT: Antiblackness</w:t>
      </w:r>
      <w:r w:rsidR="00D44A31">
        <w:t>- Coalition/Multiculturalism Links</w:t>
      </w:r>
    </w:p>
    <w:p w:rsidR="00454283" w:rsidRDefault="00D44A31" w:rsidP="00454283">
      <w:pPr>
        <w:pStyle w:val="Heading4"/>
      </w:pPr>
      <w:r>
        <w:t xml:space="preserve">Their narrow understanding of blackness erases the unique position of </w:t>
      </w:r>
      <w:r w:rsidR="00454283">
        <w:t>Afro-Latina</w:t>
      </w:r>
      <w:r>
        <w:t>s, whose</w:t>
      </w:r>
      <w:r w:rsidR="00454283">
        <w:t xml:space="preserve"> movements are </w:t>
      </w:r>
      <w:r>
        <w:t>necessary</w:t>
      </w:r>
      <w:r w:rsidR="00454283">
        <w:t xml:space="preserve"> </w:t>
      </w:r>
      <w:r>
        <w:t>to challenge</w:t>
      </w:r>
      <w:r w:rsidR="00454283">
        <w:t xml:space="preserve"> gendered and racialized violence within contemporary Eurocentric frameworks – </w:t>
      </w:r>
      <w:r>
        <w:t xml:space="preserve">the perm is </w:t>
      </w:r>
      <w:r w:rsidR="00454283">
        <w:t xml:space="preserve">key to </w:t>
      </w:r>
      <w:r>
        <w:t>centering</w:t>
      </w:r>
      <w:r w:rsidR="00454283">
        <w:t xml:space="preserve"> inclusive and transnational histories</w:t>
      </w:r>
      <w:r>
        <w:t xml:space="preserve">. </w:t>
      </w:r>
    </w:p>
    <w:p w:rsidR="00454283" w:rsidRPr="00DF5862" w:rsidRDefault="00454283" w:rsidP="00454283">
      <w:pPr>
        <w:rPr>
          <w:rStyle w:val="Style13ptBold"/>
        </w:rPr>
      </w:pPr>
      <w:proofErr w:type="spellStart"/>
      <w:r>
        <w:rPr>
          <w:rStyle w:val="Style13ptBold"/>
        </w:rPr>
        <w:t>Garsow</w:t>
      </w:r>
      <w:proofErr w:type="spellEnd"/>
      <w:r>
        <w:rPr>
          <w:rStyle w:val="Style13ptBold"/>
        </w:rPr>
        <w:t xml:space="preserve">, 2018 </w:t>
      </w:r>
      <w:r w:rsidRPr="00DF5862">
        <w:rPr>
          <w:rStyle w:val="Style13ptBold"/>
          <w:b w:val="0"/>
          <w:bCs/>
          <w:sz w:val="20"/>
          <w:szCs w:val="20"/>
        </w:rPr>
        <w:t xml:space="preserve">[Melissa- Dept. of African American Studies @ Yale, “Afro-Latin@ Nueva York: Maymie De Mena and the Unsung Afro-Latina Leadership of the UNIA”, </w:t>
      </w:r>
      <w:proofErr w:type="spellStart"/>
      <w:r w:rsidRPr="00DF5862">
        <w:rPr>
          <w:rStyle w:val="Style13ptBold"/>
          <w:b w:val="0"/>
          <w:bCs/>
          <w:i/>
          <w:iCs/>
          <w:sz w:val="20"/>
          <w:szCs w:val="20"/>
        </w:rPr>
        <w:t>Afro-Latin@s</w:t>
      </w:r>
      <w:proofErr w:type="spellEnd"/>
      <w:r w:rsidRPr="00DF5862">
        <w:rPr>
          <w:rStyle w:val="Style13ptBold"/>
          <w:b w:val="0"/>
          <w:bCs/>
          <w:i/>
          <w:iCs/>
          <w:sz w:val="20"/>
          <w:szCs w:val="20"/>
        </w:rPr>
        <w:t xml:space="preserve"> in Movement Critical Approaches to Blackness and Transnationalism in the Americas</w:t>
      </w:r>
      <w:r w:rsidRPr="00DF5862">
        <w:rPr>
          <w:rStyle w:val="Style13ptBold"/>
          <w:b w:val="0"/>
          <w:bCs/>
          <w:sz w:val="20"/>
          <w:szCs w:val="20"/>
        </w:rPr>
        <w:t>, pp 141-170]</w:t>
      </w:r>
    </w:p>
    <w:p w:rsidR="00454283" w:rsidRDefault="00454283" w:rsidP="00454283">
      <w:pPr>
        <w:rPr>
          <w:u w:val="single"/>
        </w:rPr>
      </w:pPr>
      <w:r w:rsidRPr="005E347A">
        <w:rPr>
          <w:sz w:val="16"/>
        </w:rPr>
        <w:t xml:space="preserve">As Asia Leeds has described, </w:t>
      </w:r>
      <w:r w:rsidRPr="005E347A">
        <w:rPr>
          <w:u w:val="single"/>
        </w:rPr>
        <w:t xml:space="preserve">the UNIA was a “redemptive diasporic” 112 movement that largely </w:t>
      </w:r>
      <w:proofErr w:type="spellStart"/>
      <w:r w:rsidRPr="005E347A">
        <w:rPr>
          <w:u w:val="single"/>
        </w:rPr>
        <w:t>defi</w:t>
      </w:r>
      <w:proofErr w:type="spellEnd"/>
      <w:r w:rsidRPr="005E347A">
        <w:rPr>
          <w:u w:val="single"/>
        </w:rPr>
        <w:t xml:space="preserve"> </w:t>
      </w:r>
      <w:proofErr w:type="spellStart"/>
      <w:r w:rsidRPr="005E347A">
        <w:rPr>
          <w:u w:val="single"/>
        </w:rPr>
        <w:t>ned</w:t>
      </w:r>
      <w:proofErr w:type="spellEnd"/>
      <w:r w:rsidRPr="005E347A">
        <w:rPr>
          <w:u w:val="single"/>
        </w:rPr>
        <w:t xml:space="preserve"> progress as a full human realization for men, while relegating women to a supporting role and emphasizing the reform of women’s morals to more fully meet white middle-class understandings of domesticity.</w:t>
      </w:r>
      <w:r w:rsidRPr="005E347A">
        <w:rPr>
          <w:sz w:val="16"/>
        </w:rPr>
        <w:t xml:space="preserve"> 113 Maymie De </w:t>
      </w:r>
      <w:r w:rsidRPr="005E347A">
        <w:rPr>
          <w:u w:val="single"/>
        </w:rPr>
        <w:t xml:space="preserve">Mena’s </w:t>
      </w:r>
      <w:proofErr w:type="spellStart"/>
      <w:r w:rsidRPr="005E347A">
        <w:rPr>
          <w:u w:val="single"/>
        </w:rPr>
        <w:t>defi</w:t>
      </w:r>
      <w:proofErr w:type="spellEnd"/>
      <w:r w:rsidRPr="005E347A">
        <w:rPr>
          <w:u w:val="single"/>
        </w:rPr>
        <w:t xml:space="preserve"> ant performance of another kind of femininity (Joan of Arc) is electrifying</w:t>
      </w:r>
      <w:r w:rsidRPr="005E347A">
        <w:rPr>
          <w:sz w:val="16"/>
        </w:rPr>
        <w:t>. Leeds comments, “</w:t>
      </w:r>
      <w:r w:rsidRPr="005E347A">
        <w:rPr>
          <w:u w:val="single"/>
        </w:rPr>
        <w:t>the</w:t>
      </w:r>
      <w:r w:rsidRPr="005E347A">
        <w:rPr>
          <w:sz w:val="16"/>
        </w:rPr>
        <w:t xml:space="preserve"> political </w:t>
      </w:r>
      <w:r w:rsidRPr="005E347A">
        <w:rPr>
          <w:u w:val="single"/>
        </w:rPr>
        <w:t xml:space="preserve">philosophy of Garveyism held women’s bodies and behavior under heavy surveillance, and in many ways </w:t>
      </w:r>
      <w:proofErr w:type="spellStart"/>
      <w:r w:rsidRPr="005E347A">
        <w:rPr>
          <w:u w:val="single"/>
        </w:rPr>
        <w:t>affi</w:t>
      </w:r>
      <w:proofErr w:type="spellEnd"/>
      <w:r w:rsidRPr="005E347A">
        <w:rPr>
          <w:u w:val="single"/>
        </w:rPr>
        <w:t xml:space="preserve"> </w:t>
      </w:r>
      <w:proofErr w:type="spellStart"/>
      <w:r w:rsidRPr="005E347A">
        <w:rPr>
          <w:u w:val="single"/>
        </w:rPr>
        <w:t>rmed</w:t>
      </w:r>
      <w:proofErr w:type="spellEnd"/>
      <w:r w:rsidRPr="005E347A">
        <w:rPr>
          <w:u w:val="single"/>
        </w:rPr>
        <w:t xml:space="preserve"> dominant framings of black women’s inherent sexual immorality</w:t>
      </w:r>
      <w:r w:rsidRPr="005E347A">
        <w:rPr>
          <w:sz w:val="16"/>
        </w:rPr>
        <w:t xml:space="preserve">.” 114 In this respect, </w:t>
      </w:r>
      <w:r w:rsidRPr="005E347A">
        <w:rPr>
          <w:u w:val="single"/>
        </w:rPr>
        <w:t>De Mena</w:t>
      </w:r>
      <w:r w:rsidRPr="005E347A">
        <w:rPr>
          <w:sz w:val="16"/>
        </w:rPr>
        <w:t xml:space="preserve"> continually </w:t>
      </w:r>
      <w:r w:rsidRPr="005E347A">
        <w:rPr>
          <w:u w:val="single"/>
        </w:rPr>
        <w:t>negotiates the complex intersections of Eurocentric constructions of “respectable” women’s behavior and roles, in the context of expectations about black women’s uncontrolled sexuality, and “redemptive” discourses about people in the not-yet postcolonial African diaspora</w:t>
      </w:r>
      <w:r w:rsidRPr="005E347A">
        <w:rPr>
          <w:sz w:val="16"/>
        </w:rPr>
        <w:t xml:space="preserve">. </w:t>
      </w:r>
      <w:r w:rsidRPr="005E347A">
        <w:rPr>
          <w:u w:val="single"/>
        </w:rPr>
        <w:t>Yet she does so from a unique Afro-Latina and moreover Central American perspective. In the words of Marta Moreno Vega, “challenging both Eurocentric constructions of Latin American identity and narrow US-centered constructions of ‘black’ identity in the Diaspora, Afro-Latinas/</w:t>
      </w:r>
      <w:proofErr w:type="spellStart"/>
      <w:r w:rsidRPr="005E347A">
        <w:rPr>
          <w:u w:val="single"/>
        </w:rPr>
        <w:t>os</w:t>
      </w:r>
      <w:proofErr w:type="spellEnd"/>
      <w:r w:rsidRPr="005E347A">
        <w:rPr>
          <w:u w:val="single"/>
        </w:rPr>
        <w:t xml:space="preserve"> are demanding their place in history as purveyors of resistance and as the progeny of a </w:t>
      </w:r>
      <w:proofErr w:type="gramStart"/>
      <w:r w:rsidRPr="005E347A">
        <w:rPr>
          <w:u w:val="single"/>
        </w:rPr>
        <w:t>deep rooted</w:t>
      </w:r>
      <w:proofErr w:type="gramEnd"/>
      <w:r w:rsidRPr="005E347A">
        <w:rPr>
          <w:u w:val="single"/>
        </w:rPr>
        <w:t xml:space="preserve"> legacy. </w:t>
      </w:r>
      <w:r w:rsidRPr="005E347A">
        <w:rPr>
          <w:b/>
          <w:bCs/>
          <w:u w:val="single"/>
        </w:rPr>
        <w:t>Afro-Latinas are indisputably at the heart and the helm of this struggle</w:t>
      </w:r>
      <w:r w:rsidRPr="005E347A">
        <w:rPr>
          <w:u w:val="single"/>
        </w:rPr>
        <w:t>.”</w:t>
      </w:r>
      <w:r w:rsidRPr="005E347A">
        <w:rPr>
          <w:sz w:val="16"/>
        </w:rPr>
        <w:t xml:space="preserve"> 115 As many discussions of Afro-</w:t>
      </w:r>
      <w:proofErr w:type="spellStart"/>
      <w:r w:rsidRPr="005E347A">
        <w:rPr>
          <w:sz w:val="16"/>
        </w:rPr>
        <w:t>Latinidad</w:t>
      </w:r>
      <w:proofErr w:type="spellEnd"/>
      <w:r w:rsidRPr="005E347A">
        <w:rPr>
          <w:sz w:val="16"/>
        </w:rPr>
        <w:t xml:space="preserve"> privilege people from the Spanish Caribbean, especially stories from that time period, De Mena challenges a focus on Puerto Ricans in New York while also broadening ideas of blackness across the diaspora. As such, </w:t>
      </w:r>
      <w:r w:rsidRPr="005E347A">
        <w:rPr>
          <w:u w:val="single"/>
        </w:rPr>
        <w:t>Maymie</w:t>
      </w:r>
      <w:r w:rsidRPr="005E347A">
        <w:rPr>
          <w:sz w:val="16"/>
        </w:rPr>
        <w:t xml:space="preserve"> </w:t>
      </w:r>
      <w:r w:rsidRPr="005E347A">
        <w:rPr>
          <w:u w:val="single"/>
        </w:rPr>
        <w:t>is</w:t>
      </w:r>
      <w:r w:rsidRPr="005E347A">
        <w:rPr>
          <w:sz w:val="16"/>
        </w:rPr>
        <w:t xml:space="preserve"> both </w:t>
      </w:r>
      <w:r w:rsidRPr="005E347A">
        <w:rPr>
          <w:u w:val="single"/>
        </w:rPr>
        <w:t xml:space="preserve">an important fi </w:t>
      </w:r>
      <w:proofErr w:type="spellStart"/>
      <w:r w:rsidRPr="005E347A">
        <w:rPr>
          <w:u w:val="single"/>
        </w:rPr>
        <w:t>gure</w:t>
      </w:r>
      <w:proofErr w:type="spellEnd"/>
      <w:r w:rsidRPr="005E347A">
        <w:rPr>
          <w:u w:val="single"/>
        </w:rPr>
        <w:t xml:space="preserve"> in her own right as well as a unique theoretica</w:t>
      </w:r>
      <w:r w:rsidRPr="005E347A">
        <w:rPr>
          <w:sz w:val="16"/>
        </w:rPr>
        <w:t xml:space="preserve">l </w:t>
      </w:r>
      <w:r w:rsidRPr="005E347A">
        <w:rPr>
          <w:u w:val="single"/>
        </w:rPr>
        <w:t>tool for understanding and complicating the workings of gender, race, ethnicity, and diaspora in early black political organizations</w:t>
      </w:r>
      <w:r w:rsidRPr="005E347A">
        <w:rPr>
          <w:sz w:val="16"/>
        </w:rPr>
        <w:t xml:space="preserve">. In that vein, I hope to make one fi </w:t>
      </w:r>
      <w:proofErr w:type="spellStart"/>
      <w:r w:rsidRPr="005E347A">
        <w:rPr>
          <w:sz w:val="16"/>
        </w:rPr>
        <w:t>nal</w:t>
      </w:r>
      <w:proofErr w:type="spellEnd"/>
      <w:r w:rsidRPr="005E347A">
        <w:rPr>
          <w:sz w:val="16"/>
        </w:rPr>
        <w:t xml:space="preserve"> provocation with regard to De Mena’s and other Afro-Latinas’ historical utility. </w:t>
      </w:r>
      <w:r w:rsidRPr="005E347A">
        <w:rPr>
          <w:u w:val="single"/>
        </w:rPr>
        <w:t>In bringing together such vast intellectual spaces, cultures, diasporas, and histories, Afro-Latinas provide us with one further opportunity, the opportunity to tell a more inclusive transnational history that equally values the contributions of women and men.</w:t>
      </w:r>
    </w:p>
    <w:p w:rsidR="00454283" w:rsidRDefault="00D44A31" w:rsidP="00454283">
      <w:pPr>
        <w:pStyle w:val="Heading4"/>
      </w:pPr>
      <w:r>
        <w:t xml:space="preserve">Archives DA: the alt is unable to explain the position of Afro-Latina women who are forced to split their identities. </w:t>
      </w:r>
    </w:p>
    <w:p w:rsidR="00454283" w:rsidRPr="00DF5862" w:rsidRDefault="00454283" w:rsidP="00454283">
      <w:pPr>
        <w:rPr>
          <w:rStyle w:val="Style13ptBold"/>
        </w:rPr>
      </w:pPr>
      <w:proofErr w:type="spellStart"/>
      <w:r>
        <w:rPr>
          <w:rStyle w:val="Style13ptBold"/>
        </w:rPr>
        <w:t>Garsow</w:t>
      </w:r>
      <w:proofErr w:type="spellEnd"/>
      <w:r>
        <w:rPr>
          <w:rStyle w:val="Style13ptBold"/>
        </w:rPr>
        <w:t xml:space="preserve">, 2018 </w:t>
      </w:r>
      <w:r w:rsidRPr="00DF5862">
        <w:rPr>
          <w:rStyle w:val="Style13ptBold"/>
          <w:b w:val="0"/>
          <w:bCs/>
          <w:sz w:val="20"/>
          <w:szCs w:val="20"/>
        </w:rPr>
        <w:t xml:space="preserve">[Melissa- Dept. of African American Studies @ Yale, “Afro-Latin@ Nueva York: Maymie De Mena and the Unsung Afro-Latina Leadership of the UNIA”, </w:t>
      </w:r>
      <w:proofErr w:type="spellStart"/>
      <w:r w:rsidRPr="00DF5862">
        <w:rPr>
          <w:rStyle w:val="Style13ptBold"/>
          <w:b w:val="0"/>
          <w:bCs/>
          <w:i/>
          <w:iCs/>
          <w:sz w:val="20"/>
          <w:szCs w:val="20"/>
        </w:rPr>
        <w:t>Afro-Latin@s</w:t>
      </w:r>
      <w:proofErr w:type="spellEnd"/>
      <w:r w:rsidRPr="00DF5862">
        <w:rPr>
          <w:rStyle w:val="Style13ptBold"/>
          <w:b w:val="0"/>
          <w:bCs/>
          <w:i/>
          <w:iCs/>
          <w:sz w:val="20"/>
          <w:szCs w:val="20"/>
        </w:rPr>
        <w:t xml:space="preserve"> in Movement Critical Approaches to Blackness and Transnationalism in the Americas</w:t>
      </w:r>
      <w:r w:rsidRPr="00DF5862">
        <w:rPr>
          <w:rStyle w:val="Style13ptBold"/>
          <w:b w:val="0"/>
          <w:bCs/>
          <w:sz w:val="20"/>
          <w:szCs w:val="20"/>
        </w:rPr>
        <w:t>, pp 141-170]</w:t>
      </w:r>
    </w:p>
    <w:p w:rsidR="00454283" w:rsidRPr="00281316" w:rsidRDefault="00454283" w:rsidP="00454283">
      <w:pPr>
        <w:rPr>
          <w:sz w:val="16"/>
        </w:rPr>
      </w:pPr>
      <w:r w:rsidRPr="00281316">
        <w:rPr>
          <w:sz w:val="16"/>
        </w:rPr>
        <w:t xml:space="preserve">Maymie </w:t>
      </w:r>
      <w:r w:rsidRPr="0057372C">
        <w:rPr>
          <w:u w:val="single"/>
        </w:rPr>
        <w:t>De Mena played a crucial role at the helm of the UNIA</w:t>
      </w:r>
      <w:r w:rsidRPr="00281316">
        <w:rPr>
          <w:sz w:val="16"/>
        </w:rPr>
        <w:t xml:space="preserve"> when the organization could have crumbled. Yet, </w:t>
      </w:r>
      <w:r w:rsidRPr="0057372C">
        <w:rPr>
          <w:u w:val="single"/>
        </w:rPr>
        <w:t xml:space="preserve">despite her obvious importance, this highly popular and </w:t>
      </w:r>
      <w:proofErr w:type="spellStart"/>
      <w:r w:rsidRPr="0057372C">
        <w:rPr>
          <w:u w:val="single"/>
        </w:rPr>
        <w:t>infl</w:t>
      </w:r>
      <w:proofErr w:type="spellEnd"/>
      <w:r w:rsidRPr="0057372C">
        <w:rPr>
          <w:u w:val="single"/>
        </w:rPr>
        <w:t xml:space="preserve"> </w:t>
      </w:r>
      <w:proofErr w:type="spellStart"/>
      <w:r w:rsidRPr="0057372C">
        <w:rPr>
          <w:u w:val="single"/>
        </w:rPr>
        <w:t>uential</w:t>
      </w:r>
      <w:proofErr w:type="spellEnd"/>
      <w:r w:rsidRPr="0057372C">
        <w:rPr>
          <w:u w:val="single"/>
        </w:rPr>
        <w:t xml:space="preserve"> organizer has yet to be written about other than as a footnote</w:t>
      </w:r>
      <w:r w:rsidRPr="00281316">
        <w:rPr>
          <w:sz w:val="16"/>
        </w:rPr>
        <w:t xml:space="preserve"> or a brief example of the existence of female leadership in the UNIA. 14 Perhaps </w:t>
      </w:r>
      <w:r w:rsidRPr="0057372C">
        <w:rPr>
          <w:u w:val="single"/>
        </w:rPr>
        <w:t>this is because writing about Afro-Latinas is particularly tricky</w:t>
      </w:r>
      <w:r w:rsidRPr="00281316">
        <w:rPr>
          <w:sz w:val="16"/>
        </w:rPr>
        <w:t xml:space="preserve">. As Ula Taylor has described in her own work on Amy Jacques Garvey and the lesser-known Amy Ashwood Garvey (Garvey’s AFRO-LATIN@ NUEVA YORK: MAYMIE DE </w:t>
      </w:r>
      <w:r w:rsidRPr="00281316">
        <w:rPr>
          <w:sz w:val="16"/>
        </w:rPr>
        <w:lastRenderedPageBreak/>
        <w:t xml:space="preserve">MENA… 143 fi </w:t>
      </w:r>
      <w:proofErr w:type="spellStart"/>
      <w:r w:rsidRPr="00281316">
        <w:rPr>
          <w:sz w:val="16"/>
        </w:rPr>
        <w:t>rst</w:t>
      </w:r>
      <w:proofErr w:type="spellEnd"/>
      <w:r w:rsidRPr="00281316">
        <w:rPr>
          <w:sz w:val="16"/>
        </w:rPr>
        <w:t xml:space="preserve"> wife and cofounder of the UNIA), </w:t>
      </w:r>
      <w:r w:rsidRPr="0057372C">
        <w:rPr>
          <w:u w:val="single"/>
        </w:rPr>
        <w:t xml:space="preserve">there exists a “crisis of archival recognition for African American women” </w:t>
      </w:r>
      <w:r w:rsidRPr="0057372C">
        <w:rPr>
          <w:b/>
          <w:bCs/>
          <w:u w:val="single"/>
        </w:rPr>
        <w:t>whose material traces are “limited, heavily tainted, or virtually nonexistent</w:t>
      </w:r>
      <w:r w:rsidRPr="0057372C">
        <w:rPr>
          <w:u w:val="single"/>
        </w:rPr>
        <w:t>.”</w:t>
      </w:r>
      <w:r w:rsidRPr="00281316">
        <w:rPr>
          <w:sz w:val="16"/>
        </w:rPr>
        <w:t xml:space="preserve"> 15 </w:t>
      </w:r>
      <w:r w:rsidRPr="0057372C">
        <w:rPr>
          <w:u w:val="single"/>
        </w:rPr>
        <w:t>Afro-Latinas, at the margins of both African-American and Latino histories, are doubly invisible</w:t>
      </w:r>
      <w:r w:rsidRPr="00281316">
        <w:rPr>
          <w:sz w:val="16"/>
        </w:rPr>
        <w:t xml:space="preserve">. </w:t>
      </w:r>
      <w:r w:rsidRPr="0057372C">
        <w:rPr>
          <w:u w:val="single"/>
        </w:rPr>
        <w:t xml:space="preserve">Archives are not just </w:t>
      </w:r>
      <w:proofErr w:type="spellStart"/>
      <w:r w:rsidRPr="0057372C">
        <w:rPr>
          <w:u w:val="single"/>
        </w:rPr>
        <w:t>diffi</w:t>
      </w:r>
      <w:proofErr w:type="spellEnd"/>
      <w:r w:rsidRPr="0057372C">
        <w:rPr>
          <w:u w:val="single"/>
        </w:rPr>
        <w:t xml:space="preserve"> cult to come upon, but often split between “black” and “Latino” categories</w:t>
      </w:r>
      <w:r w:rsidRPr="00281316">
        <w:rPr>
          <w:sz w:val="16"/>
        </w:rPr>
        <w:t xml:space="preserve"> that further occult their existence, while </w:t>
      </w:r>
      <w:r w:rsidRPr="0057372C">
        <w:rPr>
          <w:u w:val="single"/>
        </w:rPr>
        <w:t>their abilities as coalition builders are questioned under the expectation of male charismatic leadership</w:t>
      </w:r>
      <w:r w:rsidRPr="00281316">
        <w:rPr>
          <w:sz w:val="16"/>
        </w:rPr>
        <w:t xml:space="preserve">. As such, </w:t>
      </w:r>
      <w:r w:rsidRPr="0057372C">
        <w:rPr>
          <w:u w:val="single"/>
        </w:rPr>
        <w:t>this chapter necessarily employs what Taylor describes as “historical imagination” 16 to interpret the limited archives about De Mena</w:t>
      </w:r>
      <w:r w:rsidRPr="00281316">
        <w:rPr>
          <w:sz w:val="16"/>
        </w:rPr>
        <w:t xml:space="preserve">. </w:t>
      </w:r>
      <w:proofErr w:type="spellStart"/>
      <w:r w:rsidRPr="00281316">
        <w:rPr>
          <w:sz w:val="16"/>
        </w:rPr>
        <w:t>Specifi</w:t>
      </w:r>
      <w:proofErr w:type="spellEnd"/>
      <w:r w:rsidRPr="00281316">
        <w:rPr>
          <w:sz w:val="16"/>
        </w:rPr>
        <w:t xml:space="preserve"> </w:t>
      </w:r>
      <w:proofErr w:type="spellStart"/>
      <w:r w:rsidRPr="00281316">
        <w:rPr>
          <w:sz w:val="16"/>
        </w:rPr>
        <w:t>cally</w:t>
      </w:r>
      <w:proofErr w:type="spellEnd"/>
      <w:r w:rsidRPr="00281316">
        <w:rPr>
          <w:sz w:val="16"/>
        </w:rPr>
        <w:t xml:space="preserve">, this research relies heavily on spatial and political context to recreate the sights, sounds, smells, and common experiences De Mena most likely had lived through to interpret what is known about her. In the end, I conclude that De Mena was not just a crucial fi </w:t>
      </w:r>
      <w:proofErr w:type="spellStart"/>
      <w:r w:rsidRPr="00281316">
        <w:rPr>
          <w:sz w:val="16"/>
        </w:rPr>
        <w:t>gure</w:t>
      </w:r>
      <w:proofErr w:type="spellEnd"/>
      <w:r w:rsidRPr="00281316">
        <w:rPr>
          <w:sz w:val="16"/>
        </w:rPr>
        <w:t xml:space="preserve"> for reinvigorating the Garvey movement in the late 1920s and aiding its expansion into the Spanish-speaking world, but an important example of the linkages that existed between Latino and black communities. </w:t>
      </w:r>
      <w:r w:rsidRPr="00281316">
        <w:rPr>
          <w:u w:val="single"/>
        </w:rPr>
        <w:t xml:space="preserve">I am not the fi </w:t>
      </w:r>
      <w:proofErr w:type="spellStart"/>
      <w:r w:rsidRPr="00281316">
        <w:rPr>
          <w:u w:val="single"/>
        </w:rPr>
        <w:t>rst</w:t>
      </w:r>
      <w:proofErr w:type="spellEnd"/>
      <w:r w:rsidRPr="00281316">
        <w:rPr>
          <w:u w:val="single"/>
        </w:rPr>
        <w:t xml:space="preserve"> to see Afro-Latinos as bridges, but bridges in the 1920s and 1930s thus far have been associated primarily with men. Here I argue De Mena serves as a bridge connecting various intellectual spheres and communities to illuminate the multicultural, multilingual world of 1920s and 1930s,</w:t>
      </w:r>
      <w:r w:rsidRPr="00281316">
        <w:rPr>
          <w:sz w:val="16"/>
        </w:rPr>
        <w:t xml:space="preserve"> Harlem in particular, and New York City in general. </w:t>
      </w:r>
      <w:r w:rsidRPr="00281316">
        <w:rPr>
          <w:u w:val="single"/>
        </w:rPr>
        <w:t>Recognizing that a woman of color could very publicly build bridges between genders, across ethnic and racial communities, and across countries as well, I hope, opens the door to a hunt for more Afro-Latinas in US history</w:t>
      </w:r>
      <w:r w:rsidRPr="00281316">
        <w:rPr>
          <w:sz w:val="16"/>
        </w:rPr>
        <w:t xml:space="preserve">. </w:t>
      </w:r>
      <w:proofErr w:type="spellStart"/>
      <w:r w:rsidRPr="00281316">
        <w:rPr>
          <w:sz w:val="16"/>
        </w:rPr>
        <w:t>Signifi</w:t>
      </w:r>
      <w:proofErr w:type="spellEnd"/>
      <w:r w:rsidRPr="00281316">
        <w:rPr>
          <w:sz w:val="16"/>
        </w:rPr>
        <w:t xml:space="preserve"> </w:t>
      </w:r>
      <w:proofErr w:type="spellStart"/>
      <w:r w:rsidRPr="00281316">
        <w:rPr>
          <w:sz w:val="16"/>
        </w:rPr>
        <w:t>cantly</w:t>
      </w:r>
      <w:proofErr w:type="spellEnd"/>
      <w:r w:rsidRPr="00281316">
        <w:rPr>
          <w:sz w:val="16"/>
        </w:rPr>
        <w:t xml:space="preserve">, De Mena, does not just provide a link between blacks and Latinos, the United States and Latin America, but between men and women. She was a feminist whose life and work also raises questions not just about how men and women of color could collaborate in a </w:t>
      </w:r>
      <w:proofErr w:type="spellStart"/>
      <w:r w:rsidRPr="00281316">
        <w:rPr>
          <w:sz w:val="16"/>
        </w:rPr>
        <w:t>diffi</w:t>
      </w:r>
      <w:proofErr w:type="spellEnd"/>
      <w:r w:rsidRPr="00281316">
        <w:rPr>
          <w:sz w:val="16"/>
        </w:rPr>
        <w:t xml:space="preserve"> cult time for many in Harlem and East Harlem, but how black, Latina, and Afro-Latina women possibly supported each other within and throughout male-dominated, masculinist organizations.</w:t>
      </w:r>
    </w:p>
    <w:p w:rsidR="009559DC" w:rsidRPr="00C17691" w:rsidRDefault="00D44A31" w:rsidP="009559DC">
      <w:pPr>
        <w:pStyle w:val="Heading4"/>
      </w:pPr>
      <w:r>
        <w:t xml:space="preserve">Feminist legal theory is necessary to deconstruct gendered underpinnings of </w:t>
      </w:r>
      <w:r w:rsidR="00352492">
        <w:t xml:space="preserve">gun regulation. The permutation is an intersectional framework </w:t>
      </w:r>
    </w:p>
    <w:p w:rsidR="009559DC" w:rsidRDefault="009559DC" w:rsidP="009559DC">
      <w:r w:rsidRPr="00C17691">
        <w:t xml:space="preserve">Verna L. </w:t>
      </w:r>
      <w:r w:rsidRPr="00C17691">
        <w:rPr>
          <w:rStyle w:val="Style13ptBold"/>
        </w:rPr>
        <w:t>Williams 16</w:t>
      </w:r>
      <w:r w:rsidRPr="00C17691">
        <w:t xml:space="preserve">, </w:t>
      </w:r>
      <w:r>
        <w:t xml:space="preserve">Williams is the dean of the UC </w:t>
      </w:r>
      <w:proofErr w:type="spellStart"/>
      <w:r>
        <w:t>Cinncinatti</w:t>
      </w:r>
      <w:proofErr w:type="spellEnd"/>
      <w:r>
        <w:t xml:space="preserve"> College of Law since </w:t>
      </w:r>
      <w:proofErr w:type="gramStart"/>
      <w:r>
        <w:t>2001, and</w:t>
      </w:r>
      <w:proofErr w:type="gramEnd"/>
      <w:r>
        <w:t xml:space="preserve"> practiced civil and women’s rights for many years prior. </w:t>
      </w:r>
      <w:r w:rsidRPr="00C17691">
        <w:t>Guns, Sex, and Race: The Second Amendment through a Feminist Lens, 83 Tenn. L. Rev. 983 (2016)</w:t>
      </w:r>
      <w:r>
        <w:t xml:space="preserve">, </w:t>
      </w:r>
      <w:r w:rsidRPr="00C17691">
        <w:t>Provided by:</w:t>
      </w:r>
      <w:r>
        <w:t xml:space="preserve"> </w:t>
      </w:r>
      <w:r w:rsidRPr="00C17691">
        <w:t xml:space="preserve">James E. Faust Law Library </w:t>
      </w:r>
    </w:p>
    <w:p w:rsidR="009559DC" w:rsidRPr="00352492" w:rsidRDefault="009559DC" w:rsidP="009559DC">
      <w:pPr>
        <w:rPr>
          <w:sz w:val="16"/>
        </w:rPr>
      </w:pPr>
      <w:r w:rsidRPr="000E2757">
        <w:rPr>
          <w:rStyle w:val="StyleUnderline"/>
        </w:rPr>
        <w:t>Feminist</w:t>
      </w:r>
      <w:r w:rsidRPr="00710E00">
        <w:rPr>
          <w:rStyle w:val="StyleUnderline"/>
        </w:rPr>
        <w:t xml:space="preserve"> legal theory ("FLT') is a powerful tool for examining the Second Amendment because of its innate skepticism about the status quo</w:t>
      </w:r>
      <w:r w:rsidRPr="000E2757">
        <w:rPr>
          <w:sz w:val="16"/>
        </w:rPr>
        <w:t xml:space="preserve">, its emphasis on context, and its recognition that intersecting oppressions are especially relevant in analyzing a given policy or practice. In brief, </w:t>
      </w:r>
      <w:r w:rsidRPr="00710E00">
        <w:rPr>
          <w:rStyle w:val="StyleUnderline"/>
        </w:rPr>
        <w:t>FLT examines "how gender has mattered to the development of the law and how different groups of men and women are differentially affected by the power of law."</w:t>
      </w:r>
      <w:r w:rsidRPr="000E2757">
        <w:rPr>
          <w:sz w:val="16"/>
        </w:rPr>
        <w:t xml:space="preserve"> 2 2 In so doing, </w:t>
      </w:r>
      <w:r w:rsidRPr="00710E00">
        <w:rPr>
          <w:rStyle w:val="StyleUnderline"/>
        </w:rPr>
        <w:t>FLT critiques legal doctrines to uncover hidden biases, identify how male supremacy is reproduced, and give voice to those who experience oppression at the intersections of sex, race, and class, among other things.</w:t>
      </w:r>
      <w:r w:rsidRPr="000E2757">
        <w:rPr>
          <w:sz w:val="16"/>
        </w:rPr>
        <w:t xml:space="preserve">23 FLT is </w:t>
      </w:r>
      <w:r w:rsidRPr="00710E00">
        <w:rPr>
          <w:rStyle w:val="StyleUnderline"/>
        </w:rPr>
        <w:t>oriented toward making change</w:t>
      </w:r>
      <w:r w:rsidRPr="000E2757">
        <w:rPr>
          <w:sz w:val="16"/>
        </w:rPr>
        <w:t xml:space="preserve">; it </w:t>
      </w:r>
      <w:r w:rsidRPr="00710E00">
        <w:rPr>
          <w:rStyle w:val="StyleUnderline"/>
        </w:rPr>
        <w:t>leans toward inclusivity and collective solutions</w:t>
      </w:r>
      <w:r w:rsidRPr="000E2757">
        <w:rPr>
          <w:sz w:val="16"/>
        </w:rPr>
        <w:t xml:space="preserve">. Additionally, FLT questions the existence of a formal public/private divide and is open to state involvement to address societal wrongs.24 </w:t>
      </w:r>
      <w:r w:rsidRPr="00710E00">
        <w:rPr>
          <w:rStyle w:val="StyleUnderline"/>
        </w:rPr>
        <w:t>Given the frequency and scope of gun violence in women's lives, the hostile resistance in many corners to any type of gun regulation, and the growing insistence on firearm ownership as a means of</w:t>
      </w:r>
      <w:r>
        <w:rPr>
          <w:rStyle w:val="StyleUnderline"/>
        </w:rPr>
        <w:t xml:space="preserve"> </w:t>
      </w:r>
      <w:r w:rsidRPr="00710E00">
        <w:rPr>
          <w:rStyle w:val="StyleUnderline"/>
        </w:rPr>
        <w:t>public safety, a feminist analysis of the Second Amendment right is essential to comprehending what is at stake in this highly charged debate.</w:t>
      </w:r>
      <w:r>
        <w:rPr>
          <w:rStyle w:val="StyleUnderline"/>
        </w:rPr>
        <w:t xml:space="preserve"> </w:t>
      </w:r>
      <w:r w:rsidRPr="000E2757">
        <w:rPr>
          <w:sz w:val="16"/>
        </w:rPr>
        <w:t>SJF, a recently articulated strand of feminist legal theory, is particularly apt in this context because it reaffirms feminist ideals of focusing on under-served communities. The term "</w:t>
      </w:r>
      <w:r w:rsidRPr="00710E00">
        <w:rPr>
          <w:rStyle w:val="StyleUnderline"/>
        </w:rPr>
        <w:t>social justice feminism" emerged from feminist legal advocates in response to calls from women of color and other marginalized women seeking greater progress on issues affecting them, particularly violence.</w:t>
      </w:r>
      <w:r w:rsidRPr="000E2757">
        <w:rPr>
          <w:sz w:val="16"/>
        </w:rPr>
        <w:t xml:space="preserve">25 SJF builds upon the various waves of feminism, reinforcing its original mission and expanding its reach. Specifically, SJF "strives to uncover and dismantle [social and political structures that support patriarchy], 26 while "recognizing and addressing multiple </w:t>
      </w:r>
      <w:r w:rsidRPr="000E2757">
        <w:rPr>
          <w:sz w:val="16"/>
        </w:rPr>
        <w:lastRenderedPageBreak/>
        <w:t xml:space="preserve">oppressions."27 Martha </w:t>
      </w:r>
      <w:proofErr w:type="spellStart"/>
      <w:r w:rsidRPr="000E2757">
        <w:rPr>
          <w:sz w:val="16"/>
        </w:rPr>
        <w:t>Chamallas</w:t>
      </w:r>
      <w:proofErr w:type="spellEnd"/>
      <w:r w:rsidRPr="000E2757">
        <w:rPr>
          <w:sz w:val="16"/>
        </w:rPr>
        <w:t xml:space="preserve"> has suggested that SJF is "</w:t>
      </w:r>
      <w:r w:rsidRPr="00710E00">
        <w:rPr>
          <w:rStyle w:val="StyleUnderline"/>
        </w:rPr>
        <w:t>a new take on intersectionality theory and intersectional feminism."28 Given its genesis among practitioners, SJF embodies three core methodologies that "attempt to reveal features of a legal issue that more traditional methods tend to overlook or suppress:"</w:t>
      </w:r>
      <w:r w:rsidRPr="000E2757">
        <w:rPr>
          <w:sz w:val="16"/>
        </w:rPr>
        <w:t xml:space="preserve"> 2 9 One method, </w:t>
      </w:r>
      <w:r w:rsidRPr="000E2757">
        <w:rPr>
          <w:rStyle w:val="StyleUnderline"/>
        </w:rPr>
        <w:t>looking to history to understand subordinating structures, seeks to acquire more knowledge with which to understand and then dismantle the bases of societal institutions that perpetuate hierarchies and inequities.</w:t>
      </w:r>
      <w:r w:rsidRPr="000E2757">
        <w:rPr>
          <w:sz w:val="16"/>
        </w:rPr>
        <w:t xml:space="preserve"> Another method, examining the inter-relationships between interlocking oppressions, asks how issues of gender, race, class, and other categories of identity and experiences work together to create social injustice. </w:t>
      </w:r>
      <w:r w:rsidRPr="000E2757">
        <w:rPr>
          <w:rStyle w:val="StyleUnderline"/>
        </w:rPr>
        <w:t>A third method, ensuring that principles of dismantling interlocking oppressions inform solutions, keeps the focus on bottom-up strategies in fashioning remedies.</w:t>
      </w:r>
      <w:r w:rsidRPr="000E2757">
        <w:rPr>
          <w:sz w:val="16"/>
        </w:rPr>
        <w:t xml:space="preserve"> 30 Accordingly, SJF focuses on historical context, structural inequities, intersecting oppressions, and underserved populations. In so doing, SJF methods reveal issues that liberal feminism might fail to recognize as having significant gender implications. 3 SJF's historical method emphasizes examining the past in order to "understand subordinating structures" to identify the roots of structural inequalities in order to dismantle them.32 In this regard, SJF follows in the footsteps of feminist and critical race theory in seeking to "uncover[] lost </w:t>
      </w:r>
      <w:proofErr w:type="spellStart"/>
      <w:r w:rsidRPr="000E2757">
        <w:rPr>
          <w:sz w:val="16"/>
        </w:rPr>
        <w:t>histor</w:t>
      </w:r>
      <w:proofErr w:type="spellEnd"/>
      <w:r w:rsidRPr="000E2757">
        <w:rPr>
          <w:sz w:val="16"/>
        </w:rPr>
        <w:t>[y] . . . [and] re-</w:t>
      </w:r>
      <w:proofErr w:type="spellStart"/>
      <w:r w:rsidRPr="000E2757">
        <w:rPr>
          <w:sz w:val="16"/>
        </w:rPr>
        <w:t>examin</w:t>
      </w:r>
      <w:proofErr w:type="spellEnd"/>
      <w:r w:rsidRPr="000E2757">
        <w:rPr>
          <w:sz w:val="16"/>
        </w:rPr>
        <w:t>[e] how history has been told and understood."33 Recognizing that history is constructed, typically by those in power</w:t>
      </w:r>
      <w:r w:rsidRPr="000E2757">
        <w:rPr>
          <w:rStyle w:val="Emphasis"/>
        </w:rPr>
        <w:t>, SJF seeks to elevate the experiences of those left on the margins to uncover how traditional historical narratives mask and perpetuate subordination.</w:t>
      </w:r>
      <w:r w:rsidRPr="000E2757">
        <w:rPr>
          <w:sz w:val="16"/>
        </w:rPr>
        <w:t xml:space="preserve"> 34 Such a perspective is especially necessary in this context given the highly contested nature of the historical accounts articulated in Heller and McDonald3,5 upon which the Court heavily relied. Accordingly, </w:t>
      </w:r>
      <w:r w:rsidRPr="000E2757">
        <w:rPr>
          <w:rStyle w:val="Emphasis"/>
        </w:rPr>
        <w:t>the parts that follow examine the Second Amendment's history with an eye toward exposing the context within which it emerged, a setting that established the foundation for a race- and gender-based social hierarchy.</w:t>
      </w:r>
      <w:r w:rsidRPr="000E2757">
        <w:rPr>
          <w:sz w:val="16"/>
        </w:rPr>
        <w:t xml:space="preserve"> </w:t>
      </w:r>
    </w:p>
    <w:p w:rsidR="00454283" w:rsidRDefault="009559DC" w:rsidP="009559DC">
      <w:pPr>
        <w:pStyle w:val="Heading3"/>
      </w:pPr>
      <w:r>
        <w:lastRenderedPageBreak/>
        <w:t>AT: Human Rights Links</w:t>
      </w:r>
    </w:p>
    <w:p w:rsidR="009559DC" w:rsidRDefault="009559DC" w:rsidP="009559DC">
      <w:pPr>
        <w:pStyle w:val="Heading4"/>
      </w:pPr>
      <w:r>
        <w:t>Violence against women is widely regarded as a human rights abuse – framing it as such is key to understanding the responsibility the state has to solve it</w:t>
      </w:r>
    </w:p>
    <w:p w:rsidR="009559DC" w:rsidRPr="0088113C" w:rsidRDefault="009559DC" w:rsidP="009559DC">
      <w:pPr>
        <w:rPr>
          <w:rStyle w:val="Style13ptBold"/>
        </w:rPr>
      </w:pPr>
      <w:r>
        <w:rPr>
          <w:rStyle w:val="Style13ptBold"/>
        </w:rPr>
        <w:t xml:space="preserve">OHCHR no date – </w:t>
      </w:r>
      <w:r w:rsidRPr="0088113C">
        <w:rPr>
          <w:sz w:val="18"/>
          <w:szCs w:val="18"/>
        </w:rPr>
        <w:t xml:space="preserve">(Office of the United Nations High Commissioner for Human Rights, United Nations Human Rights, “Violence against women,” </w:t>
      </w:r>
      <w:hyperlink r:id="rId93" w:history="1">
        <w:r w:rsidRPr="0088113C">
          <w:rPr>
            <w:rStyle w:val="Hyperlink"/>
            <w:sz w:val="18"/>
            <w:szCs w:val="18"/>
          </w:rPr>
          <w:t>https://www.ohchr.org/EN/Issues/Women/WRGS/Pages/VAW.aspx</w:t>
        </w:r>
      </w:hyperlink>
      <w:r w:rsidRPr="0088113C">
        <w:rPr>
          <w:sz w:val="18"/>
          <w:szCs w:val="18"/>
        </w:rPr>
        <w:t>) // S.Y.</w:t>
      </w:r>
      <w:r w:rsidRPr="0088113C">
        <w:rPr>
          <w:rStyle w:val="Style13ptBold"/>
          <w:szCs w:val="18"/>
        </w:rPr>
        <w:t xml:space="preserve"> </w:t>
      </w:r>
    </w:p>
    <w:p w:rsidR="009559DC" w:rsidRPr="0088113C" w:rsidRDefault="009559DC" w:rsidP="009559DC">
      <w:pPr>
        <w:rPr>
          <w:sz w:val="16"/>
        </w:rPr>
      </w:pPr>
      <w:r w:rsidRPr="0088113C">
        <w:rPr>
          <w:sz w:val="16"/>
        </w:rPr>
        <w:t>The Declaration on the Elimination of Violence Against Women defines “violence against women” as “any act of gender-based violence that results in, or is likely to result in, physical, sexual or psychological harm or suffering to women, including threats of such acts, coercion or arbitrary deprivation of liberty, whether occurring in public or private life.”</w:t>
      </w:r>
    </w:p>
    <w:p w:rsidR="009559DC" w:rsidRPr="0088113C" w:rsidRDefault="009559DC" w:rsidP="009559DC">
      <w:pPr>
        <w:rPr>
          <w:rStyle w:val="StyleUnderline"/>
        </w:rPr>
      </w:pPr>
      <w:r w:rsidRPr="0088113C">
        <w:rPr>
          <w:rStyle w:val="StyleUnderline"/>
        </w:rPr>
        <w:t xml:space="preserve">It has taken decades of struggle by the women’s rights movement to persuade the international community to view gender-based violence against women as a human rights concern and not just as a private matter </w:t>
      </w:r>
      <w:r w:rsidRPr="0088113C">
        <w:rPr>
          <w:sz w:val="16"/>
        </w:rPr>
        <w:t xml:space="preserve">in which the State should not interfere. In 1992, the CEDAW Committee in its General Recommendation No. 19, asserted that </w:t>
      </w:r>
      <w:r w:rsidRPr="0088113C">
        <w:rPr>
          <w:rStyle w:val="StyleUnderline"/>
        </w:rPr>
        <w:t>violence against women is a form of discrimination, directed towards a woman because she is a woman or that affects women disproportionately. This violence seriously inhibits women’s ability to enjoy rights and freedoms on a basis of equality with men.</w:t>
      </w:r>
      <w:r w:rsidRPr="0088113C">
        <w:rPr>
          <w:sz w:val="16"/>
        </w:rPr>
        <w:t xml:space="preserve"> In December 1993, the </w:t>
      </w:r>
      <w:r w:rsidRPr="0088113C">
        <w:rPr>
          <w:rStyle w:val="StyleUnderline"/>
        </w:rPr>
        <w:t xml:space="preserve">Declaration on the Elimination of Violence Against Women, recognized that </w:t>
      </w:r>
      <w:r w:rsidRPr="0088113C">
        <w:rPr>
          <w:rStyle w:val="Emphasis"/>
        </w:rPr>
        <w:t>violence against women violates women's rights and fundamental freedoms</w:t>
      </w:r>
      <w:r w:rsidRPr="0088113C">
        <w:rPr>
          <w:rStyle w:val="StyleUnderline"/>
        </w:rPr>
        <w:t xml:space="preserve"> and called on states and the international community to work toward the eradication of violence against women.</w:t>
      </w:r>
      <w:r w:rsidRPr="0088113C">
        <w:rPr>
          <w:sz w:val="16"/>
        </w:rPr>
        <w:t xml:space="preserve"> The same year, </w:t>
      </w:r>
      <w:r w:rsidRPr="0088113C">
        <w:rPr>
          <w:rStyle w:val="StyleUnderline"/>
        </w:rPr>
        <w:t xml:space="preserve">the Vienna Declaration and </w:t>
      </w:r>
      <w:proofErr w:type="spellStart"/>
      <w:r w:rsidRPr="0088113C">
        <w:rPr>
          <w:rStyle w:val="StyleUnderline"/>
        </w:rPr>
        <w:t>Programme</w:t>
      </w:r>
      <w:proofErr w:type="spellEnd"/>
      <w:r w:rsidRPr="0088113C">
        <w:rPr>
          <w:rStyle w:val="StyleUnderline"/>
        </w:rPr>
        <w:t xml:space="preserve"> of Action recognized that </w:t>
      </w:r>
      <w:r w:rsidRPr="0088113C">
        <w:rPr>
          <w:rStyle w:val="Emphasis"/>
        </w:rPr>
        <w:t>the elimination of violence against women in public and private life is a human rights obligation.</w:t>
      </w:r>
      <w:r w:rsidRPr="0088113C">
        <w:rPr>
          <w:sz w:val="16"/>
        </w:rPr>
        <w:t xml:space="preserve"> The then Commission on Human Rights condemned gender-based violence for the first time in 1994 and the same year appointed a Special Rapporteur on violence against women, its causes and consequences. </w:t>
      </w:r>
      <w:r w:rsidRPr="0088113C">
        <w:rPr>
          <w:rStyle w:val="StyleUnderline"/>
        </w:rPr>
        <w:t xml:space="preserve">The 1995 UN World Conference on Women held in Beijing reaffirmed the conclusions of the Vienna Conference, listing violence against women as one of the critical areas of concern. In 2017, the CEDAW Committee, </w:t>
      </w:r>
      <w:r w:rsidRPr="0088113C">
        <w:rPr>
          <w:sz w:val="16"/>
        </w:rPr>
        <w:t>marking 25th anniversary of its General Recommendation No. 19,</w:t>
      </w:r>
      <w:r w:rsidRPr="0088113C">
        <w:rPr>
          <w:rStyle w:val="StyleUnderline"/>
        </w:rPr>
        <w:t xml:space="preserve"> further elaborated international standards on gender-based violence against women in its General Recommendation No. 35</w:t>
      </w:r>
      <w:r w:rsidRPr="0088113C">
        <w:rPr>
          <w:sz w:val="16"/>
        </w:rPr>
        <w:t xml:space="preserve">. In General Recommendation No. 35, </w:t>
      </w:r>
      <w:r w:rsidRPr="0088113C">
        <w:rPr>
          <w:rStyle w:val="StyleUnderline"/>
        </w:rPr>
        <w:t xml:space="preserve">the CEDAW Committee recognized that the </w:t>
      </w:r>
      <w:r w:rsidRPr="0088113C">
        <w:rPr>
          <w:rStyle w:val="Emphasis"/>
        </w:rPr>
        <w:t>prohibition of gender-based violence against women</w:t>
      </w:r>
      <w:r w:rsidRPr="0088113C">
        <w:rPr>
          <w:rStyle w:val="StyleUnderline"/>
        </w:rPr>
        <w:t xml:space="preserve"> has </w:t>
      </w:r>
      <w:r w:rsidRPr="0088113C">
        <w:rPr>
          <w:rStyle w:val="Emphasis"/>
        </w:rPr>
        <w:t xml:space="preserve">evolved into a principle of </w:t>
      </w:r>
      <w:r w:rsidRPr="0088113C">
        <w:rPr>
          <w:rStyle w:val="StyleUnderline"/>
        </w:rPr>
        <w:t>customary</w:t>
      </w:r>
      <w:r w:rsidRPr="0088113C">
        <w:rPr>
          <w:rStyle w:val="Emphasis"/>
        </w:rPr>
        <w:t xml:space="preserve"> international law</w:t>
      </w:r>
      <w:r w:rsidRPr="0088113C">
        <w:rPr>
          <w:rStyle w:val="StyleUnderline"/>
        </w:rPr>
        <w:t>, binding all States.</w:t>
      </w:r>
    </w:p>
    <w:p w:rsidR="009559DC" w:rsidRPr="0088113C" w:rsidRDefault="009559DC" w:rsidP="009559DC">
      <w:pPr>
        <w:rPr>
          <w:sz w:val="16"/>
        </w:rPr>
      </w:pPr>
      <w:r w:rsidRPr="0088113C">
        <w:rPr>
          <w:rStyle w:val="StyleUnderline"/>
        </w:rPr>
        <w:t>Framing gender-based violence against women as a human rights violation implies an important conceptual shift. It means recognizing that women are not exposed to violence by accident</w:t>
      </w:r>
      <w:r w:rsidRPr="0088113C">
        <w:rPr>
          <w:sz w:val="16"/>
        </w:rPr>
        <w:t xml:space="preserve">, or because of an in-born vulnerability. Instead, </w:t>
      </w:r>
      <w:r w:rsidRPr="0088113C">
        <w:rPr>
          <w:rStyle w:val="StyleUnderline"/>
        </w:rPr>
        <w:t>violence is the result of structural, deep-rooted discrimination which the state has an obligation to address. Preventing and addressing gender-based violence against women is therefore not a charitable act. It is a legal and moral obligation requiring legislative, administrative and institutional measures and reforms</w:t>
      </w:r>
      <w:r w:rsidRPr="0088113C">
        <w:rPr>
          <w:sz w:val="16"/>
        </w:rPr>
        <w:t xml:space="preserve"> and the eradication of gender stereotypes which condone or </w:t>
      </w:r>
      <w:proofErr w:type="gramStart"/>
      <w:r w:rsidRPr="0088113C">
        <w:rPr>
          <w:sz w:val="16"/>
        </w:rPr>
        <w:t>perpetuate  gender</w:t>
      </w:r>
      <w:proofErr w:type="gramEnd"/>
      <w:r w:rsidRPr="0088113C">
        <w:rPr>
          <w:sz w:val="16"/>
        </w:rPr>
        <w:t>-based violence against women and underpin the structural inequality of women with men.</w:t>
      </w:r>
    </w:p>
    <w:p w:rsidR="009559DC" w:rsidRPr="0088113C" w:rsidRDefault="009559DC" w:rsidP="009559DC">
      <w:pPr>
        <w:rPr>
          <w:sz w:val="16"/>
        </w:rPr>
      </w:pPr>
      <w:r w:rsidRPr="0088113C">
        <w:rPr>
          <w:rStyle w:val="StyleUnderline"/>
        </w:rPr>
        <w:t>The Declaration on the Elimination of Violence Against Women and the CEDAW General Recommendation No. 35 provide for the concept of due diligence obligation of States</w:t>
      </w:r>
      <w:r w:rsidRPr="0088113C">
        <w:rPr>
          <w:sz w:val="16"/>
        </w:rPr>
        <w:t xml:space="preserve">. Under this obligation, </w:t>
      </w:r>
      <w:r w:rsidRPr="0088113C">
        <w:rPr>
          <w:rStyle w:val="StyleUnderline"/>
        </w:rPr>
        <w:t>States have a duty to take positive action to prevent and protect women from violence, punish perpetrators</w:t>
      </w:r>
      <w:r w:rsidRPr="0088113C">
        <w:rPr>
          <w:sz w:val="16"/>
        </w:rPr>
        <w:t xml:space="preserve"> of violent acts </w:t>
      </w:r>
      <w:r w:rsidRPr="0088113C">
        <w:rPr>
          <w:rStyle w:val="StyleUnderline"/>
        </w:rPr>
        <w:t>and compensate victims</w:t>
      </w:r>
      <w:r w:rsidRPr="0088113C">
        <w:rPr>
          <w:sz w:val="16"/>
        </w:rPr>
        <w:t xml:space="preserve"> of violence. The principle of </w:t>
      </w:r>
      <w:r w:rsidRPr="0088113C">
        <w:rPr>
          <w:rStyle w:val="StyleUnderline"/>
        </w:rPr>
        <w:t>due diligence</w:t>
      </w:r>
      <w:r w:rsidRPr="0088113C">
        <w:rPr>
          <w:sz w:val="16"/>
        </w:rPr>
        <w:t xml:space="preserve"> is crucial as it </w:t>
      </w:r>
      <w:r w:rsidRPr="0088113C">
        <w:rPr>
          <w:rStyle w:val="StyleUnderline"/>
        </w:rPr>
        <w:t>provides the missing link between human rights obligations and acts of private persons</w:t>
      </w:r>
      <w:r w:rsidRPr="0088113C">
        <w:rPr>
          <w:sz w:val="16"/>
        </w:rPr>
        <w:t>.</w:t>
      </w:r>
    </w:p>
    <w:p w:rsidR="009559DC" w:rsidRPr="0088113C" w:rsidRDefault="009559DC" w:rsidP="009559DC">
      <w:pPr>
        <w:rPr>
          <w:sz w:val="16"/>
        </w:rPr>
      </w:pPr>
      <w:r w:rsidRPr="0088113C">
        <w:rPr>
          <w:sz w:val="16"/>
        </w:rPr>
        <w:t xml:space="preserve">Considerable progress has been made in many countries of the world. Comprehensive legal frameworks and specific institutions and policies have been put in place to promote women’s rights, prevent and protect women from violence. There is growing awareness </w:t>
      </w:r>
      <w:r w:rsidRPr="0088113C">
        <w:rPr>
          <w:sz w:val="16"/>
        </w:rPr>
        <w:lastRenderedPageBreak/>
        <w:t>of the nature and impact of violence against women around the world. Innovative and promising practices are reported every year to the General Assembly, the Human Rights Council and the Commission on the Status of Women, including in the areas of investigations, prosecution and provision of services.</w:t>
      </w:r>
    </w:p>
    <w:p w:rsidR="009559DC" w:rsidRPr="00090B87" w:rsidRDefault="009559DC" w:rsidP="009559DC">
      <w:pPr>
        <w:rPr>
          <w:sz w:val="16"/>
        </w:rPr>
      </w:pPr>
      <w:r w:rsidRPr="0088113C">
        <w:rPr>
          <w:sz w:val="16"/>
        </w:rPr>
        <w:t>Yet, the figures on prevalence of violence against women are alarming. According to data by the World Health Organization, one third of women globally experience violence at least once in their lifetime. There are still obstacles to women’s access to justice, resulting into widespread impunity for violence. Considerable efforts are still required to promote women’s and girls’ autonomy and choice and to ensure the realization of the right of women and girls to a life free from violence</w:t>
      </w:r>
    </w:p>
    <w:p w:rsidR="009559DC" w:rsidRDefault="00C51C19" w:rsidP="00C51C19">
      <w:pPr>
        <w:pStyle w:val="Heading3"/>
      </w:pPr>
      <w:r>
        <w:lastRenderedPageBreak/>
        <w:t xml:space="preserve">AT: </w:t>
      </w:r>
      <w:proofErr w:type="spellStart"/>
      <w:r>
        <w:t>Necropolitics</w:t>
      </w:r>
      <w:proofErr w:type="spellEnd"/>
    </w:p>
    <w:p w:rsidR="00C51C19" w:rsidRPr="00276D14" w:rsidRDefault="0067627F" w:rsidP="00C51C19">
      <w:pPr>
        <w:pStyle w:val="Heading4"/>
        <w:rPr>
          <w:sz w:val="28"/>
        </w:rPr>
      </w:pPr>
      <w:r>
        <w:rPr>
          <w:sz w:val="28"/>
        </w:rPr>
        <w:t>G</w:t>
      </w:r>
      <w:r w:rsidR="00C51C19" w:rsidRPr="00276D14">
        <w:rPr>
          <w:sz w:val="28"/>
        </w:rPr>
        <w:t xml:space="preserve">endered violence operates as an implicit mechanism of </w:t>
      </w:r>
      <w:proofErr w:type="spellStart"/>
      <w:r w:rsidR="00C51C19" w:rsidRPr="00276D14">
        <w:rPr>
          <w:sz w:val="28"/>
        </w:rPr>
        <w:t>necropolitics</w:t>
      </w:r>
      <w:proofErr w:type="spellEnd"/>
      <w:r w:rsidR="00C51C19" w:rsidRPr="00276D14">
        <w:rPr>
          <w:sz w:val="28"/>
        </w:rPr>
        <w:t xml:space="preserve"> </w:t>
      </w:r>
    </w:p>
    <w:p w:rsidR="00C51C19" w:rsidRPr="00276D14" w:rsidRDefault="00C51C19" w:rsidP="00C51C19">
      <w:r w:rsidRPr="00276D14">
        <w:rPr>
          <w:b/>
          <w:bCs/>
        </w:rPr>
        <w:t>Wright 11</w:t>
      </w:r>
      <w:r w:rsidRPr="00276D14">
        <w:t xml:space="preserve"> </w:t>
      </w:r>
      <w:r>
        <w:t>(</w:t>
      </w:r>
      <w:r w:rsidRPr="00276D14">
        <w:rPr>
          <w:sz w:val="16"/>
          <w:szCs w:val="16"/>
        </w:rPr>
        <w:t>Melissa W. Wright, Professor of Women's, Gender, and Sexuality Studies and Geography, “</w:t>
      </w:r>
      <w:proofErr w:type="spellStart"/>
      <w:r w:rsidRPr="00276D14">
        <w:rPr>
          <w:sz w:val="16"/>
          <w:szCs w:val="16"/>
        </w:rPr>
        <w:t>Necropolitics</w:t>
      </w:r>
      <w:proofErr w:type="spellEnd"/>
      <w:r w:rsidRPr="00276D14">
        <w:rPr>
          <w:sz w:val="16"/>
          <w:szCs w:val="16"/>
        </w:rPr>
        <w:t xml:space="preserve">, </w:t>
      </w:r>
      <w:proofErr w:type="spellStart"/>
      <w:r w:rsidRPr="00276D14">
        <w:rPr>
          <w:sz w:val="16"/>
          <w:szCs w:val="16"/>
        </w:rPr>
        <w:t>Narcopolitics</w:t>
      </w:r>
      <w:proofErr w:type="spellEnd"/>
      <w:r w:rsidRPr="00276D14">
        <w:rPr>
          <w:sz w:val="16"/>
          <w:szCs w:val="16"/>
        </w:rPr>
        <w:t>, and Femicide: Gendered Violence on the Mexico-U.S. Border”, Vol. 36, No. 3 (March 2011), pp. 707-731, https://www.jstor.org/stable/10.1086/657496</w:t>
      </w:r>
      <w:r>
        <w:rPr>
          <w:sz w:val="16"/>
          <w:szCs w:val="16"/>
        </w:rPr>
        <w:t>)//kb</w:t>
      </w:r>
    </w:p>
    <w:p w:rsidR="00C51C19" w:rsidRDefault="00C51C19" w:rsidP="00C51C19">
      <w:pPr>
        <w:rPr>
          <w:sz w:val="16"/>
        </w:rPr>
      </w:pPr>
      <w:r w:rsidRPr="00276D14">
        <w:rPr>
          <w:sz w:val="16"/>
        </w:rPr>
        <w:t xml:space="preserve">With this concept of </w:t>
      </w:r>
      <w:proofErr w:type="spellStart"/>
      <w:r w:rsidRPr="00276D14">
        <w:rPr>
          <w:sz w:val="16"/>
        </w:rPr>
        <w:t>necropolitics</w:t>
      </w:r>
      <w:proofErr w:type="spellEnd"/>
      <w:r w:rsidRPr="00276D14">
        <w:rPr>
          <w:sz w:val="16"/>
        </w:rPr>
        <w:t xml:space="preserve"> in mind, I examine how the wars over the political meaning of death in relation both to </w:t>
      </w:r>
      <w:r w:rsidRPr="00276D14">
        <w:rPr>
          <w:u w:val="single"/>
        </w:rPr>
        <w:t>femicide and</w:t>
      </w:r>
      <w:r w:rsidRPr="00276D14">
        <w:rPr>
          <w:sz w:val="16"/>
        </w:rPr>
        <w:t xml:space="preserve"> to the events called </w:t>
      </w:r>
      <w:r w:rsidRPr="00276D14">
        <w:rPr>
          <w:u w:val="single"/>
        </w:rPr>
        <w:t>drug violence unfold through a gendering of space, of violence, and of subjectivity</w:t>
      </w:r>
      <w:r w:rsidRPr="00276D14">
        <w:rPr>
          <w:sz w:val="16"/>
        </w:rPr>
        <w:t xml:space="preserve">. My objective is twofold: first, to demonstrate how the </w:t>
      </w:r>
      <w:proofErr w:type="spellStart"/>
      <w:r w:rsidRPr="00276D14">
        <w:rPr>
          <w:sz w:val="16"/>
        </w:rPr>
        <w:t>antifemicide</w:t>
      </w:r>
      <w:proofErr w:type="spellEnd"/>
      <w:r w:rsidRPr="00276D14">
        <w:rPr>
          <w:sz w:val="16"/>
        </w:rPr>
        <w:t xml:space="preserve"> movement illustrates the stakes for a democratic Mexican state and its citizens while governing elites argue that the violence devastating Ciudad </w:t>
      </w:r>
      <w:proofErr w:type="spellStart"/>
      <w:r w:rsidRPr="00276D14">
        <w:rPr>
          <w:sz w:val="16"/>
        </w:rPr>
        <w:t>Jua´rez</w:t>
      </w:r>
      <w:proofErr w:type="spellEnd"/>
      <w:r w:rsidRPr="00276D14">
        <w:rPr>
          <w:sz w:val="16"/>
        </w:rPr>
        <w:t xml:space="preserve"> is a positive outcome of the government’s war against organized crime; and second, to show how </w:t>
      </w:r>
      <w:r w:rsidRPr="00276D14">
        <w:rPr>
          <w:u w:val="single"/>
        </w:rPr>
        <w:t>a politics of gender is central to</w:t>
      </w:r>
      <w:r w:rsidRPr="00276D14">
        <w:rPr>
          <w:sz w:val="16"/>
        </w:rPr>
        <w:t xml:space="preserve"> this kind of</w:t>
      </w:r>
      <w:r w:rsidRPr="00276D14">
        <w:rPr>
          <w:u w:val="single"/>
        </w:rPr>
        <w:t xml:space="preserve"> </w:t>
      </w:r>
      <w:proofErr w:type="spellStart"/>
      <w:r w:rsidRPr="00276D14">
        <w:rPr>
          <w:u w:val="single"/>
        </w:rPr>
        <w:t>necropolitics</w:t>
      </w:r>
      <w:proofErr w:type="spellEnd"/>
      <w:r w:rsidRPr="00276D14">
        <w:rPr>
          <w:sz w:val="16"/>
        </w:rPr>
        <w:t xml:space="preserve">. I am not the first feminist theorist to point out that </w:t>
      </w:r>
      <w:r w:rsidRPr="00276D14">
        <w:rPr>
          <w:u w:val="single"/>
        </w:rPr>
        <w:t>gender politics are foundational not only to the formation of the liberal democratic institutions that emerged out of the destruction</w:t>
      </w:r>
      <w:r w:rsidRPr="00276D14">
        <w:rPr>
          <w:sz w:val="16"/>
        </w:rPr>
        <w:t>. Wright of absolutist states but also to the organization of states as the legitimate arbiters of violence (</w:t>
      </w:r>
      <w:proofErr w:type="spellStart"/>
      <w:r w:rsidRPr="00276D14">
        <w:rPr>
          <w:sz w:val="16"/>
        </w:rPr>
        <w:t>Landes</w:t>
      </w:r>
      <w:proofErr w:type="spellEnd"/>
      <w:r w:rsidRPr="00276D14">
        <w:rPr>
          <w:sz w:val="16"/>
        </w:rPr>
        <w:t xml:space="preserve"> 1988; Melzer and </w:t>
      </w:r>
      <w:proofErr w:type="spellStart"/>
      <w:r w:rsidRPr="00276D14">
        <w:rPr>
          <w:sz w:val="16"/>
        </w:rPr>
        <w:t>Rabine</w:t>
      </w:r>
      <w:proofErr w:type="spellEnd"/>
      <w:r w:rsidRPr="00276D14">
        <w:rPr>
          <w:sz w:val="16"/>
        </w:rPr>
        <w:t xml:space="preserve"> 1992; McMillan 2009). For instance, as historian Joan </w:t>
      </w:r>
      <w:proofErr w:type="spellStart"/>
      <w:r w:rsidRPr="00276D14">
        <w:rPr>
          <w:sz w:val="16"/>
        </w:rPr>
        <w:t>Landes</w:t>
      </w:r>
      <w:proofErr w:type="spellEnd"/>
      <w:r w:rsidRPr="00276D14">
        <w:rPr>
          <w:sz w:val="16"/>
        </w:rPr>
        <w:t xml:space="preserve"> has written, “</w:t>
      </w:r>
      <w:r w:rsidRPr="00276D14">
        <w:rPr>
          <w:u w:val="single"/>
        </w:rPr>
        <w:t>a pervasive gendering of the public sphere” operates as a “mechanism of violence” for defining and controlling the modern liberal subject around the exclusion of “the feminine” from the public sphere of politics, economy, and culture</w:t>
      </w:r>
      <w:r w:rsidRPr="00276D14">
        <w:rPr>
          <w:sz w:val="16"/>
        </w:rPr>
        <w:t xml:space="preserve"> (1988, 2). </w:t>
      </w:r>
      <w:r w:rsidRPr="00276D14">
        <w:rPr>
          <w:u w:val="single"/>
        </w:rPr>
        <w:t xml:space="preserve">Gender, in other words, is central to the violent dynamics linking the production of states to the reproduction of their subjects. As the proliferation of gendered violence around the world indicates, this kind of violence is constitutive of </w:t>
      </w:r>
      <w:proofErr w:type="spellStart"/>
      <w:r w:rsidRPr="00276D14">
        <w:rPr>
          <w:u w:val="single"/>
        </w:rPr>
        <w:t>necropolitics</w:t>
      </w:r>
      <w:proofErr w:type="spellEnd"/>
      <w:r w:rsidRPr="00276D14">
        <w:rPr>
          <w:u w:val="single"/>
        </w:rPr>
        <w:t>: the politics of death and the politics of gender go hand in hand</w:t>
      </w:r>
      <w:r w:rsidRPr="00276D14">
        <w:rPr>
          <w:sz w:val="16"/>
        </w:rPr>
        <w:t xml:space="preserve"> (United Nations 2006). As the </w:t>
      </w:r>
      <w:proofErr w:type="spellStart"/>
      <w:r w:rsidRPr="00276D14">
        <w:rPr>
          <w:sz w:val="16"/>
        </w:rPr>
        <w:t>antifemicide</w:t>
      </w:r>
      <w:proofErr w:type="spellEnd"/>
      <w:r w:rsidRPr="00276D14">
        <w:rPr>
          <w:sz w:val="16"/>
        </w:rPr>
        <w:t xml:space="preserve"> movement clearly demonstrates, however, the neglect of gender so prevalent in discussions such as </w:t>
      </w:r>
      <w:proofErr w:type="spellStart"/>
      <w:r w:rsidRPr="00276D14">
        <w:rPr>
          <w:sz w:val="16"/>
        </w:rPr>
        <w:t>Mbembe’s</w:t>
      </w:r>
      <w:proofErr w:type="spellEnd"/>
      <w:r w:rsidRPr="00276D14">
        <w:rPr>
          <w:sz w:val="16"/>
        </w:rPr>
        <w:t xml:space="preserve"> limits the political possibilities for subverting the relations of power reproduced through gendered </w:t>
      </w:r>
      <w:proofErr w:type="spellStart"/>
      <w:r w:rsidRPr="00276D14">
        <w:rPr>
          <w:sz w:val="16"/>
        </w:rPr>
        <w:t>necropolitics</w:t>
      </w:r>
      <w:proofErr w:type="spellEnd"/>
      <w:r w:rsidRPr="00276D14">
        <w:rPr>
          <w:sz w:val="16"/>
        </w:rPr>
        <w:t xml:space="preserve"> as people encounter the violence of gender in their daily lives (</w:t>
      </w:r>
      <w:proofErr w:type="spellStart"/>
      <w:r w:rsidRPr="00276D14">
        <w:rPr>
          <w:sz w:val="16"/>
        </w:rPr>
        <w:t>Ahmetbeyzade</w:t>
      </w:r>
      <w:proofErr w:type="spellEnd"/>
      <w:r w:rsidRPr="00276D14">
        <w:rPr>
          <w:sz w:val="16"/>
        </w:rPr>
        <w:t xml:space="preserve"> 2008).2</w:t>
      </w:r>
    </w:p>
    <w:p w:rsidR="0067627F" w:rsidRDefault="0067627F" w:rsidP="0067627F">
      <w:pPr>
        <w:pStyle w:val="Heading3"/>
      </w:pPr>
      <w:r>
        <w:lastRenderedPageBreak/>
        <w:t>AT: Essentialism</w:t>
      </w:r>
    </w:p>
    <w:p w:rsidR="0067627F" w:rsidRPr="00676953" w:rsidRDefault="00352492" w:rsidP="0067627F">
      <w:pPr>
        <w:pStyle w:val="Heading4"/>
        <w:rPr>
          <w:rFonts w:asciiTheme="majorHAnsi" w:hAnsiTheme="majorHAnsi" w:cstheme="majorHAnsi"/>
        </w:rPr>
      </w:pPr>
      <w:r>
        <w:rPr>
          <w:rFonts w:asciiTheme="majorHAnsi" w:hAnsiTheme="majorHAnsi" w:cstheme="majorHAnsi"/>
        </w:rPr>
        <w:t>We’ve link turned this- small arms are a crucial internal to maintaining gender stereotypes and hierarchies.</w:t>
      </w:r>
    </w:p>
    <w:p w:rsidR="0067627F" w:rsidRPr="00676953" w:rsidRDefault="0067627F" w:rsidP="0067627F">
      <w:pPr>
        <w:rPr>
          <w:rStyle w:val="Style13ptBold"/>
          <w:rFonts w:asciiTheme="majorHAnsi" w:hAnsiTheme="majorHAnsi" w:cstheme="majorHAnsi"/>
        </w:rPr>
      </w:pPr>
      <w:r w:rsidRPr="00676953">
        <w:rPr>
          <w:rStyle w:val="Style13ptBold"/>
          <w:rFonts w:asciiTheme="majorHAnsi" w:hAnsiTheme="majorHAnsi" w:cstheme="majorHAnsi"/>
        </w:rPr>
        <w:t>Farr 02</w:t>
      </w:r>
    </w:p>
    <w:p w:rsidR="0067627F" w:rsidRPr="00676953" w:rsidRDefault="0067627F" w:rsidP="0067627F">
      <w:pPr>
        <w:rPr>
          <w:rStyle w:val="Style13ptBold"/>
          <w:rFonts w:asciiTheme="majorHAnsi" w:hAnsiTheme="majorHAnsi" w:cstheme="majorHAnsi"/>
          <w:sz w:val="20"/>
          <w:szCs w:val="20"/>
        </w:rPr>
      </w:pPr>
      <w:r w:rsidRPr="00676953">
        <w:rPr>
          <w:rStyle w:val="Style13ptBold"/>
          <w:rFonts w:asciiTheme="majorHAnsi" w:hAnsiTheme="majorHAnsi" w:cstheme="majorHAnsi"/>
          <w:sz w:val="20"/>
          <w:szCs w:val="20"/>
        </w:rPr>
        <w:t>(Vanessa A. Farr, African Women’s Anti-War Coalition, A Gendered Analysis of International Agreements on Small Arms and Light Weapons, in Brief 24: Gender Perspectives on Small Arms and Light Weapons, Bonn International Center for Conversion, July 2002, http://www.seesac.org/f/tmp/files/failovi/210.pdf#page=25, JKS)</w:t>
      </w:r>
    </w:p>
    <w:p w:rsidR="0067627F" w:rsidRPr="0092753F" w:rsidRDefault="0067627F" w:rsidP="0067627F">
      <w:pPr>
        <w:rPr>
          <w:rStyle w:val="StyleUnderline"/>
        </w:rPr>
      </w:pPr>
      <w:r w:rsidRPr="0092753F">
        <w:rPr>
          <w:rFonts w:asciiTheme="majorHAnsi" w:hAnsiTheme="majorHAnsi" w:cstheme="majorHAnsi"/>
          <w:sz w:val="14"/>
        </w:rPr>
        <w:t xml:space="preserve">It is not, however, the only reason. Although, as we have seen, the relationship between the violation of women’s rights and the abuse of weapons is alluded to in Declarations, Protocols, Plans of Action and </w:t>
      </w:r>
      <w:r w:rsidRPr="0002683A">
        <w:rPr>
          <w:rStyle w:val="StyleUnderline"/>
        </w:rPr>
        <w:t xml:space="preserve">other such attempts to manage SALW, the majority of these documents </w:t>
      </w:r>
      <w:r w:rsidRPr="0092753F">
        <w:rPr>
          <w:rFonts w:asciiTheme="majorHAnsi" w:hAnsiTheme="majorHAnsi" w:cstheme="majorHAnsi"/>
          <w:sz w:val="14"/>
        </w:rPr>
        <w:t xml:space="preserve">mention the impact of gun proliferation on women in such a way that they </w:t>
      </w:r>
      <w:r w:rsidRPr="0002683A">
        <w:rPr>
          <w:rStyle w:val="StyleUnderline"/>
        </w:rPr>
        <w:t>do little to challenge existing gender ideologies about “women as victims” and “men as perpetrators.”</w:t>
      </w:r>
      <w:r w:rsidRPr="0092753F">
        <w:rPr>
          <w:rFonts w:asciiTheme="majorHAnsi" w:hAnsiTheme="majorHAnsi" w:cstheme="majorHAnsi"/>
          <w:sz w:val="14"/>
        </w:rPr>
        <w:t xml:space="preserve"> </w:t>
      </w:r>
      <w:r w:rsidRPr="0002683A">
        <w:rPr>
          <w:rStyle w:val="StyleUnderline"/>
        </w:rPr>
        <w:t>Such an unreflective endorsement of gender stereotypes offers no space in which to analyze the real complexities of gender roles in wartime, including the fact that women are frequently very active in periods of struggle, as fighters and supporters, and that war sometimes allows women to take on roles that might not be open to them in times of peace.</w:t>
      </w:r>
      <w:r w:rsidRPr="0092753F">
        <w:rPr>
          <w:rFonts w:asciiTheme="majorHAnsi" w:hAnsiTheme="majorHAnsi" w:cstheme="majorHAnsi"/>
          <w:sz w:val="14"/>
        </w:rPr>
        <w:t xml:space="preserve"> </w:t>
      </w:r>
      <w:r w:rsidRPr="0002683A">
        <w:rPr>
          <w:rStyle w:val="StyleUnderline"/>
        </w:rPr>
        <w:t>These roles may include women’s participation in the proliferation and normalization of guns, either because they carry and use light weapons, or because they participate in liberation struggles by smuggling arms or hiding weapons and/or their bearers.</w:t>
      </w:r>
      <w:r w:rsidRPr="0092753F">
        <w:rPr>
          <w:rFonts w:asciiTheme="majorHAnsi" w:hAnsiTheme="majorHAnsi" w:cstheme="majorHAnsi"/>
          <w:sz w:val="14"/>
        </w:rPr>
        <w:t xml:space="preserve"> As feminist analysts maintain, </w:t>
      </w:r>
      <w:r w:rsidRPr="0002683A">
        <w:rPr>
          <w:rStyle w:val="Emphasis"/>
        </w:rPr>
        <w:t>one of the most egregious effects of gender stereotyping is to make invisible women’s complex participation in social events and political processes.</w:t>
      </w:r>
      <w:r w:rsidRPr="0092753F">
        <w:rPr>
          <w:rFonts w:asciiTheme="majorHAnsi" w:hAnsiTheme="majorHAnsi" w:cstheme="majorHAnsi"/>
          <w:sz w:val="14"/>
        </w:rPr>
        <w:t xml:space="preserve"> While feminist activists in non-conflict situations have made some progress in correcting women’s exclusion from influential public arenas by contending gender ideologies that identify women with the domestic arena alone, it has proven much more difficult to extend the same right to women who are caught up in violent conflicts. In a world where poverty and dispossession are on the rise, armed violence is increasingly the result of contestations of identity. </w:t>
      </w:r>
      <w:r w:rsidRPr="0092753F">
        <w:rPr>
          <w:rStyle w:val="StyleUnderline"/>
        </w:rPr>
        <w:t>It is essential</w:t>
      </w:r>
      <w:r w:rsidRPr="0092753F">
        <w:rPr>
          <w:rFonts w:asciiTheme="majorHAnsi" w:hAnsiTheme="majorHAnsi" w:cstheme="majorHAnsi"/>
          <w:sz w:val="14"/>
        </w:rPr>
        <w:t xml:space="preserve">, then, </w:t>
      </w:r>
      <w:r w:rsidRPr="0092753F">
        <w:rPr>
          <w:rStyle w:val="StyleUnderline"/>
        </w:rPr>
        <w:t xml:space="preserve">to understand how </w:t>
      </w:r>
      <w:r w:rsidRPr="0092753F">
        <w:rPr>
          <w:rStyle w:val="Emphasis"/>
        </w:rPr>
        <w:t>gender identities are mobilized in support of the machinery of war</w:t>
      </w:r>
      <w:r w:rsidRPr="0092753F">
        <w:rPr>
          <w:rFonts w:asciiTheme="majorHAnsi" w:hAnsiTheme="majorHAnsi" w:cstheme="majorHAnsi"/>
          <w:sz w:val="14"/>
        </w:rPr>
        <w:t xml:space="preserve">. In assessing this issue, feminist theorists have proved that </w:t>
      </w:r>
      <w:r w:rsidRPr="0092753F">
        <w:rPr>
          <w:rStyle w:val="StyleUnderline"/>
        </w:rPr>
        <w:t>ideas about women and femininity form an essential part of the process of constructing a male identity that is deemed appropriate for a warring society</w:t>
      </w:r>
      <w:r w:rsidRPr="0092753F">
        <w:rPr>
          <w:rFonts w:asciiTheme="majorHAnsi" w:hAnsiTheme="majorHAnsi" w:cstheme="majorHAnsi"/>
          <w:sz w:val="14"/>
        </w:rPr>
        <w:t xml:space="preserve">. Cynthia Enloe notes that the manipulation of notions of gender-appropriate behavior is a central component of ethnic nationalism (Enloe, 1998), and holds that </w:t>
      </w:r>
      <w:r w:rsidRPr="0092753F">
        <w:rPr>
          <w:rStyle w:val="StyleUnderline"/>
        </w:rPr>
        <w:t xml:space="preserve">the “militarization of women has been crucial for the militarization of governments and of international relations. The militarization of women has been necessary for the militarization of men” </w:t>
      </w:r>
      <w:r w:rsidRPr="0092753F">
        <w:rPr>
          <w:rFonts w:asciiTheme="majorHAnsi" w:hAnsiTheme="majorHAnsi" w:cstheme="majorHAnsi"/>
          <w:sz w:val="14"/>
        </w:rPr>
        <w:t xml:space="preserve">(Enloe, 2000 p. 3). Yet while significant attention has been paid to the ways in which men and ideas about masculinity are mobilized as part of the war machine -and this attention has not always been critical- it is only in recent years that we have begun to understand that women, and deeply-held beliefs about femininity, are also both militarized and mobilized in support of the ideology of war (Cock, 1991; Goldstein, 2001). While recognizing a pattern in the ways in which societies manipulate gender ideologies, feminist scholars have also worked to nuance our understanding of how women find ways to be active in determining their roles and the identities they take on to fulfill these roles during the build-up to war, in wartime, and afterwards. They have pointed out that even in the duress of conflict, women’s identities are strategic and shifting (Cockburn, 2001). </w:t>
      </w:r>
      <w:r w:rsidRPr="0092753F">
        <w:rPr>
          <w:rStyle w:val="StyleUnderline"/>
        </w:rPr>
        <w:t>Arguing against the predominant stereotypes of women as innately peaceful and men as inevitably warlike</w:t>
      </w:r>
      <w:r w:rsidRPr="0092753F">
        <w:rPr>
          <w:rFonts w:asciiTheme="majorHAnsi" w:hAnsiTheme="majorHAnsi" w:cstheme="majorHAnsi"/>
          <w:sz w:val="14"/>
        </w:rPr>
        <w:t xml:space="preserve"> (Fukuyama, 1998; Goldstein, 2001), </w:t>
      </w:r>
      <w:r w:rsidRPr="0092753F">
        <w:rPr>
          <w:rStyle w:val="StyleUnderline"/>
        </w:rPr>
        <w:t>feminists have urged that we recognize the complexity of gender ideologies and the multiple roles they play in drawing different social actors into war.</w:t>
      </w:r>
      <w:r w:rsidRPr="0092753F">
        <w:rPr>
          <w:rFonts w:asciiTheme="majorHAnsi" w:hAnsiTheme="majorHAnsi" w:cstheme="majorHAnsi"/>
          <w:sz w:val="14"/>
        </w:rPr>
        <w:t xml:space="preserve"> </w:t>
      </w:r>
      <w:r w:rsidRPr="0092753F">
        <w:rPr>
          <w:rStyle w:val="StyleUnderline"/>
        </w:rPr>
        <w:t>In peacetime, as in wartime, women display a wide variety of responses to organized and/or state-sanctioned forms of violence</w:t>
      </w:r>
      <w:r w:rsidRPr="0092753F">
        <w:rPr>
          <w:rFonts w:asciiTheme="majorHAnsi" w:hAnsiTheme="majorHAnsi" w:cstheme="majorHAnsi"/>
          <w:sz w:val="14"/>
        </w:rPr>
        <w:t>. There is a long and much-celebrated history of feminist pacifism (Schreiner, 1911), and some women, as peace activists, play essential roles in maintaining social connections, build coalitions across communities divided by violence, and therefore are ideally positioned to play important roles in rehabilitation, reconciliation, reintegration support and peacebuilding roles in the aftermath. It is important to remember, however, that their power is somewhat tempered by the fact that their influence will only be felt if adequate provision is made to include women in peace negotiations and reconstruction planning (</w:t>
      </w:r>
      <w:proofErr w:type="spellStart"/>
      <w:r w:rsidRPr="0092753F">
        <w:rPr>
          <w:rFonts w:asciiTheme="majorHAnsi" w:hAnsiTheme="majorHAnsi" w:cstheme="majorHAnsi"/>
          <w:sz w:val="14"/>
        </w:rPr>
        <w:t>Anderlini</w:t>
      </w:r>
      <w:proofErr w:type="spellEnd"/>
      <w:r w:rsidRPr="0092753F">
        <w:rPr>
          <w:rFonts w:asciiTheme="majorHAnsi" w:hAnsiTheme="majorHAnsi" w:cstheme="majorHAnsi"/>
          <w:sz w:val="14"/>
        </w:rPr>
        <w:t xml:space="preserve">, 2000; Farr 2000). At the same time, however, that women are celebrated as the peacemakers -whether or not they find opportunities to do any meaningful peacebuilding work- there are also many examples of women embracing “revolution with hope and war with enthusiasm” (Hill, 2001 p. 21). Even if they do not enlist as soldiers, women can, and do, participate in conflict through supporting and maintaining guerrilla forces. They supply the essentials of war: information, food, clothing and shelter. They nurse soldiers back to health. </w:t>
      </w:r>
      <w:r w:rsidRPr="0092753F">
        <w:rPr>
          <w:rStyle w:val="StyleUnderline"/>
        </w:rPr>
        <w:t xml:space="preserve">Women, then, are active in times of conflict in a </w:t>
      </w:r>
      <w:r w:rsidRPr="0092753F">
        <w:rPr>
          <w:rStyle w:val="StyleUnderline"/>
        </w:rPr>
        <w:lastRenderedPageBreak/>
        <w:t>variety of ways, whether in building peace or in supporting violence. Yet their contributions are all too frequently overlooked after conflict has come to an end.</w:t>
      </w:r>
      <w:r w:rsidRPr="0092753F">
        <w:rPr>
          <w:rFonts w:asciiTheme="majorHAnsi" w:hAnsiTheme="majorHAnsi" w:cstheme="majorHAnsi"/>
          <w:sz w:val="14"/>
        </w:rPr>
        <w:t xml:space="preserve"> As Linda Grant De </w:t>
      </w:r>
      <w:proofErr w:type="spellStart"/>
      <w:r w:rsidRPr="0092753F">
        <w:rPr>
          <w:rFonts w:asciiTheme="majorHAnsi" w:hAnsiTheme="majorHAnsi" w:cstheme="majorHAnsi"/>
          <w:sz w:val="14"/>
        </w:rPr>
        <w:t>Pauw</w:t>
      </w:r>
      <w:proofErr w:type="spellEnd"/>
      <w:r w:rsidRPr="0092753F">
        <w:rPr>
          <w:rFonts w:asciiTheme="majorHAnsi" w:hAnsiTheme="majorHAnsi" w:cstheme="majorHAnsi"/>
          <w:sz w:val="14"/>
        </w:rPr>
        <w:t xml:space="preserve"> writes: “Women have always and everywhere been inextricably involved in war [but] hidden from history</w:t>
      </w:r>
      <w:proofErr w:type="gramStart"/>
      <w:r w:rsidRPr="0092753F">
        <w:rPr>
          <w:rFonts w:asciiTheme="majorHAnsi" w:hAnsiTheme="majorHAnsi" w:cstheme="majorHAnsi"/>
          <w:sz w:val="14"/>
        </w:rPr>
        <w:t>....During</w:t>
      </w:r>
      <w:proofErr w:type="gramEnd"/>
      <w:r w:rsidRPr="0092753F">
        <w:rPr>
          <w:rFonts w:asciiTheme="majorHAnsi" w:hAnsiTheme="majorHAnsi" w:cstheme="majorHAnsi"/>
          <w:sz w:val="14"/>
        </w:rPr>
        <w:t xml:space="preserve"> wars, women are ubiquitous and highly visible; when wars are over and the songs are sung, women disappear” (De </w:t>
      </w:r>
      <w:proofErr w:type="spellStart"/>
      <w:r w:rsidRPr="0092753F">
        <w:rPr>
          <w:rFonts w:asciiTheme="majorHAnsi" w:hAnsiTheme="majorHAnsi" w:cstheme="majorHAnsi"/>
          <w:sz w:val="14"/>
        </w:rPr>
        <w:t>Pauw</w:t>
      </w:r>
      <w:proofErr w:type="spellEnd"/>
      <w:r w:rsidRPr="0092753F">
        <w:rPr>
          <w:rFonts w:asciiTheme="majorHAnsi" w:hAnsiTheme="majorHAnsi" w:cstheme="majorHAnsi"/>
          <w:sz w:val="14"/>
        </w:rPr>
        <w:t>, 1998 p. XIII). While many feminists have remarked that women’s peacebuilding activities receive too little recognition in the period of reconstruction (</w:t>
      </w:r>
      <w:proofErr w:type="spellStart"/>
      <w:r w:rsidRPr="0092753F">
        <w:rPr>
          <w:rFonts w:asciiTheme="majorHAnsi" w:hAnsiTheme="majorHAnsi" w:cstheme="majorHAnsi"/>
          <w:sz w:val="14"/>
        </w:rPr>
        <w:t>Anderlini</w:t>
      </w:r>
      <w:proofErr w:type="spellEnd"/>
      <w:r w:rsidRPr="0092753F">
        <w:rPr>
          <w:rFonts w:asciiTheme="majorHAnsi" w:hAnsiTheme="majorHAnsi" w:cstheme="majorHAnsi"/>
          <w:sz w:val="14"/>
        </w:rPr>
        <w:t xml:space="preserve">, 2000; Enloe, 2000), it is also true that women who were active participants in the struggle are not always allowed to participate, as leaders, in the development of transition and reconstruction processes. Ultimately, </w:t>
      </w:r>
      <w:r w:rsidRPr="0092753F">
        <w:rPr>
          <w:rStyle w:val="StyleUnderline"/>
        </w:rPr>
        <w:t>their support is only recognized in relation to what is expected from their kinship to male soldiers: they are acknowledged, but as mothers, sisters, wives or daughters.</w:t>
      </w:r>
      <w:r w:rsidRPr="0092753F">
        <w:rPr>
          <w:rFonts w:asciiTheme="majorHAnsi" w:hAnsiTheme="majorHAnsi" w:cstheme="majorHAnsi"/>
          <w:sz w:val="14"/>
        </w:rPr>
        <w:t xml:space="preserve"> </w:t>
      </w:r>
      <w:proofErr w:type="gramStart"/>
      <w:r w:rsidRPr="0092753F">
        <w:rPr>
          <w:rFonts w:asciiTheme="majorHAnsi" w:hAnsiTheme="majorHAnsi" w:cstheme="majorHAnsi"/>
          <w:sz w:val="14"/>
        </w:rPr>
        <w:t>However</w:t>
      </w:r>
      <w:proofErr w:type="gramEnd"/>
      <w:r w:rsidRPr="0092753F">
        <w:rPr>
          <w:rFonts w:asciiTheme="majorHAnsi" w:hAnsiTheme="majorHAnsi" w:cstheme="majorHAnsi"/>
          <w:sz w:val="14"/>
        </w:rPr>
        <w:t xml:space="preserve"> varied their levels of involvement in the business of war, they remain at the margins of political, economic, and social power, and their voices and experiences tend to disappear when peace processes begin (Goldblatt and </w:t>
      </w:r>
      <w:proofErr w:type="spellStart"/>
      <w:r w:rsidRPr="0092753F">
        <w:rPr>
          <w:rFonts w:asciiTheme="majorHAnsi" w:hAnsiTheme="majorHAnsi" w:cstheme="majorHAnsi"/>
          <w:sz w:val="14"/>
        </w:rPr>
        <w:t>Meintjes</w:t>
      </w:r>
      <w:proofErr w:type="spellEnd"/>
      <w:r w:rsidRPr="0092753F">
        <w:rPr>
          <w:rFonts w:asciiTheme="majorHAnsi" w:hAnsiTheme="majorHAnsi" w:cstheme="majorHAnsi"/>
          <w:sz w:val="14"/>
        </w:rPr>
        <w:t xml:space="preserve">, 1996). In the end, women’s contributions are overlooked in the country emerging from war; and because of this, their presence is reduced to a single line in the documents which spring up to counter the effects of armed conflict. In this way, </w:t>
      </w:r>
      <w:r w:rsidRPr="0092753F">
        <w:rPr>
          <w:rStyle w:val="StyleUnderline"/>
        </w:rPr>
        <w:t>the complexity of their experiences is boiled down to a single ideology that women are more vulnerable than men, and thus deserving of a kind of protection and security that is decided by men.</w:t>
      </w:r>
    </w:p>
    <w:p w:rsidR="00D02D57" w:rsidRPr="00493483" w:rsidRDefault="00D02D57" w:rsidP="00D02D57">
      <w:pPr>
        <w:pStyle w:val="Heading4"/>
      </w:pPr>
      <w:r w:rsidRPr="00493483">
        <w:t>Their essentialism argumen</w:t>
      </w:r>
      <w:r>
        <w:t xml:space="preserve">t misreads our criticism- </w:t>
      </w:r>
      <w:r w:rsidRPr="00493483">
        <w:t xml:space="preserve">gender is a social construction which is enforced contingently </w:t>
      </w:r>
    </w:p>
    <w:p w:rsidR="00D02D57" w:rsidRPr="002C7BAE" w:rsidRDefault="00D02D57" w:rsidP="00D02D57">
      <w:pPr>
        <w:rPr>
          <w:rStyle w:val="Style13ptBold"/>
        </w:rPr>
      </w:pPr>
      <w:r w:rsidRPr="002C7BAE">
        <w:rPr>
          <w:rStyle w:val="Style13ptBold"/>
        </w:rPr>
        <w:t>Sjoberg 09</w:t>
      </w:r>
    </w:p>
    <w:p w:rsidR="00D02D57" w:rsidRPr="002C7BAE" w:rsidRDefault="00D02D57" w:rsidP="00D02D57">
      <w:pPr>
        <w:rPr>
          <w:rStyle w:val="Style13ptBold"/>
          <w:sz w:val="20"/>
          <w:szCs w:val="20"/>
        </w:rPr>
      </w:pPr>
      <w:r w:rsidRPr="002C7BAE">
        <w:rPr>
          <w:rStyle w:val="Style13ptBold"/>
          <w:sz w:val="20"/>
          <w:szCs w:val="20"/>
        </w:rPr>
        <w:t>(Laura, Assistant Professor of Political Science with an affiliation with the Center for Women’s and Gender Studies at the University of Florida. Her research has focused on theoretical and empirical approaches to gender and security, including war theorizing and the study of women’s violence, Security Studies 18.2, JKS)</w:t>
      </w:r>
    </w:p>
    <w:p w:rsidR="00D02D57" w:rsidRDefault="00D02D57" w:rsidP="00D02D57">
      <w:pPr>
        <w:rPr>
          <w:rFonts w:cs="Times-Roman"/>
          <w:sz w:val="12"/>
          <w:lang w:bidi="en-US"/>
        </w:rPr>
      </w:pPr>
      <w:r w:rsidRPr="00493483">
        <w:rPr>
          <w:rFonts w:cs="Times-Roman"/>
          <w:sz w:val="12"/>
          <w:lang w:bidi="en-US"/>
        </w:rPr>
        <w:t xml:space="preserve">In order to understand feminist work in </w:t>
      </w:r>
      <w:proofErr w:type="spellStart"/>
      <w:r w:rsidRPr="00493483">
        <w:rPr>
          <w:rFonts w:cs="Times-Roman"/>
          <w:sz w:val="12"/>
          <w:lang w:bidi="en-US"/>
        </w:rPr>
        <w:t>ir</w:t>
      </w:r>
      <w:proofErr w:type="spellEnd"/>
      <w:r w:rsidRPr="00493483">
        <w:rPr>
          <w:rFonts w:cs="Times-Roman"/>
          <w:sz w:val="12"/>
          <w:lang w:bidi="en-US"/>
        </w:rPr>
        <w:t xml:space="preserve">, it is important to note that </w:t>
      </w:r>
      <w:r w:rsidRPr="00493483">
        <w:rPr>
          <w:b/>
          <w:u w:val="single"/>
          <w:lang w:bidi="en-US"/>
        </w:rPr>
        <w:t>gender is not the equivalent of membership in biological sex classes.</w:t>
      </w:r>
      <w:r w:rsidRPr="00493483">
        <w:rPr>
          <w:rFonts w:cs="Times-Roman"/>
          <w:sz w:val="12"/>
          <w:lang w:bidi="en-US"/>
        </w:rPr>
        <w:t xml:space="preserve"> Instead, </w:t>
      </w:r>
      <w:r w:rsidRPr="006012B5">
        <w:rPr>
          <w:b/>
          <w:u w:val="single"/>
          <w:lang w:bidi="en-US"/>
        </w:rPr>
        <w:t>gender is a system of symbolic meaning that creates social hierarchies based on perceived associations with masculine and feminine characteristics</w:t>
      </w:r>
      <w:r w:rsidRPr="00493483">
        <w:rPr>
          <w:b/>
          <w:u w:val="single"/>
          <w:lang w:bidi="en-US"/>
        </w:rPr>
        <w:t>.</w:t>
      </w:r>
      <w:r w:rsidRPr="00493483">
        <w:rPr>
          <w:rFonts w:cs="Times-Roman"/>
          <w:sz w:val="12"/>
          <w:lang w:bidi="en-US"/>
        </w:rPr>
        <w:t xml:space="preserve"> As Lauren Wilcox explains, </w:t>
      </w:r>
      <w:r w:rsidRPr="00493483">
        <w:rPr>
          <w:b/>
          <w:u w:val="single"/>
        </w:rPr>
        <w:t>“gender symbolism describes the way in which masculine/feminine are assigned to various dichotomies that organize Western thought” where “</w:t>
      </w:r>
      <w:r w:rsidRPr="006012B5">
        <w:rPr>
          <w:b/>
          <w:u w:val="single"/>
        </w:rPr>
        <w:t>both men and women tend to place a higher value on the term which is associated with masculinity.</w:t>
      </w:r>
      <w:r w:rsidRPr="00493483">
        <w:rPr>
          <w:b/>
          <w:u w:val="single"/>
        </w:rPr>
        <w:t xml:space="preserve">”23 </w:t>
      </w:r>
      <w:r w:rsidRPr="006012B5">
        <w:rPr>
          <w:b/>
          <w:u w:val="single"/>
        </w:rPr>
        <w:t>Gendered social hierarchy,</w:t>
      </w:r>
      <w:r w:rsidRPr="00493483">
        <w:rPr>
          <w:b/>
          <w:u w:val="single"/>
        </w:rPr>
        <w:t xml:space="preserve"> then, </w:t>
      </w:r>
      <w:r w:rsidRPr="006012B5">
        <w:rPr>
          <w:b/>
          <w:u w:val="single"/>
        </w:rPr>
        <w:t>is</w:t>
      </w:r>
      <w:r w:rsidRPr="00493483">
        <w:rPr>
          <w:b/>
          <w:u w:val="single"/>
        </w:rPr>
        <w:t xml:space="preserve"> at once </w:t>
      </w:r>
      <w:r w:rsidRPr="006012B5">
        <w:rPr>
          <w:b/>
          <w:u w:val="single"/>
        </w:rPr>
        <w:t>a social construction</w:t>
      </w:r>
      <w:r w:rsidRPr="00493483">
        <w:rPr>
          <w:b/>
          <w:u w:val="single"/>
        </w:rPr>
        <w:t xml:space="preserve"> and a “structural feature of social and political life” </w:t>
      </w:r>
      <w:r w:rsidRPr="006012B5">
        <w:rPr>
          <w:b/>
          <w:u w:val="single"/>
        </w:rPr>
        <w:t>that “profoundly shapes our place in, and view of, the world.”</w:t>
      </w:r>
      <w:r w:rsidRPr="00493483">
        <w:rPr>
          <w:rFonts w:cs="Times-Roman"/>
          <w:sz w:val="12"/>
          <w:lang w:bidi="en-US"/>
        </w:rPr>
        <w:t>24</w:t>
      </w:r>
      <w:r w:rsidRPr="002C7BAE">
        <w:rPr>
          <w:rFonts w:cs="Times-Roman"/>
          <w:sz w:val="12"/>
          <w:lang w:bidi="en-US"/>
        </w:rPr>
        <w:t xml:space="preserve">¶ </w:t>
      </w:r>
      <w:r w:rsidRPr="006012B5">
        <w:rPr>
          <w:b/>
          <w:u w:val="single"/>
        </w:rPr>
        <w:t>This is not to say that all</w:t>
      </w:r>
      <w:r w:rsidRPr="00493483">
        <w:rPr>
          <w:b/>
          <w:u w:val="single"/>
        </w:rPr>
        <w:t xml:space="preserve"> people, or even all </w:t>
      </w:r>
      <w:r w:rsidRPr="006012B5">
        <w:rPr>
          <w:b/>
          <w:u w:val="single"/>
        </w:rPr>
        <w:t>women, experience gender in the same ways</w:t>
      </w:r>
      <w:r w:rsidRPr="00493483">
        <w:rPr>
          <w:rFonts w:cs="Times-Roman"/>
          <w:sz w:val="12"/>
          <w:lang w:bidi="en-US"/>
        </w:rPr>
        <w:t xml:space="preserve">. While genders are lived by people throughout the world, </w:t>
      </w:r>
      <w:r w:rsidRPr="00493483">
        <w:rPr>
          <w:b/>
          <w:u w:val="single"/>
        </w:rPr>
        <w:t>“it would be unrepresentative to characterize a 'gendered experience' as if there were something measurable that all men or all women shared in life experience.</w:t>
      </w:r>
      <w:r w:rsidRPr="00493483">
        <w:rPr>
          <w:rFonts w:cs="Times-Roman"/>
          <w:sz w:val="12"/>
          <w:lang w:bidi="en-US"/>
        </w:rPr>
        <w:t xml:space="preserve">”25 Each person lives gender in a different culture, body, language, and identity. Therefore, </w:t>
      </w:r>
      <w:r w:rsidRPr="00493483">
        <w:rPr>
          <w:b/>
          <w:u w:val="single"/>
        </w:rPr>
        <w:t>there is not one gendered experience of global politics, but many.</w:t>
      </w:r>
      <w:r w:rsidRPr="00493483">
        <w:rPr>
          <w:rFonts w:cs="Times-Roman"/>
          <w:sz w:val="12"/>
          <w:lang w:bidi="en-US"/>
        </w:rPr>
        <w:t xml:space="preserve"> By extension, there is not one gender-based perspective on </w:t>
      </w:r>
      <w:proofErr w:type="spellStart"/>
      <w:r w:rsidRPr="00493483">
        <w:rPr>
          <w:rFonts w:cs="Times-Roman"/>
          <w:sz w:val="12"/>
          <w:lang w:bidi="en-US"/>
        </w:rPr>
        <w:t>ir</w:t>
      </w:r>
      <w:proofErr w:type="spellEnd"/>
      <w:r w:rsidRPr="00493483">
        <w:rPr>
          <w:rFonts w:cs="Times-Roman"/>
          <w:sz w:val="12"/>
          <w:lang w:bidi="en-US"/>
        </w:rPr>
        <w:t xml:space="preserve"> or international security, but many. </w:t>
      </w:r>
      <w:r w:rsidRPr="006012B5">
        <w:rPr>
          <w:b/>
          <w:u w:val="single"/>
        </w:rPr>
        <w:t>Still, as a structural feature of</w:t>
      </w:r>
      <w:r w:rsidRPr="00493483">
        <w:rPr>
          <w:b/>
          <w:u w:val="single"/>
        </w:rPr>
        <w:t xml:space="preserve"> social and political </w:t>
      </w:r>
      <w:r w:rsidRPr="006012B5">
        <w:rPr>
          <w:b/>
          <w:u w:val="single"/>
        </w:rPr>
        <w:t>life, gender is “a set of discourses that represent, construct, change, and enforce social meaning</w:t>
      </w:r>
      <w:r w:rsidRPr="00493483">
        <w:rPr>
          <w:b/>
          <w:u w:val="single"/>
        </w:rPr>
        <w:t>.”26 Feminism, then, “is neither just about women, nor the addition of women to male-stream constructions; it is about transforming ways of being and knowing” as gendered discourses are understood and transformed</w:t>
      </w:r>
      <w:r w:rsidRPr="00493483">
        <w:rPr>
          <w:rFonts w:cs="Times-Roman"/>
          <w:sz w:val="12"/>
          <w:lang w:bidi="en-US"/>
        </w:rPr>
        <w:t>.27</w:t>
      </w:r>
    </w:p>
    <w:p w:rsidR="0067627F" w:rsidRDefault="004F00AD" w:rsidP="004F00AD">
      <w:pPr>
        <w:pStyle w:val="Heading3"/>
      </w:pPr>
      <w:r>
        <w:lastRenderedPageBreak/>
        <w:t>AT: Cap</w:t>
      </w:r>
    </w:p>
    <w:p w:rsidR="004F00AD" w:rsidRDefault="004F00AD" w:rsidP="004F00AD">
      <w:pPr>
        <w:pStyle w:val="Heading4"/>
      </w:pPr>
      <w:r>
        <w:t xml:space="preserve">Being ‘against the system’ isn’t enough- their anti-capitalist resistance </w:t>
      </w:r>
      <w:r>
        <w:t xml:space="preserve">is imbued with gendered hierarchies </w:t>
      </w:r>
    </w:p>
    <w:p w:rsidR="004F00AD" w:rsidRDefault="004F00AD" w:rsidP="004F00AD">
      <w:pPr>
        <w:rPr>
          <w:rStyle w:val="Style13ptBold"/>
        </w:rPr>
      </w:pPr>
      <w:r>
        <w:rPr>
          <w:rStyle w:val="Style13ptBold"/>
        </w:rPr>
        <w:t xml:space="preserve">Coleman and </w:t>
      </w:r>
      <w:proofErr w:type="spellStart"/>
      <w:r>
        <w:rPr>
          <w:rStyle w:val="Style13ptBold"/>
        </w:rPr>
        <w:t>Bassi</w:t>
      </w:r>
      <w:proofErr w:type="spellEnd"/>
      <w:r>
        <w:rPr>
          <w:rStyle w:val="Style13ptBold"/>
        </w:rPr>
        <w:t xml:space="preserve"> 11</w:t>
      </w:r>
    </w:p>
    <w:p w:rsidR="004F00AD" w:rsidRPr="000F7132" w:rsidRDefault="004F00AD" w:rsidP="004F00AD">
      <w:pPr>
        <w:rPr>
          <w:rStyle w:val="Style13ptBold"/>
          <w:sz w:val="20"/>
          <w:szCs w:val="20"/>
        </w:rPr>
      </w:pPr>
      <w:r w:rsidRPr="000F7132">
        <w:rPr>
          <w:rStyle w:val="Style13ptBold"/>
          <w:sz w:val="20"/>
          <w:szCs w:val="20"/>
        </w:rPr>
        <w:t>(Lara Montesinos, Serena A., June, University of Bristol, UK and University of Warwick, UK, Deconstructing Militant Manhood</w:t>
      </w:r>
      <w:r>
        <w:rPr>
          <w:rStyle w:val="Style13ptBold"/>
          <w:sz w:val="20"/>
          <w:szCs w:val="20"/>
        </w:rPr>
        <w:t xml:space="preserve"> </w:t>
      </w:r>
      <w:r w:rsidRPr="000F7132">
        <w:rPr>
          <w:rStyle w:val="Style13ptBold"/>
          <w:sz w:val="20"/>
          <w:szCs w:val="20"/>
        </w:rPr>
        <w:t xml:space="preserve">MASCULINITIES IN THE DISCIPLINING OF (ANTI-)GLOBALIZATION POLITICS, International Feminist Journal of Politics, 13:2, </w:t>
      </w:r>
      <w:proofErr w:type="spellStart"/>
      <w:r w:rsidRPr="000F7132">
        <w:rPr>
          <w:rStyle w:val="Style13ptBold"/>
          <w:sz w:val="20"/>
          <w:szCs w:val="20"/>
        </w:rPr>
        <w:t>pgs</w:t>
      </w:r>
      <w:proofErr w:type="spellEnd"/>
      <w:r w:rsidRPr="000F7132">
        <w:rPr>
          <w:rStyle w:val="Style13ptBold"/>
          <w:sz w:val="20"/>
          <w:szCs w:val="20"/>
        </w:rPr>
        <w:t xml:space="preserve"> 207-208</w:t>
      </w:r>
      <w:r>
        <w:rPr>
          <w:rStyle w:val="Style13ptBold"/>
          <w:sz w:val="20"/>
          <w:szCs w:val="20"/>
        </w:rPr>
        <w:t>, JKS)</w:t>
      </w:r>
    </w:p>
    <w:p w:rsidR="004F00AD" w:rsidRPr="004C4FBA" w:rsidRDefault="004F00AD" w:rsidP="004F00AD">
      <w:pPr>
        <w:rPr>
          <w:sz w:val="16"/>
        </w:rPr>
      </w:pPr>
      <w:r w:rsidRPr="006012B5">
        <w:rPr>
          <w:rStyle w:val="StyleUnderline"/>
        </w:rPr>
        <w:t>Gendered hierarchies and cultural scripts are not a side issue for movements that</w:t>
      </w:r>
      <w:r w:rsidRPr="000376EC">
        <w:rPr>
          <w:rStyle w:val="StyleUnderline"/>
        </w:rPr>
        <w:t xml:space="preserve"> </w:t>
      </w:r>
      <w:r w:rsidRPr="004C4FBA">
        <w:rPr>
          <w:sz w:val="16"/>
        </w:rPr>
        <w:t>aim to</w:t>
      </w:r>
      <w:r w:rsidRPr="000376EC">
        <w:rPr>
          <w:rStyle w:val="StyleUnderline"/>
        </w:rPr>
        <w:t xml:space="preserve"> </w:t>
      </w:r>
      <w:r w:rsidRPr="006012B5">
        <w:rPr>
          <w:rStyle w:val="StyleUnderline"/>
        </w:rPr>
        <w:t>contest</w:t>
      </w:r>
      <w:r w:rsidRPr="004C4FBA">
        <w:rPr>
          <w:sz w:val="16"/>
        </w:rPr>
        <w:t xml:space="preserve"> the </w:t>
      </w:r>
      <w:r w:rsidRPr="006012B5">
        <w:rPr>
          <w:sz w:val="16"/>
        </w:rPr>
        <w:t>g</w:t>
      </w:r>
      <w:r w:rsidRPr="006012B5">
        <w:rPr>
          <w:rStyle w:val="StyleUnderline"/>
        </w:rPr>
        <w:t>lobalization of capitalism</w:t>
      </w:r>
      <w:r w:rsidRPr="004C4FBA">
        <w:rPr>
          <w:sz w:val="16"/>
        </w:rPr>
        <w:t xml:space="preserve">. Materialist feminists have highlighted how capitalism has relied upon concealed, underpaid or unpaid female </w:t>
      </w:r>
      <w:proofErr w:type="spellStart"/>
      <w:r w:rsidRPr="004C4FBA">
        <w:rPr>
          <w:sz w:val="16"/>
        </w:rPr>
        <w:t>labour</w:t>
      </w:r>
      <w:proofErr w:type="spellEnd"/>
      <w:r w:rsidRPr="004C4FBA">
        <w:rPr>
          <w:sz w:val="16"/>
        </w:rPr>
        <w:t xml:space="preserve"> (e.g. Eisenstein 1979; Barrett 1980; Fuentes and </w:t>
      </w:r>
      <w:proofErr w:type="spellStart"/>
      <w:r w:rsidRPr="004C4FBA">
        <w:rPr>
          <w:sz w:val="16"/>
        </w:rPr>
        <w:t>Ehren</w:t>
      </w:r>
      <w:proofErr w:type="spellEnd"/>
      <w:r w:rsidRPr="004C4FBA">
        <w:rPr>
          <w:sz w:val="16"/>
        </w:rPr>
        <w:t xml:space="preserve">- </w:t>
      </w:r>
      <w:proofErr w:type="spellStart"/>
      <w:r w:rsidRPr="004C4FBA">
        <w:rPr>
          <w:sz w:val="16"/>
        </w:rPr>
        <w:t>reich</w:t>
      </w:r>
      <w:proofErr w:type="spellEnd"/>
      <w:r w:rsidRPr="004C4FBA">
        <w:rPr>
          <w:sz w:val="16"/>
        </w:rPr>
        <w:t xml:space="preserve"> 1983). As Rosemary Hennessy (2000: 6) puts it, ‘</w:t>
      </w:r>
      <w:r w:rsidRPr="006012B5">
        <w:rPr>
          <w:rStyle w:val="StyleUnderline"/>
        </w:rPr>
        <w:t>women provide most of the world’s socially necessary labo</w:t>
      </w:r>
      <w:r w:rsidRPr="000376EC">
        <w:rPr>
          <w:rStyle w:val="StyleUnderline"/>
        </w:rPr>
        <w:t xml:space="preserve">r – that is, labor that is necessary to col- </w:t>
      </w:r>
      <w:proofErr w:type="spellStart"/>
      <w:r w:rsidRPr="000376EC">
        <w:rPr>
          <w:rStyle w:val="StyleUnderline"/>
        </w:rPr>
        <w:t>lective</w:t>
      </w:r>
      <w:proofErr w:type="spellEnd"/>
      <w:r w:rsidRPr="000376EC">
        <w:rPr>
          <w:rStyle w:val="StyleUnderline"/>
        </w:rPr>
        <w:t xml:space="preserve"> survival – </w:t>
      </w:r>
      <w:r w:rsidRPr="006012B5">
        <w:rPr>
          <w:rStyle w:val="StyleUnderline"/>
        </w:rPr>
        <w:t>but much of it is rendered invisible, both in and outside the value system of commodity exchange</w:t>
      </w:r>
      <w:r w:rsidRPr="006012B5">
        <w:rPr>
          <w:sz w:val="16"/>
        </w:rPr>
        <w:t>’</w:t>
      </w:r>
      <w:r w:rsidRPr="004C4FBA">
        <w:rPr>
          <w:sz w:val="16"/>
        </w:rPr>
        <w:t>. Materialist analyses have also highlighted the relationship between heteronormative and capitalist social relations. Leslie Feinberg (1997: 231, see also Hennessy 1996), for example, theorizes the oppression of transgender people under capitalism through a Marxist analysis of how an ideology of binary gender became hegemonic with ‘the rise of private property, the male-dominated family and class divisions’.</w:t>
      </w:r>
      <w:r w:rsidRPr="004C4FBA">
        <w:rPr>
          <w:sz w:val="12"/>
        </w:rPr>
        <w:t>¶</w:t>
      </w:r>
      <w:r w:rsidRPr="004C4FBA">
        <w:rPr>
          <w:sz w:val="16"/>
        </w:rPr>
        <w:t xml:space="preserve"> Moreover, the power-laden performances through which gender is produced are intricately bound up with cultural scripts deployed in the imposition of capitalist relations across the world. J. K. Gibson-Graham (1996: 120–47), for instance, draws a parallel of globalization’s ‘tightly scripted narrative of differential power’ that celebrates ‘the inevitability of capitalist penetration’ in every corner of the world and the script that normalizes and naturalizes the rape of female bodies (1996: 120–1). Lara Coleman (2007) has explored how the violent imposition of neoliberal development in Colombia has </w:t>
      </w:r>
      <w:proofErr w:type="spellStart"/>
      <w:r w:rsidRPr="004C4FBA">
        <w:rPr>
          <w:sz w:val="16"/>
        </w:rPr>
        <w:t>mobi</w:t>
      </w:r>
      <w:proofErr w:type="spellEnd"/>
      <w:r w:rsidRPr="004C4FBA">
        <w:rPr>
          <w:sz w:val="16"/>
        </w:rPr>
        <w:t xml:space="preserve">- </w:t>
      </w:r>
      <w:proofErr w:type="spellStart"/>
      <w:r w:rsidRPr="004C4FBA">
        <w:rPr>
          <w:sz w:val="16"/>
        </w:rPr>
        <w:t>lized</w:t>
      </w:r>
      <w:proofErr w:type="spellEnd"/>
      <w:r w:rsidRPr="004C4FBA">
        <w:rPr>
          <w:sz w:val="16"/>
        </w:rPr>
        <w:t xml:space="preserve"> gendered imaginative geographies, through which spaces targeted for ‘civilizing’ interventions are marked out in terms of sub-ordinate gender identities counterposed to the identity of an ideal citizen cast in terms of a hegemonic, bourgeois-rational masculinity. Similarly, Penny </w:t>
      </w:r>
      <w:r w:rsidRPr="000376EC">
        <w:rPr>
          <w:rStyle w:val="StyleUnderline"/>
        </w:rPr>
        <w:t xml:space="preserve">Griffin (2007) has highlighted the way in which </w:t>
      </w:r>
      <w:r w:rsidRPr="006012B5">
        <w:rPr>
          <w:rStyle w:val="StyleUnderline"/>
        </w:rPr>
        <w:t xml:space="preserve">dominant forms of heterosexual masculinity mark out the norms of successful human </w:t>
      </w:r>
      <w:proofErr w:type="spellStart"/>
      <w:r w:rsidRPr="006012B5">
        <w:rPr>
          <w:rStyle w:val="StyleUnderline"/>
        </w:rPr>
        <w:t>behaviour</w:t>
      </w:r>
      <w:proofErr w:type="spellEnd"/>
      <w:r w:rsidRPr="006012B5">
        <w:rPr>
          <w:rStyle w:val="StyleUnderline"/>
        </w:rPr>
        <w:t xml:space="preserve"> reproduced in the neoliberal discourse of the World Bank</w:t>
      </w:r>
      <w:r w:rsidRPr="000376EC">
        <w:rPr>
          <w:rStyle w:val="Emphasis"/>
        </w:rPr>
        <w:t>.</w:t>
      </w:r>
      <w:r w:rsidRPr="004C4FBA">
        <w:rPr>
          <w:rStyle w:val="Emphasis"/>
          <w:b w:val="0"/>
          <w:sz w:val="12"/>
        </w:rPr>
        <w:t>¶</w:t>
      </w:r>
      <w:r w:rsidRPr="000376EC">
        <w:rPr>
          <w:rStyle w:val="Emphasis"/>
        </w:rPr>
        <w:t xml:space="preserve"> The </w:t>
      </w:r>
      <w:r w:rsidRPr="006012B5">
        <w:rPr>
          <w:rStyle w:val="Emphasis"/>
        </w:rPr>
        <w:t>reiteration of gendered cultural scripts within (anti-)globalization politics does not only shore up capitalism’s unequal effects on wome</w:t>
      </w:r>
      <w:r w:rsidRPr="000376EC">
        <w:rPr>
          <w:rStyle w:val="Emphasis"/>
        </w:rPr>
        <w:t>n</w:t>
      </w:r>
      <w:r w:rsidRPr="004C4FBA">
        <w:rPr>
          <w:sz w:val="16"/>
        </w:rPr>
        <w:t xml:space="preserve"> (cf. Sullivan 2005: 9</w:t>
      </w:r>
      <w:r w:rsidRPr="006012B5">
        <w:rPr>
          <w:rStyle w:val="Emphasis"/>
        </w:rPr>
        <w:t>). It also bolsters other effects of gender-based oppression on women, transgender people and men with non-hegemonic gender performances</w:t>
      </w:r>
      <w:r w:rsidRPr="004C4FBA">
        <w:rPr>
          <w:sz w:val="16"/>
        </w:rPr>
        <w:t xml:space="preserve">. Moreover, </w:t>
      </w:r>
      <w:r w:rsidRPr="006012B5">
        <w:rPr>
          <w:rStyle w:val="StyleUnderline"/>
        </w:rPr>
        <w:t>this reiteration</w:t>
      </w:r>
      <w:r w:rsidRPr="000376EC">
        <w:rPr>
          <w:rStyle w:val="StyleUnderline"/>
        </w:rPr>
        <w:t xml:space="preserve"> of hierarchically ordered gender identities </w:t>
      </w:r>
      <w:r w:rsidRPr="006012B5">
        <w:rPr>
          <w:rStyle w:val="StyleUnderline"/>
        </w:rPr>
        <w:t>should be understood as reinforcing capitalist relations at a much deeper level</w:t>
      </w:r>
      <w:r w:rsidRPr="000376EC">
        <w:rPr>
          <w:rStyle w:val="StyleUnderline"/>
        </w:rPr>
        <w:t xml:space="preserve">, in that </w:t>
      </w:r>
      <w:r w:rsidRPr="006012B5">
        <w:rPr>
          <w:rStyle w:val="StyleUnderline"/>
        </w:rPr>
        <w:t>it restates the cultural scripts that capital deploys to normalize</w:t>
      </w:r>
      <w:r w:rsidRPr="000376EC">
        <w:rPr>
          <w:rStyle w:val="StyleUnderline"/>
        </w:rPr>
        <w:t xml:space="preserve"> its interventions and policy ‘solutions</w:t>
      </w:r>
      <w:proofErr w:type="gramStart"/>
      <w:r w:rsidRPr="004C4FBA">
        <w:rPr>
          <w:sz w:val="16"/>
        </w:rPr>
        <w:t>’.</w:t>
      </w:r>
      <w:r w:rsidRPr="004C4FBA">
        <w:rPr>
          <w:sz w:val="12"/>
        </w:rPr>
        <w:t>¶</w:t>
      </w:r>
      <w:proofErr w:type="gramEnd"/>
      <w:r w:rsidRPr="004C4FBA">
        <w:rPr>
          <w:sz w:val="16"/>
        </w:rPr>
        <w:t xml:space="preserve"> There is a circular element to this too. </w:t>
      </w:r>
      <w:r w:rsidRPr="006012B5">
        <w:rPr>
          <w:rStyle w:val="Emphasis"/>
        </w:rPr>
        <w:t>Who is visible and who can speak within (anti-)globalization politics</w:t>
      </w:r>
      <w:r w:rsidRPr="004C4FBA">
        <w:rPr>
          <w:sz w:val="16"/>
        </w:rPr>
        <w:t>, and which bodies are privileged or excluded</w:t>
      </w:r>
      <w:r w:rsidRPr="006012B5">
        <w:rPr>
          <w:rStyle w:val="Emphasis"/>
        </w:rPr>
        <w:t>, derives from the gendered performance of ‘resistance</w:t>
      </w:r>
      <w:proofErr w:type="gramStart"/>
      <w:r w:rsidRPr="006012B5">
        <w:rPr>
          <w:rStyle w:val="Emphasis"/>
        </w:rPr>
        <w:t>’.</w:t>
      </w:r>
      <w:proofErr w:type="gramEnd"/>
      <w:r w:rsidRPr="000376EC">
        <w:rPr>
          <w:rStyle w:val="Emphasis"/>
        </w:rPr>
        <w:t xml:space="preserve"> </w:t>
      </w:r>
      <w:r w:rsidRPr="004C4FBA">
        <w:rPr>
          <w:sz w:val="16"/>
        </w:rPr>
        <w:t>Cultural texts assign roles defining, for example, who is able to speak with authority and</w:t>
      </w:r>
      <w:r w:rsidRPr="000376EC">
        <w:rPr>
          <w:rStyle w:val="Emphasis"/>
        </w:rPr>
        <w:t xml:space="preserve"> </w:t>
      </w:r>
      <w:r w:rsidRPr="006012B5">
        <w:rPr>
          <w:rStyle w:val="Emphasis"/>
        </w:rPr>
        <w:t>who is confined to a walk-on appearance as a ‘movement housewife</w:t>
      </w:r>
      <w:r w:rsidRPr="004C4FBA">
        <w:rPr>
          <w:sz w:val="16"/>
        </w:rPr>
        <w:t xml:space="preserve">’ (Roth 2001). </w:t>
      </w:r>
      <w:r w:rsidRPr="006012B5">
        <w:rPr>
          <w:rStyle w:val="StyleUnderline"/>
        </w:rPr>
        <w:t>This in turn forecloses the possibilities for contestation and re-signification within spaces of ‘resistance’, reinforcing the tendency to re-iterate those cultural scripts that enhance the status quo.</w:t>
      </w:r>
    </w:p>
    <w:p w:rsidR="004F00AD" w:rsidRPr="004F00AD" w:rsidRDefault="004F00AD" w:rsidP="004F00AD"/>
    <w:p w:rsidR="00977583" w:rsidRDefault="00D44A31" w:rsidP="004F00AD">
      <w:pPr>
        <w:pStyle w:val="Heading3"/>
      </w:pPr>
      <w:r>
        <w:lastRenderedPageBreak/>
        <w:t xml:space="preserve">Feminist </w:t>
      </w:r>
      <w:r w:rsidR="00977583">
        <w:t>Movements</w:t>
      </w:r>
      <w:r>
        <w:t xml:space="preserve"> Framing</w:t>
      </w:r>
    </w:p>
    <w:p w:rsidR="00977583" w:rsidRDefault="00977583" w:rsidP="00977583">
      <w:pPr>
        <w:pStyle w:val="Heading4"/>
      </w:pPr>
      <w:r>
        <w:t>Feminist networks inspire global shifts in gender equality</w:t>
      </w:r>
    </w:p>
    <w:p w:rsidR="00977583" w:rsidRPr="00A75E79" w:rsidRDefault="00977583" w:rsidP="00977583">
      <w:pPr>
        <w:rPr>
          <w:b/>
          <w:bCs/>
          <w:sz w:val="16"/>
          <w:szCs w:val="16"/>
          <w:u w:val="single"/>
        </w:rPr>
      </w:pPr>
      <w:r w:rsidRPr="00A75E79">
        <w:rPr>
          <w:b/>
          <w:bCs/>
        </w:rPr>
        <w:t>Alvarez 2000</w:t>
      </w:r>
      <w:r>
        <w:t>(</w:t>
      </w:r>
      <w:r w:rsidRPr="00A75E79">
        <w:rPr>
          <w:sz w:val="16"/>
          <w:szCs w:val="16"/>
        </w:rPr>
        <w:t>Sonia E. Alvarez, “Translating the Global Effects of Transnational Organizing on Local Feminist Discourses and Practices in Latin America”, Meridians, Vol. 1, No. 1 (Autumn, 2000), pp. 29-67, Duke University Press, https://www.jstor.org/stable/40338427)//kb</w:t>
      </w:r>
    </w:p>
    <w:p w:rsidR="00977583" w:rsidRDefault="00977583" w:rsidP="00977583">
      <w:pPr>
        <w:rPr>
          <w:u w:val="single"/>
        </w:rPr>
      </w:pPr>
      <w:r w:rsidRPr="00E42653">
        <w:rPr>
          <w:b/>
          <w:bCs/>
          <w:u w:val="single"/>
        </w:rPr>
        <w:t>The heightened participation of women's rights advocates in international policy arenas is now</w:t>
      </w:r>
      <w:r w:rsidRPr="007974A1">
        <w:rPr>
          <w:sz w:val="16"/>
        </w:rPr>
        <w:t xml:space="preserve"> fairly well documented and the efficacy of global feminisms in </w:t>
      </w:r>
      <w:r w:rsidRPr="00E42653">
        <w:rPr>
          <w:b/>
          <w:bCs/>
          <w:u w:val="single"/>
        </w:rPr>
        <w:t>promoting changes in gender-related policy at the international and national levels</w:t>
      </w:r>
      <w:r w:rsidRPr="007974A1">
        <w:rPr>
          <w:sz w:val="16"/>
        </w:rPr>
        <w:t xml:space="preserve"> has been subjected to considerable scrutiny.3 But the literature has largely ignored the flip side of the much-celebrated "globalization of feminism"- the impact "back home" of local activists' involvement in international networks and policy arenas, which Elisabeth Friedman (1999) has dubbed the effects of "transnationalism reversed."4 We now have considerable evidence that</w:t>
      </w:r>
      <w:r w:rsidRPr="00E42653">
        <w:rPr>
          <w:b/>
          <w:bCs/>
          <w:u w:val="single"/>
        </w:rPr>
        <w:t xml:space="preserve"> feminist networking and ad-</w:t>
      </w:r>
      <w:proofErr w:type="spellStart"/>
      <w:r w:rsidRPr="00E42653">
        <w:rPr>
          <w:b/>
          <w:bCs/>
          <w:u w:val="single"/>
        </w:rPr>
        <w:t>vocacy</w:t>
      </w:r>
      <w:proofErr w:type="spellEnd"/>
      <w:r w:rsidRPr="00E42653">
        <w:rPr>
          <w:b/>
          <w:bCs/>
          <w:u w:val="single"/>
        </w:rPr>
        <w:t xml:space="preserve"> on a global scale have enabled local women's rights advocates to " 'leapfrog' past the boundaries of state sovereignty to propose visions of women's liberation that national governments might not countenance</w:t>
      </w:r>
      <w:r w:rsidRPr="007974A1">
        <w:rPr>
          <w:sz w:val="16"/>
        </w:rPr>
        <w:t xml:space="preserve">" (Baden and Goetz 1997, 45). It also arguably has sometimes enhanced their leverage vis-a-vis recalcitrant local policy-makers (Keck and </w:t>
      </w:r>
      <w:proofErr w:type="spellStart"/>
      <w:r w:rsidRPr="007974A1">
        <w:rPr>
          <w:sz w:val="16"/>
        </w:rPr>
        <w:t>Sikkink</w:t>
      </w:r>
      <w:proofErr w:type="spellEnd"/>
      <w:r w:rsidRPr="007974A1">
        <w:rPr>
          <w:sz w:val="16"/>
        </w:rPr>
        <w:t xml:space="preserve"> 1998a; </w:t>
      </w:r>
      <w:proofErr w:type="spellStart"/>
      <w:r w:rsidRPr="007974A1">
        <w:rPr>
          <w:sz w:val="16"/>
        </w:rPr>
        <w:t>Htun</w:t>
      </w:r>
      <w:proofErr w:type="spellEnd"/>
      <w:r w:rsidRPr="007974A1">
        <w:rPr>
          <w:sz w:val="16"/>
        </w:rPr>
        <w:t xml:space="preserve"> 1998). But few studies have explored the critical question of how feminist activists' engagement with policy advocacy on a </w:t>
      </w:r>
      <w:proofErr w:type="spellStart"/>
      <w:r w:rsidRPr="007974A1">
        <w:rPr>
          <w:sz w:val="16"/>
        </w:rPr>
        <w:t>suprana</w:t>
      </w:r>
      <w:proofErr w:type="spellEnd"/>
      <w:r w:rsidRPr="007974A1">
        <w:rPr>
          <w:sz w:val="16"/>
        </w:rPr>
        <w:t xml:space="preserve">- </w:t>
      </w:r>
      <w:proofErr w:type="spellStart"/>
      <w:r w:rsidRPr="007974A1">
        <w:rPr>
          <w:sz w:val="16"/>
        </w:rPr>
        <w:t>tional</w:t>
      </w:r>
      <w:proofErr w:type="spellEnd"/>
      <w:r w:rsidRPr="007974A1">
        <w:rPr>
          <w:sz w:val="16"/>
        </w:rPr>
        <w:t xml:space="preserve"> plane translates locally in terms of movement dynamics, discourses, and practices. </w:t>
      </w:r>
      <w:r w:rsidRPr="00DC3163">
        <w:rPr>
          <w:u w:val="single"/>
        </w:rPr>
        <w:t>By analyzing some of the local impacts of a wide array of transborder activities undertaken by Latin American feminists over the past two decades</w:t>
      </w:r>
      <w:r w:rsidRPr="007974A1">
        <w:rPr>
          <w:sz w:val="16"/>
        </w:rPr>
        <w:t xml:space="preserve">, I want to draw attention to three oft-neglected </w:t>
      </w:r>
      <w:proofErr w:type="spellStart"/>
      <w:r w:rsidRPr="007974A1">
        <w:rPr>
          <w:sz w:val="16"/>
        </w:rPr>
        <w:t>dimen</w:t>
      </w:r>
      <w:proofErr w:type="spellEnd"/>
      <w:r w:rsidRPr="007974A1">
        <w:rPr>
          <w:sz w:val="16"/>
        </w:rPr>
        <w:t xml:space="preserve">- </w:t>
      </w:r>
      <w:proofErr w:type="spellStart"/>
      <w:r w:rsidRPr="007974A1">
        <w:rPr>
          <w:sz w:val="16"/>
        </w:rPr>
        <w:t>sions</w:t>
      </w:r>
      <w:proofErr w:type="spellEnd"/>
      <w:r w:rsidRPr="007974A1">
        <w:rPr>
          <w:sz w:val="16"/>
        </w:rPr>
        <w:t xml:space="preserve"> of the </w:t>
      </w:r>
      <w:proofErr w:type="spellStart"/>
      <w:r w:rsidRPr="007974A1">
        <w:rPr>
          <w:sz w:val="16"/>
        </w:rPr>
        <w:t>transnationalization</w:t>
      </w:r>
      <w:proofErr w:type="spellEnd"/>
      <w:r w:rsidRPr="007974A1">
        <w:rPr>
          <w:sz w:val="16"/>
        </w:rPr>
        <w:t xml:space="preserve"> of local feminist discourses and practices. The local and transnational forces shaping feminist movement dynamics are, of course, mutually constitutive and therefore difficult to </w:t>
      </w:r>
      <w:proofErr w:type="spellStart"/>
      <w:r w:rsidRPr="007974A1">
        <w:rPr>
          <w:sz w:val="16"/>
        </w:rPr>
        <w:t>disen</w:t>
      </w:r>
      <w:proofErr w:type="spellEnd"/>
      <w:r w:rsidRPr="007974A1">
        <w:rPr>
          <w:sz w:val="16"/>
        </w:rPr>
        <w:t xml:space="preserve">- tangle analytically. In the sense used here, </w:t>
      </w:r>
      <w:proofErr w:type="spellStart"/>
      <w:r w:rsidRPr="00DC3163">
        <w:rPr>
          <w:u w:val="single"/>
        </w:rPr>
        <w:t>transnationalization</w:t>
      </w:r>
      <w:proofErr w:type="spellEnd"/>
      <w:r w:rsidRPr="00DC3163">
        <w:rPr>
          <w:u w:val="single"/>
        </w:rPr>
        <w:t xml:space="preserve"> refers to local movement actors' deployment of discursive frames and </w:t>
      </w:r>
      <w:proofErr w:type="spellStart"/>
      <w:r w:rsidRPr="00DC3163">
        <w:rPr>
          <w:u w:val="single"/>
        </w:rPr>
        <w:t>organiza</w:t>
      </w:r>
      <w:proofErr w:type="spellEnd"/>
      <w:r w:rsidRPr="00DC3163">
        <w:rPr>
          <w:u w:val="single"/>
        </w:rPr>
        <w:t xml:space="preserve">- </w:t>
      </w:r>
      <w:proofErr w:type="spellStart"/>
      <w:r w:rsidRPr="00DC3163">
        <w:rPr>
          <w:u w:val="single"/>
        </w:rPr>
        <w:t>tional</w:t>
      </w:r>
      <w:proofErr w:type="spellEnd"/>
      <w:r w:rsidRPr="00DC3163">
        <w:rPr>
          <w:u w:val="single"/>
        </w:rPr>
        <w:t xml:space="preserve"> and political practices that are inspired, (re)affirmed, or reinforced -though not necessarily caused- by their engagement with other actors beyond national borders through a wide range of transnational contacts, discussions, transactions, and networks, both virtual and "real." </w:t>
      </w:r>
    </w:p>
    <w:p w:rsidR="00977583" w:rsidRPr="00DC3163" w:rsidRDefault="00977583" w:rsidP="00977583">
      <w:pPr>
        <w:pStyle w:val="Heading4"/>
      </w:pPr>
      <w:r>
        <w:t xml:space="preserve">Governmental solidarity alters local power dynamics </w:t>
      </w:r>
    </w:p>
    <w:p w:rsidR="00977583" w:rsidRPr="00A75E79" w:rsidRDefault="00977583" w:rsidP="00977583">
      <w:pPr>
        <w:rPr>
          <w:b/>
          <w:bCs/>
          <w:sz w:val="16"/>
          <w:szCs w:val="16"/>
          <w:u w:val="single"/>
        </w:rPr>
      </w:pPr>
      <w:r w:rsidRPr="00A75E79">
        <w:rPr>
          <w:b/>
          <w:bCs/>
        </w:rPr>
        <w:t>Alvarez 2000</w:t>
      </w:r>
      <w:r>
        <w:t>(</w:t>
      </w:r>
      <w:r w:rsidRPr="00A75E79">
        <w:rPr>
          <w:sz w:val="16"/>
          <w:szCs w:val="16"/>
        </w:rPr>
        <w:t>Sonia E. Alvarez, “Translating the Global Effects of Transnational Organizing on Local Feminist Discourses and Practices in Latin America”, Meridians, Vol. 1, No. 1 (Autumn, 2000), pp. 29-67, Duke University Press, https://www.jstor.org/stable/40338427)//kb</w:t>
      </w:r>
    </w:p>
    <w:p w:rsidR="00977583" w:rsidRPr="007974A1" w:rsidRDefault="00977583" w:rsidP="00977583">
      <w:pPr>
        <w:rPr>
          <w:sz w:val="16"/>
        </w:rPr>
      </w:pPr>
      <w:r w:rsidRPr="007974A1">
        <w:rPr>
          <w:sz w:val="16"/>
        </w:rPr>
        <w:t xml:space="preserve">I will suggest that </w:t>
      </w:r>
      <w:r w:rsidRPr="00DC3163">
        <w:rPr>
          <w:u w:val="single"/>
        </w:rPr>
        <w:t>local movement actors pursue transnational linkages with their counterparts beyond the boundaries of the nation-state</w:t>
      </w:r>
      <w:r w:rsidRPr="007974A1">
        <w:rPr>
          <w:sz w:val="16"/>
        </w:rPr>
        <w:t xml:space="preserve"> for (at least) two distinct reasons. First, local movement </w:t>
      </w:r>
      <w:r w:rsidRPr="00614974">
        <w:rPr>
          <w:b/>
          <w:bCs/>
          <w:u w:val="single"/>
        </w:rPr>
        <w:t>actors use transnational contacts as a means to (re)construct or reaffirm subaltern or politically marginalized identities and to establish personal and strategic bonds of solidarity with others who share locally stigmatized values</w:t>
      </w:r>
      <w:r w:rsidRPr="007974A1">
        <w:rPr>
          <w:sz w:val="16"/>
        </w:rPr>
        <w:t xml:space="preserve"> (for example, feminist ideals) or identities (for example, as Afro-Latin Americans or as lesbians). Second, activists also organize across borders in an effort to ex- </w:t>
      </w:r>
      <w:proofErr w:type="spellStart"/>
      <w:r w:rsidRPr="007974A1">
        <w:rPr>
          <w:sz w:val="16"/>
        </w:rPr>
        <w:t>pand</w:t>
      </w:r>
      <w:proofErr w:type="spellEnd"/>
      <w:r w:rsidRPr="007974A1">
        <w:rPr>
          <w:sz w:val="16"/>
        </w:rPr>
        <w:t xml:space="preserve"> formal rights or affect public policy, seeking to enhance their local political leverage via what Margaret Keck and Kathryn </w:t>
      </w:r>
      <w:proofErr w:type="spellStart"/>
      <w:r w:rsidRPr="007974A1">
        <w:rPr>
          <w:sz w:val="16"/>
        </w:rPr>
        <w:t>Sikkink</w:t>
      </w:r>
      <w:proofErr w:type="spellEnd"/>
      <w:r w:rsidRPr="007974A1">
        <w:rPr>
          <w:sz w:val="16"/>
        </w:rPr>
        <w:t xml:space="preserve"> (1998a, 12-13) call </w:t>
      </w:r>
      <w:r w:rsidRPr="00614974">
        <w:rPr>
          <w:u w:val="single"/>
        </w:rPr>
        <w:t>the "boomerang pattern"</w:t>
      </w:r>
      <w:r w:rsidRPr="007974A1">
        <w:rPr>
          <w:sz w:val="16"/>
        </w:rPr>
        <w:t xml:space="preserve"> of influence. By this </w:t>
      </w:r>
      <w:r w:rsidRPr="00614974">
        <w:rPr>
          <w:u w:val="single"/>
        </w:rPr>
        <w:t xml:space="preserve">means, trans- national coalitions of nongovernmental, governmental, and </w:t>
      </w:r>
      <w:proofErr w:type="spellStart"/>
      <w:r w:rsidRPr="00614974">
        <w:rPr>
          <w:u w:val="single"/>
        </w:rPr>
        <w:t>intergovern</w:t>
      </w:r>
      <w:proofErr w:type="spellEnd"/>
      <w:r w:rsidRPr="00614974">
        <w:rPr>
          <w:u w:val="single"/>
        </w:rPr>
        <w:t>- mental actors exert pressure on more powerful states</w:t>
      </w:r>
      <w:r w:rsidRPr="007974A1">
        <w:rPr>
          <w:sz w:val="16"/>
        </w:rPr>
        <w:t xml:space="preserve"> and on </w:t>
      </w:r>
      <w:proofErr w:type="spellStart"/>
      <w:r w:rsidRPr="007974A1">
        <w:rPr>
          <w:sz w:val="16"/>
        </w:rPr>
        <w:t>igos</w:t>
      </w:r>
      <w:proofErr w:type="spellEnd"/>
      <w:r w:rsidRPr="00614974">
        <w:rPr>
          <w:u w:val="single"/>
        </w:rPr>
        <w:t xml:space="preserve"> to in turn bring pressure to bear on a particular government that violates rights or resists a desired policy change</w:t>
      </w:r>
      <w:r w:rsidRPr="007974A1">
        <w:rPr>
          <w:sz w:val="16"/>
        </w:rPr>
        <w:t xml:space="preserve">.7 These two transnational activist logics, of course, are seldom entirely TRANSLATING THE GLOBAL 31 terms separable in actual movement practices. In fact, they often operate within the same governmental, intergovernmental, or movement spaces and can be mutually reinforcing. For example, as Ann Marie Clark, Elisabeth Fried- man and Kathryn Hochstetler rightly note, "beyond efforts to influence official positions [at UN World Conferences], a separate and often com- </w:t>
      </w:r>
      <w:proofErr w:type="spellStart"/>
      <w:r w:rsidRPr="007974A1">
        <w:rPr>
          <w:sz w:val="16"/>
        </w:rPr>
        <w:t>plementary</w:t>
      </w:r>
      <w:proofErr w:type="spellEnd"/>
      <w:r w:rsidRPr="007974A1">
        <w:rPr>
          <w:sz w:val="16"/>
        </w:rPr>
        <w:t xml:space="preserve"> </w:t>
      </w:r>
      <w:proofErr w:type="spellStart"/>
      <w:r w:rsidRPr="007974A1">
        <w:rPr>
          <w:sz w:val="16"/>
        </w:rPr>
        <w:t>ngo</w:t>
      </w:r>
      <w:proofErr w:type="spellEnd"/>
      <w:r w:rsidRPr="007974A1">
        <w:rPr>
          <w:sz w:val="16"/>
        </w:rPr>
        <w:t xml:space="preserve"> strategy is networking" or engaging in informal </w:t>
      </w:r>
      <w:proofErr w:type="spellStart"/>
      <w:r w:rsidRPr="007974A1">
        <w:rPr>
          <w:sz w:val="16"/>
        </w:rPr>
        <w:t>ngo</w:t>
      </w:r>
      <w:proofErr w:type="spellEnd"/>
      <w:r w:rsidRPr="007974A1">
        <w:rPr>
          <w:sz w:val="16"/>
        </w:rPr>
        <w:t xml:space="preserve">- to-NGO strategic discussions (1998, 19). Similarly, as I will explore below, the Latin American advocacy coalition established in the early 1990s to in- fluence the regional preparatory process for Beijing was built upon many years of previous intraregional </w:t>
      </w:r>
      <w:r w:rsidRPr="00756EE9">
        <w:rPr>
          <w:u w:val="single"/>
        </w:rPr>
        <w:t xml:space="preserve">identity-solidarity exchanges among feminists-especially among those who </w:t>
      </w:r>
      <w:r w:rsidRPr="00756EE9">
        <w:rPr>
          <w:u w:val="single"/>
        </w:rPr>
        <w:lastRenderedPageBreak/>
        <w:t>increasingly became involved in national gender policy matters</w:t>
      </w:r>
      <w:r w:rsidRPr="007974A1">
        <w:rPr>
          <w:sz w:val="16"/>
        </w:rPr>
        <w:t xml:space="preserve"> over the course of the 1980s. Finally, I will maintain that these distinctive transnational activist logics none- the less </w:t>
      </w:r>
      <w:r w:rsidRPr="00756EE9">
        <w:rPr>
          <w:u w:val="single"/>
        </w:rPr>
        <w:t>can have</w:t>
      </w:r>
      <w:r w:rsidRPr="007974A1">
        <w:rPr>
          <w:sz w:val="16"/>
        </w:rPr>
        <w:t xml:space="preserve"> different </w:t>
      </w:r>
      <w:r w:rsidRPr="00756EE9">
        <w:rPr>
          <w:u w:val="single"/>
        </w:rPr>
        <w:t>effects on local movement organizational dynamics and power relations</w:t>
      </w:r>
      <w:r w:rsidRPr="007974A1">
        <w:rPr>
          <w:sz w:val="16"/>
        </w:rPr>
        <w:t xml:space="preserve"> and can sometimes clash in local movement arenas. Whereas the existing literature typically lumps all cross-border organizing efforts under a single analytical rubric (for instance, "global civil society" or transnational so- </w:t>
      </w:r>
      <w:proofErr w:type="spellStart"/>
      <w:r w:rsidRPr="007974A1">
        <w:rPr>
          <w:sz w:val="16"/>
        </w:rPr>
        <w:t>cial</w:t>
      </w:r>
      <w:proofErr w:type="spellEnd"/>
      <w:r w:rsidRPr="007974A1">
        <w:rPr>
          <w:sz w:val="16"/>
        </w:rPr>
        <w:t xml:space="preserve"> movements), I want to suggest that different modalities of </w:t>
      </w:r>
      <w:proofErr w:type="spellStart"/>
      <w:r w:rsidRPr="007974A1">
        <w:rPr>
          <w:sz w:val="16"/>
        </w:rPr>
        <w:t>transbor</w:t>
      </w:r>
      <w:proofErr w:type="spellEnd"/>
      <w:r w:rsidRPr="007974A1">
        <w:rPr>
          <w:sz w:val="16"/>
        </w:rPr>
        <w:t xml:space="preserve">- der activism not only can have differential impacts on promoting desired policy changes, but also can have distinct political consequences for </w:t>
      </w:r>
      <w:proofErr w:type="spellStart"/>
      <w:r w:rsidRPr="007974A1">
        <w:rPr>
          <w:sz w:val="16"/>
        </w:rPr>
        <w:t>activ</w:t>
      </w:r>
      <w:proofErr w:type="spellEnd"/>
      <w:r w:rsidRPr="007974A1">
        <w:rPr>
          <w:sz w:val="16"/>
        </w:rPr>
        <w:t xml:space="preserve">- </w:t>
      </w:r>
      <w:proofErr w:type="spellStart"/>
      <w:r w:rsidRPr="007974A1">
        <w:rPr>
          <w:sz w:val="16"/>
        </w:rPr>
        <w:t>ist</w:t>
      </w:r>
      <w:proofErr w:type="spellEnd"/>
      <w:r w:rsidRPr="007974A1">
        <w:rPr>
          <w:sz w:val="16"/>
        </w:rPr>
        <w:t xml:space="preserve"> discourses and practices and for </w:t>
      </w:r>
      <w:proofErr w:type="spellStart"/>
      <w:r w:rsidRPr="007974A1">
        <w:rPr>
          <w:sz w:val="16"/>
        </w:rPr>
        <w:t>intramovement</w:t>
      </w:r>
      <w:proofErr w:type="spellEnd"/>
      <w:r w:rsidRPr="007974A1">
        <w:rPr>
          <w:sz w:val="16"/>
        </w:rPr>
        <w:t xml:space="preserve"> power relations on the home front.8 In conclusion, I will argue that while the interplay of these two </w:t>
      </w:r>
      <w:r w:rsidRPr="007974A1">
        <w:rPr>
          <w:b/>
          <w:bCs/>
          <w:u w:val="single"/>
        </w:rPr>
        <w:t>transnational activist logics has brought numerous benefits to local movements</w:t>
      </w:r>
      <w:r w:rsidRPr="007974A1">
        <w:rPr>
          <w:sz w:val="16"/>
        </w:rPr>
        <w:t xml:space="preserve">, the predominance of </w:t>
      </w:r>
      <w:proofErr w:type="spellStart"/>
      <w:r w:rsidRPr="007974A1">
        <w:rPr>
          <w:sz w:val="16"/>
        </w:rPr>
        <w:t>iGO</w:t>
      </w:r>
      <w:proofErr w:type="spellEnd"/>
      <w:r w:rsidRPr="007974A1">
        <w:rPr>
          <w:sz w:val="16"/>
        </w:rPr>
        <w:t xml:space="preserve">-advocacy activities among grow- </w:t>
      </w:r>
      <w:proofErr w:type="spellStart"/>
      <w:r w:rsidRPr="007974A1">
        <w:rPr>
          <w:sz w:val="16"/>
        </w:rPr>
        <w:t>ing</w:t>
      </w:r>
      <w:proofErr w:type="spellEnd"/>
      <w:r w:rsidRPr="007974A1">
        <w:rPr>
          <w:sz w:val="16"/>
        </w:rPr>
        <w:t xml:space="preserve"> sectors of Latin American feminist movements in recent years has had more ambiguous and sometimes contradictory local consequences.</w:t>
      </w:r>
    </w:p>
    <w:p w:rsidR="00977583" w:rsidRDefault="00977583" w:rsidP="00977583">
      <w:pPr>
        <w:pStyle w:val="Heading4"/>
      </w:pPr>
      <w:r>
        <w:t xml:space="preserve">The aff’s methodology uses the state as a vehicle to interject change </w:t>
      </w:r>
    </w:p>
    <w:p w:rsidR="00977583" w:rsidRPr="00076DEB" w:rsidRDefault="00977583" w:rsidP="00977583">
      <w:pPr>
        <w:rPr>
          <w:sz w:val="16"/>
          <w:szCs w:val="16"/>
        </w:rPr>
      </w:pPr>
      <w:r w:rsidRPr="00076DEB">
        <w:rPr>
          <w:b/>
          <w:bCs/>
        </w:rPr>
        <w:t>Phillips and Cole 09</w:t>
      </w:r>
      <w:r w:rsidRPr="00076DEB">
        <w:rPr>
          <w:sz w:val="16"/>
          <w:szCs w:val="16"/>
        </w:rPr>
        <w:t>(Lynne Phillips and Sally Cole, “Feminist Flows, Feminist Fault Lines: Women’s Machineries and Women’s Movements in Latin America”, The University of Chicago Press, Vol. 35, No. 1 (Autumn 2009), pp. 185-211, https://www.jstor.org/stable/10.1086/599260)//kb</w:t>
      </w:r>
    </w:p>
    <w:p w:rsidR="00977583" w:rsidRPr="003C6332" w:rsidRDefault="00977583" w:rsidP="00977583">
      <w:pPr>
        <w:rPr>
          <w:u w:val="single"/>
        </w:rPr>
      </w:pPr>
      <w:r w:rsidRPr="00E0482D">
        <w:rPr>
          <w:u w:val="single"/>
        </w:rPr>
        <w:t>Concepts of networks</w:t>
      </w:r>
      <w:r w:rsidRPr="003C6332">
        <w:rPr>
          <w:sz w:val="16"/>
        </w:rPr>
        <w:t xml:space="preserve">, alliances and coalitions </w:t>
      </w:r>
      <w:r w:rsidRPr="00E0482D">
        <w:rPr>
          <w:u w:val="single"/>
        </w:rPr>
        <w:t>are more helpful in an analysis of feminist politics than those of identity or difference because they foreground the practice of recognizing differences and commonalities simultaneously.</w:t>
      </w:r>
      <w:r w:rsidRPr="003C6332">
        <w:rPr>
          <w:sz w:val="16"/>
        </w:rPr>
        <w:t xml:space="preserve"> They point up the social and political work that is done when engaging across difference. They are suggestive of the contingency and of the potential for both fragility and resilience of the grouping of those supporting a political project, especially over time and space. —Sylvia </w:t>
      </w:r>
      <w:proofErr w:type="spellStart"/>
      <w:r w:rsidRPr="003C6332">
        <w:rPr>
          <w:sz w:val="16"/>
        </w:rPr>
        <w:t>Walby</w:t>
      </w:r>
      <w:proofErr w:type="spellEnd"/>
      <w:r w:rsidRPr="003C6332">
        <w:rPr>
          <w:sz w:val="16"/>
        </w:rPr>
        <w:t xml:space="preserve"> (2002, 547–48) Our research is an example of the kind of empirical analysis Sylvia </w:t>
      </w:r>
      <w:proofErr w:type="spellStart"/>
      <w:r w:rsidRPr="003C6332">
        <w:rPr>
          <w:sz w:val="16"/>
        </w:rPr>
        <w:t>Walby</w:t>
      </w:r>
      <w:proofErr w:type="spellEnd"/>
      <w:r w:rsidRPr="003C6332">
        <w:rPr>
          <w:sz w:val="16"/>
        </w:rPr>
        <w:t xml:space="preserve"> has argued is needed in order to understand the “actual nature of specific international feminist political relations” (2002, 550; emphasis added) rather than assuming an imperial relation. </w:t>
      </w:r>
      <w:proofErr w:type="spellStart"/>
      <w:r w:rsidRPr="003C6332">
        <w:rPr>
          <w:sz w:val="16"/>
        </w:rPr>
        <w:t>Walby</w:t>
      </w:r>
      <w:proofErr w:type="spellEnd"/>
      <w:r w:rsidRPr="003C6332">
        <w:rPr>
          <w:sz w:val="16"/>
        </w:rPr>
        <w:t xml:space="preserve"> reminds us that </w:t>
      </w:r>
      <w:r w:rsidRPr="00E0482D">
        <w:rPr>
          <w:u w:val="single"/>
        </w:rPr>
        <w:t xml:space="preserve">globalization, </w:t>
      </w:r>
      <w:r w:rsidRPr="003C6332">
        <w:rPr>
          <w:sz w:val="16"/>
        </w:rPr>
        <w:t xml:space="preserve">beyond being an economic process involving the development of global financial and capital markets, </w:t>
      </w:r>
      <w:r w:rsidRPr="00E0482D">
        <w:rPr>
          <w:u w:val="single"/>
        </w:rPr>
        <w:t>is a political process that “has involved the restructuring of the political environmen</w:t>
      </w:r>
      <w:r w:rsidRPr="003C6332">
        <w:rPr>
          <w:sz w:val="16"/>
        </w:rPr>
        <w:t>t, re-positioning the nation-state in a web of trans-national networks and institutions” (551). I</w:t>
      </w:r>
      <w:r w:rsidRPr="00E35D35">
        <w:rPr>
          <w:u w:val="single"/>
        </w:rPr>
        <w:t>n this process new political opportunities have emerged that feminists have been adept at recognizing, taking up new spaces</w:t>
      </w:r>
      <w:r w:rsidRPr="003C6332">
        <w:rPr>
          <w:sz w:val="16"/>
        </w:rPr>
        <w:t xml:space="preserve"> and “levers” (Ferree 2006, 11) </w:t>
      </w:r>
      <w:r w:rsidRPr="00E35D35">
        <w:rPr>
          <w:u w:val="single"/>
        </w:rPr>
        <w:t>to promote their demands for gender equality</w:t>
      </w:r>
      <w:r w:rsidRPr="003C6332">
        <w:rPr>
          <w:sz w:val="16"/>
        </w:rPr>
        <w:t xml:space="preserve"> and broader social change. In this article we argue that </w:t>
      </w:r>
      <w:r w:rsidRPr="00E35D35">
        <w:rPr>
          <w:u w:val="single"/>
        </w:rPr>
        <w:t>feminists’ willingness to integrate themselves into state democratic machineries and mixed alternative social movements represents a strategic decision to change the repertoire and form of feminism</w:t>
      </w:r>
      <w:r w:rsidRPr="003C6332">
        <w:rPr>
          <w:sz w:val="16"/>
        </w:rPr>
        <w:t>—not the cooptation or abeyance of feminism. Given the fluidity of globalization and the transnational orientation of feminism today, we argue that</w:t>
      </w:r>
      <w:r w:rsidRPr="00E35D35">
        <w:rPr>
          <w:b/>
          <w:bCs/>
          <w:u w:val="single"/>
        </w:rPr>
        <w:t xml:space="preserve"> this is not a matter of ignoring the difference between reformist and transformative politics</w:t>
      </w:r>
      <w:r w:rsidRPr="003C6332">
        <w:rPr>
          <w:sz w:val="16"/>
        </w:rPr>
        <w:t xml:space="preserve"> (Vargas 2003) </w:t>
      </w:r>
      <w:r w:rsidRPr="00E35D35">
        <w:rPr>
          <w:b/>
          <w:bCs/>
          <w:u w:val="single"/>
        </w:rPr>
        <w:t xml:space="preserve">but rather of recognizing a strategic politics that engages with new </w:t>
      </w:r>
      <w:r w:rsidRPr="003C6332">
        <w:rPr>
          <w:sz w:val="16"/>
        </w:rPr>
        <w:t xml:space="preserve">(and always changing) </w:t>
      </w:r>
      <w:r w:rsidRPr="00E35D35">
        <w:rPr>
          <w:b/>
          <w:bCs/>
          <w:u w:val="single"/>
        </w:rPr>
        <w:t>opportunities for broadening translations of feminism for social change.</w:t>
      </w:r>
      <w:r w:rsidRPr="003C6332">
        <w:rPr>
          <w:sz w:val="16"/>
        </w:rPr>
        <w:t xml:space="preserve"> Many of those practicing feminist politics have found a way of working across difference while utilizing the discourse of human rights. As globalization has restructured gendered political opportunities and resources in complex ways,</w:t>
      </w:r>
      <w:r w:rsidRPr="000076CD">
        <w:rPr>
          <w:b/>
          <w:bCs/>
          <w:u w:val="single"/>
        </w:rPr>
        <w:t xml:space="preserve"> human rights discourses “now take a hybridized rather than a purely Western form</w:t>
      </w:r>
      <w:r w:rsidRPr="003C6332">
        <w:rPr>
          <w:sz w:val="16"/>
        </w:rPr>
        <w:t>” (</w:t>
      </w:r>
      <w:proofErr w:type="spellStart"/>
      <w:r w:rsidRPr="003C6332">
        <w:rPr>
          <w:sz w:val="16"/>
        </w:rPr>
        <w:t>Walby</w:t>
      </w:r>
      <w:proofErr w:type="spellEnd"/>
      <w:r w:rsidRPr="003C6332">
        <w:rPr>
          <w:sz w:val="16"/>
        </w:rPr>
        <w:t xml:space="preserve"> 2002, 535; cf. Mohanty 1991; Ong 2006). This is why it is important not to interpret feminist politics outside their contexts, assuming, for example, that a human rights discourse reflects a turn to individualist or liberal feminism. Rather, as </w:t>
      </w:r>
      <w:proofErr w:type="spellStart"/>
      <w:r w:rsidRPr="003C6332">
        <w:rPr>
          <w:sz w:val="16"/>
        </w:rPr>
        <w:t>Walby</w:t>
      </w:r>
      <w:proofErr w:type="spellEnd"/>
      <w:r w:rsidRPr="003C6332">
        <w:rPr>
          <w:sz w:val="16"/>
        </w:rPr>
        <w:t xml:space="preserve"> concludes, “</w:t>
      </w:r>
      <w:r w:rsidRPr="000076CD">
        <w:rPr>
          <w:u w:val="single"/>
        </w:rPr>
        <w:t>the notion that women’s rights are human rights</w:t>
      </w:r>
      <w:r w:rsidRPr="003C6332">
        <w:rPr>
          <w:sz w:val="16"/>
        </w:rPr>
        <w:t xml:space="preserve"> </w:t>
      </w:r>
      <w:r w:rsidRPr="000076CD">
        <w:rPr>
          <w:u w:val="single"/>
        </w:rPr>
        <w:t xml:space="preserve">is </w:t>
      </w:r>
      <w:r w:rsidRPr="003C6332">
        <w:rPr>
          <w:sz w:val="16"/>
        </w:rPr>
        <w:t xml:space="preserve">an addition to the political repertoire of feminists” (2002, 549; emphasis added), </w:t>
      </w:r>
      <w:r w:rsidRPr="000076CD">
        <w:rPr>
          <w:u w:val="single"/>
        </w:rPr>
        <w:t>a repertoire that needs to be located and understood in context.</w:t>
      </w:r>
      <w:r w:rsidRPr="003C6332">
        <w:rPr>
          <w:sz w:val="16"/>
        </w:rPr>
        <w:t xml:space="preserve"> This new political environment requires us to look at the translations of feminism as contingent on the kinds of alliances being built at any given time. </w:t>
      </w:r>
      <w:r w:rsidRPr="00E24138">
        <w:rPr>
          <w:u w:val="single"/>
        </w:rPr>
        <w:t>Our methodology recognizes that emergent global institutions</w:t>
      </w:r>
      <w:r w:rsidRPr="003C6332">
        <w:rPr>
          <w:sz w:val="16"/>
        </w:rPr>
        <w:t xml:space="preserve"> and forums such as the World Social Forum and the Continental Social Alliance against Free Trade </w:t>
      </w:r>
      <w:r w:rsidRPr="00E24138">
        <w:rPr>
          <w:u w:val="single"/>
        </w:rPr>
        <w:t>present new spaces for the development of feminist ideas, practice, and alliances</w:t>
      </w:r>
      <w:r w:rsidRPr="003C6332">
        <w:rPr>
          <w:sz w:val="16"/>
        </w:rPr>
        <w:t xml:space="preserve">, alliances that feminists are skillfully using to pressure national governments. In this article we argue that </w:t>
      </w:r>
      <w:r w:rsidRPr="00E24138">
        <w:rPr>
          <w:u w:val="single"/>
        </w:rPr>
        <w:t>Latin American feminists’ active engagement with state agencies</w:t>
      </w:r>
      <w:r w:rsidRPr="003C6332">
        <w:rPr>
          <w:sz w:val="16"/>
        </w:rPr>
        <w:t xml:space="preserve">, advisory councils, and ministries (i.e., machineries) </w:t>
      </w:r>
      <w:r w:rsidRPr="00E24138">
        <w:rPr>
          <w:u w:val="single"/>
        </w:rPr>
        <w:t>can be understood as a strategic politics of presence—of surveillance of the state agenda and actions for implementing gender equality.</w:t>
      </w:r>
      <w:r w:rsidRPr="003C6332">
        <w:rPr>
          <w:sz w:val="16"/>
        </w:rPr>
        <w:t xml:space="preserve"> These intermediate institutions and spaces mediate </w:t>
      </w:r>
      <w:r w:rsidRPr="003C6332">
        <w:rPr>
          <w:sz w:val="16"/>
        </w:rPr>
        <w:lastRenderedPageBreak/>
        <w:t xml:space="preserve">feminist practice and are essential to understand in Latin America, where </w:t>
      </w:r>
      <w:r w:rsidRPr="00E24138">
        <w:rPr>
          <w:b/>
          <w:bCs/>
          <w:u w:val="single"/>
        </w:rPr>
        <w:t>the state remains a critical site for feminist politics</w:t>
      </w:r>
      <w:r w:rsidRPr="003C6332">
        <w:rPr>
          <w:sz w:val="16"/>
        </w:rPr>
        <w:t>. Our research illustrates how feminists are forming political alignments at a range of levels in which engaging with states represents one node in a wider network of relevant political and cultural forums. New arenas of “insurgent citizenship” (Holston 2008) based, for example, on the solidarity economy (</w:t>
      </w:r>
      <w:proofErr w:type="spellStart"/>
      <w:r w:rsidRPr="003C6332">
        <w:rPr>
          <w:sz w:val="16"/>
        </w:rPr>
        <w:t>economia</w:t>
      </w:r>
      <w:proofErr w:type="spellEnd"/>
      <w:r w:rsidRPr="003C6332">
        <w:rPr>
          <w:sz w:val="16"/>
        </w:rPr>
        <w:t xml:space="preserve"> </w:t>
      </w:r>
      <w:proofErr w:type="spellStart"/>
      <w:r w:rsidRPr="003C6332">
        <w:rPr>
          <w:sz w:val="16"/>
        </w:rPr>
        <w:t>solida</w:t>
      </w:r>
      <w:proofErr w:type="spellEnd"/>
      <w:r w:rsidRPr="003C6332">
        <w:rPr>
          <w:sz w:val="16"/>
        </w:rPr>
        <w:t xml:space="preserve">´ ria) or environmental movements are other spaces in which feminists localize utopian and alternative visions for the future.6 In our study, the popular education work of REMTE and its allies, CF8 and MUROCSE, provide ethnographic examples of how feminism is mobilizing and allying with these emergent arenas in the Latin American case. </w:t>
      </w:r>
      <w:r w:rsidRPr="003C6332">
        <w:rPr>
          <w:u w:val="single"/>
        </w:rPr>
        <w:t>The flows of feminism in Latin America, then, must be understood within this fluid context of globalization and feminist politics.</w:t>
      </w:r>
    </w:p>
    <w:p w:rsidR="00977583" w:rsidRPr="003C6332" w:rsidRDefault="00977583" w:rsidP="00977583">
      <w:pPr>
        <w:rPr>
          <w:u w:val="single"/>
        </w:rPr>
      </w:pPr>
    </w:p>
    <w:p w:rsidR="00C51C19" w:rsidRPr="00C51C19" w:rsidRDefault="00C51C19" w:rsidP="00C51C19"/>
    <w:sectPr w:rsidR="00C51C19" w:rsidRPr="00C51C19"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altName w:val="Segoe UI"/>
    <w:panose1 w:val="020B0600040502020204"/>
    <w:charset w:val="00"/>
    <w:family w:val="swiss"/>
    <w:pitch w:val="variable"/>
    <w:sig w:usb0="E1000AEF" w:usb1="5000A1FF" w:usb2="00000000" w:usb3="00000000" w:csb0="000001BF"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imes-Roman">
    <w:panose1 w:val="00000500000000020000"/>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48CC2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1287A6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8ECA56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878919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FDA31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232598E"/>
    <w:multiLevelType w:val="hybridMultilevel"/>
    <w:tmpl w:val="623AA97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D9A02F6"/>
    <w:multiLevelType w:val="hybridMultilevel"/>
    <w:tmpl w:val="71C8755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1"/>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00"/>
  <w:proofState w:spelling="clean" w:grammar="clean"/>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
    <w:docVar w:name="VerbatimMac" w:val="True"/>
    <w:docVar w:name="VerbatimVersion" w:val="5.0"/>
  </w:docVars>
  <w:rsids>
    <w:rsidRoot w:val="00025407"/>
    <w:rsid w:val="000029E3"/>
    <w:rsid w:val="000029E8"/>
    <w:rsid w:val="00004225"/>
    <w:rsid w:val="000066CA"/>
    <w:rsid w:val="00007264"/>
    <w:rsid w:val="000076A9"/>
    <w:rsid w:val="00014FAD"/>
    <w:rsid w:val="00015D2A"/>
    <w:rsid w:val="00016550"/>
    <w:rsid w:val="0002490B"/>
    <w:rsid w:val="00025407"/>
    <w:rsid w:val="00026465"/>
    <w:rsid w:val="00030204"/>
    <w:rsid w:val="000312A0"/>
    <w:rsid w:val="0003396C"/>
    <w:rsid w:val="00035337"/>
    <w:rsid w:val="00052FB1"/>
    <w:rsid w:val="00054276"/>
    <w:rsid w:val="000547B1"/>
    <w:rsid w:val="0006091E"/>
    <w:rsid w:val="000638C1"/>
    <w:rsid w:val="000658BE"/>
    <w:rsid w:val="00065FEE"/>
    <w:rsid w:val="00066E3C"/>
    <w:rsid w:val="00072718"/>
    <w:rsid w:val="0007381E"/>
    <w:rsid w:val="00076094"/>
    <w:rsid w:val="0008785F"/>
    <w:rsid w:val="00090CBE"/>
    <w:rsid w:val="00094DEC"/>
    <w:rsid w:val="000A2D8A"/>
    <w:rsid w:val="000D26A6"/>
    <w:rsid w:val="000D2B90"/>
    <w:rsid w:val="000D6ED8"/>
    <w:rsid w:val="000D717B"/>
    <w:rsid w:val="000E17A2"/>
    <w:rsid w:val="00100B28"/>
    <w:rsid w:val="00117316"/>
    <w:rsid w:val="001209B4"/>
    <w:rsid w:val="00124820"/>
    <w:rsid w:val="0013340D"/>
    <w:rsid w:val="001761FC"/>
    <w:rsid w:val="00182655"/>
    <w:rsid w:val="001840F2"/>
    <w:rsid w:val="00185134"/>
    <w:rsid w:val="001856C6"/>
    <w:rsid w:val="00191B5F"/>
    <w:rsid w:val="00192487"/>
    <w:rsid w:val="00193416"/>
    <w:rsid w:val="00195073"/>
    <w:rsid w:val="0019668D"/>
    <w:rsid w:val="001A25C2"/>
    <w:rsid w:val="001A25FD"/>
    <w:rsid w:val="001A5371"/>
    <w:rsid w:val="001A72C7"/>
    <w:rsid w:val="001B73E3"/>
    <w:rsid w:val="001C316D"/>
    <w:rsid w:val="001D1A0D"/>
    <w:rsid w:val="001D36BF"/>
    <w:rsid w:val="001D4C28"/>
    <w:rsid w:val="001E0B1F"/>
    <w:rsid w:val="001E0C0F"/>
    <w:rsid w:val="001E1E0B"/>
    <w:rsid w:val="001F1173"/>
    <w:rsid w:val="002005A8"/>
    <w:rsid w:val="00203DD8"/>
    <w:rsid w:val="00204E1D"/>
    <w:rsid w:val="002059BD"/>
    <w:rsid w:val="00207FD8"/>
    <w:rsid w:val="00210FAF"/>
    <w:rsid w:val="00213B1E"/>
    <w:rsid w:val="00215284"/>
    <w:rsid w:val="002168F2"/>
    <w:rsid w:val="00222B4D"/>
    <w:rsid w:val="0022589F"/>
    <w:rsid w:val="002343FE"/>
    <w:rsid w:val="00235F7B"/>
    <w:rsid w:val="002502CF"/>
    <w:rsid w:val="0026405A"/>
    <w:rsid w:val="002660AF"/>
    <w:rsid w:val="00267EBB"/>
    <w:rsid w:val="0027023B"/>
    <w:rsid w:val="002709FF"/>
    <w:rsid w:val="00272F3F"/>
    <w:rsid w:val="00274EDB"/>
    <w:rsid w:val="0027729E"/>
    <w:rsid w:val="002843B2"/>
    <w:rsid w:val="00284ED6"/>
    <w:rsid w:val="00290C5A"/>
    <w:rsid w:val="00290C92"/>
    <w:rsid w:val="0029647A"/>
    <w:rsid w:val="00296504"/>
    <w:rsid w:val="002B5511"/>
    <w:rsid w:val="002B7ACF"/>
    <w:rsid w:val="002E0643"/>
    <w:rsid w:val="002E392E"/>
    <w:rsid w:val="002E6BBC"/>
    <w:rsid w:val="002F1BA9"/>
    <w:rsid w:val="002F6E74"/>
    <w:rsid w:val="002F7371"/>
    <w:rsid w:val="003106B3"/>
    <w:rsid w:val="0031385D"/>
    <w:rsid w:val="003171AB"/>
    <w:rsid w:val="00321342"/>
    <w:rsid w:val="003223B2"/>
    <w:rsid w:val="00322A67"/>
    <w:rsid w:val="00330E13"/>
    <w:rsid w:val="00335A23"/>
    <w:rsid w:val="00340707"/>
    <w:rsid w:val="00341C61"/>
    <w:rsid w:val="00351841"/>
    <w:rsid w:val="00352492"/>
    <w:rsid w:val="003624A6"/>
    <w:rsid w:val="00364ADF"/>
    <w:rsid w:val="00365C8D"/>
    <w:rsid w:val="003670D9"/>
    <w:rsid w:val="00370B41"/>
    <w:rsid w:val="00371B27"/>
    <w:rsid w:val="003726C3"/>
    <w:rsid w:val="00375D2E"/>
    <w:rsid w:val="00383071"/>
    <w:rsid w:val="00383B19"/>
    <w:rsid w:val="00384CBC"/>
    <w:rsid w:val="00387C75"/>
    <w:rsid w:val="003933F9"/>
    <w:rsid w:val="00395864"/>
    <w:rsid w:val="00396557"/>
    <w:rsid w:val="00397316"/>
    <w:rsid w:val="003A248F"/>
    <w:rsid w:val="003A4D9C"/>
    <w:rsid w:val="003B1668"/>
    <w:rsid w:val="003C5F4C"/>
    <w:rsid w:val="003D5C60"/>
    <w:rsid w:val="003D5EA8"/>
    <w:rsid w:val="003D7B28"/>
    <w:rsid w:val="003E305E"/>
    <w:rsid w:val="003E34DB"/>
    <w:rsid w:val="003E5302"/>
    <w:rsid w:val="003E5BF1"/>
    <w:rsid w:val="003F2452"/>
    <w:rsid w:val="003F41EA"/>
    <w:rsid w:val="003F7DF0"/>
    <w:rsid w:val="004039AF"/>
    <w:rsid w:val="00404D45"/>
    <w:rsid w:val="00405D4B"/>
    <w:rsid w:val="00407AFF"/>
    <w:rsid w:val="0041155D"/>
    <w:rsid w:val="004170BF"/>
    <w:rsid w:val="0042191C"/>
    <w:rsid w:val="004270E3"/>
    <w:rsid w:val="0043323E"/>
    <w:rsid w:val="004348DC"/>
    <w:rsid w:val="00434921"/>
    <w:rsid w:val="00442018"/>
    <w:rsid w:val="00446567"/>
    <w:rsid w:val="00447B10"/>
    <w:rsid w:val="00452EE4"/>
    <w:rsid w:val="00452F0B"/>
    <w:rsid w:val="004536D6"/>
    <w:rsid w:val="00454283"/>
    <w:rsid w:val="00457224"/>
    <w:rsid w:val="0047482C"/>
    <w:rsid w:val="00475436"/>
    <w:rsid w:val="0048047E"/>
    <w:rsid w:val="00482AF9"/>
    <w:rsid w:val="00496BB2"/>
    <w:rsid w:val="004B37B4"/>
    <w:rsid w:val="004B72B4"/>
    <w:rsid w:val="004C0314"/>
    <w:rsid w:val="004C0D3D"/>
    <w:rsid w:val="004C213E"/>
    <w:rsid w:val="004C376C"/>
    <w:rsid w:val="004C657F"/>
    <w:rsid w:val="004D17D8"/>
    <w:rsid w:val="004D52D8"/>
    <w:rsid w:val="004E355B"/>
    <w:rsid w:val="004E4417"/>
    <w:rsid w:val="004F00AD"/>
    <w:rsid w:val="005028E5"/>
    <w:rsid w:val="00503735"/>
    <w:rsid w:val="0051348F"/>
    <w:rsid w:val="00516A88"/>
    <w:rsid w:val="00522065"/>
    <w:rsid w:val="005224F2"/>
    <w:rsid w:val="00533F1C"/>
    <w:rsid w:val="00536D8B"/>
    <w:rsid w:val="005379C3"/>
    <w:rsid w:val="005519C2"/>
    <w:rsid w:val="005523E0"/>
    <w:rsid w:val="0055320F"/>
    <w:rsid w:val="0055699B"/>
    <w:rsid w:val="0056020A"/>
    <w:rsid w:val="00563D3D"/>
    <w:rsid w:val="005659AA"/>
    <w:rsid w:val="005676E8"/>
    <w:rsid w:val="00577C12"/>
    <w:rsid w:val="00580BFC"/>
    <w:rsid w:val="00581048"/>
    <w:rsid w:val="00581203"/>
    <w:rsid w:val="0058349C"/>
    <w:rsid w:val="00585FBE"/>
    <w:rsid w:val="005870E8"/>
    <w:rsid w:val="0058789C"/>
    <w:rsid w:val="005A4D4E"/>
    <w:rsid w:val="005A7237"/>
    <w:rsid w:val="005B19E3"/>
    <w:rsid w:val="005B21FA"/>
    <w:rsid w:val="005B3244"/>
    <w:rsid w:val="005B6EE8"/>
    <w:rsid w:val="005B7731"/>
    <w:rsid w:val="005C4515"/>
    <w:rsid w:val="005C5602"/>
    <w:rsid w:val="005C74A6"/>
    <w:rsid w:val="005D3B4D"/>
    <w:rsid w:val="005D615C"/>
    <w:rsid w:val="005E1860"/>
    <w:rsid w:val="005F063B"/>
    <w:rsid w:val="005F192D"/>
    <w:rsid w:val="005F24C8"/>
    <w:rsid w:val="005F26AF"/>
    <w:rsid w:val="00607D6C"/>
    <w:rsid w:val="0061383D"/>
    <w:rsid w:val="00614D69"/>
    <w:rsid w:val="00617030"/>
    <w:rsid w:val="00621301"/>
    <w:rsid w:val="0062173F"/>
    <w:rsid w:val="006235FB"/>
    <w:rsid w:val="00626A15"/>
    <w:rsid w:val="006379E9"/>
    <w:rsid w:val="006438CB"/>
    <w:rsid w:val="006529B9"/>
    <w:rsid w:val="00654695"/>
    <w:rsid w:val="0065500A"/>
    <w:rsid w:val="00655217"/>
    <w:rsid w:val="0065727C"/>
    <w:rsid w:val="00674A78"/>
    <w:rsid w:val="0067627F"/>
    <w:rsid w:val="00696A16"/>
    <w:rsid w:val="006A4840"/>
    <w:rsid w:val="006A52A0"/>
    <w:rsid w:val="006A7E1D"/>
    <w:rsid w:val="006C3A56"/>
    <w:rsid w:val="006C44F1"/>
    <w:rsid w:val="006D13F4"/>
    <w:rsid w:val="006D6AED"/>
    <w:rsid w:val="006E177F"/>
    <w:rsid w:val="006E35DF"/>
    <w:rsid w:val="006E6D0B"/>
    <w:rsid w:val="006F126E"/>
    <w:rsid w:val="006F32C9"/>
    <w:rsid w:val="006F3834"/>
    <w:rsid w:val="006F5693"/>
    <w:rsid w:val="006F5D4C"/>
    <w:rsid w:val="00717B01"/>
    <w:rsid w:val="007227D9"/>
    <w:rsid w:val="0072491F"/>
    <w:rsid w:val="00725598"/>
    <w:rsid w:val="00727056"/>
    <w:rsid w:val="00734CCA"/>
    <w:rsid w:val="007374A1"/>
    <w:rsid w:val="00752712"/>
    <w:rsid w:val="00753A84"/>
    <w:rsid w:val="007611F5"/>
    <w:rsid w:val="007619E4"/>
    <w:rsid w:val="00761E75"/>
    <w:rsid w:val="0076495E"/>
    <w:rsid w:val="00765FC8"/>
    <w:rsid w:val="0077372C"/>
    <w:rsid w:val="00775694"/>
    <w:rsid w:val="00793F46"/>
    <w:rsid w:val="007A1325"/>
    <w:rsid w:val="007A1A18"/>
    <w:rsid w:val="007A3BAF"/>
    <w:rsid w:val="007B53D8"/>
    <w:rsid w:val="007C092B"/>
    <w:rsid w:val="007C22C5"/>
    <w:rsid w:val="007C57E1"/>
    <w:rsid w:val="007C5811"/>
    <w:rsid w:val="007D2DF5"/>
    <w:rsid w:val="007D451A"/>
    <w:rsid w:val="007D5E3E"/>
    <w:rsid w:val="007D7596"/>
    <w:rsid w:val="007E242C"/>
    <w:rsid w:val="007E6631"/>
    <w:rsid w:val="007F77AA"/>
    <w:rsid w:val="00803A12"/>
    <w:rsid w:val="00805417"/>
    <w:rsid w:val="008266F9"/>
    <w:rsid w:val="008267E2"/>
    <w:rsid w:val="00826A9B"/>
    <w:rsid w:val="00827D6D"/>
    <w:rsid w:val="00834842"/>
    <w:rsid w:val="00834AE9"/>
    <w:rsid w:val="00840E7B"/>
    <w:rsid w:val="008536AF"/>
    <w:rsid w:val="00853D40"/>
    <w:rsid w:val="008564FC"/>
    <w:rsid w:val="00864E76"/>
    <w:rsid w:val="00872581"/>
    <w:rsid w:val="0087459D"/>
    <w:rsid w:val="0087680F"/>
    <w:rsid w:val="00876D81"/>
    <w:rsid w:val="00881D86"/>
    <w:rsid w:val="00883306"/>
    <w:rsid w:val="008904F9"/>
    <w:rsid w:val="00890E4C"/>
    <w:rsid w:val="00890E74"/>
    <w:rsid w:val="00892798"/>
    <w:rsid w:val="0089418F"/>
    <w:rsid w:val="00897C29"/>
    <w:rsid w:val="008A1A9C"/>
    <w:rsid w:val="008A4633"/>
    <w:rsid w:val="008B032E"/>
    <w:rsid w:val="008B2C25"/>
    <w:rsid w:val="008B3045"/>
    <w:rsid w:val="008B4353"/>
    <w:rsid w:val="008C0FA2"/>
    <w:rsid w:val="008C2342"/>
    <w:rsid w:val="008C77B6"/>
    <w:rsid w:val="008D1B91"/>
    <w:rsid w:val="008D724A"/>
    <w:rsid w:val="008E7A3E"/>
    <w:rsid w:val="008F41FD"/>
    <w:rsid w:val="008F4479"/>
    <w:rsid w:val="008F4BA0"/>
    <w:rsid w:val="00901726"/>
    <w:rsid w:val="00920E6A"/>
    <w:rsid w:val="00931816"/>
    <w:rsid w:val="00932C71"/>
    <w:rsid w:val="009509D5"/>
    <w:rsid w:val="009538F5"/>
    <w:rsid w:val="009559DC"/>
    <w:rsid w:val="00957187"/>
    <w:rsid w:val="00960255"/>
    <w:rsid w:val="009603E1"/>
    <w:rsid w:val="00961C9D"/>
    <w:rsid w:val="00963065"/>
    <w:rsid w:val="0097151F"/>
    <w:rsid w:val="00973777"/>
    <w:rsid w:val="00976E78"/>
    <w:rsid w:val="00977583"/>
    <w:rsid w:val="009775C0"/>
    <w:rsid w:val="00981F23"/>
    <w:rsid w:val="00990634"/>
    <w:rsid w:val="00991733"/>
    <w:rsid w:val="00992078"/>
    <w:rsid w:val="00992BE3"/>
    <w:rsid w:val="00995D1C"/>
    <w:rsid w:val="009A1467"/>
    <w:rsid w:val="009A6464"/>
    <w:rsid w:val="009B2467"/>
    <w:rsid w:val="009B69F5"/>
    <w:rsid w:val="009C5FF7"/>
    <w:rsid w:val="009C6292"/>
    <w:rsid w:val="009D15DB"/>
    <w:rsid w:val="009D3133"/>
    <w:rsid w:val="009E160D"/>
    <w:rsid w:val="009F1CBB"/>
    <w:rsid w:val="009F3305"/>
    <w:rsid w:val="009F6FB2"/>
    <w:rsid w:val="00A071C0"/>
    <w:rsid w:val="00A22670"/>
    <w:rsid w:val="00A24B35"/>
    <w:rsid w:val="00A271BA"/>
    <w:rsid w:val="00A27F86"/>
    <w:rsid w:val="00A431C6"/>
    <w:rsid w:val="00A54315"/>
    <w:rsid w:val="00A60FBC"/>
    <w:rsid w:val="00A65C0B"/>
    <w:rsid w:val="00A776BA"/>
    <w:rsid w:val="00A81FD2"/>
    <w:rsid w:val="00A8441A"/>
    <w:rsid w:val="00A8674A"/>
    <w:rsid w:val="00A96E24"/>
    <w:rsid w:val="00AA1860"/>
    <w:rsid w:val="00AA6F6E"/>
    <w:rsid w:val="00AB122B"/>
    <w:rsid w:val="00AB21B0"/>
    <w:rsid w:val="00AB48D3"/>
    <w:rsid w:val="00AE0243"/>
    <w:rsid w:val="00AE1BAD"/>
    <w:rsid w:val="00AE2124"/>
    <w:rsid w:val="00AE24BC"/>
    <w:rsid w:val="00AE3E3F"/>
    <w:rsid w:val="00AF2516"/>
    <w:rsid w:val="00AF4760"/>
    <w:rsid w:val="00AF55D4"/>
    <w:rsid w:val="00B0505F"/>
    <w:rsid w:val="00B05C2D"/>
    <w:rsid w:val="00B12933"/>
    <w:rsid w:val="00B12B88"/>
    <w:rsid w:val="00B137E0"/>
    <w:rsid w:val="00B13BC8"/>
    <w:rsid w:val="00B24662"/>
    <w:rsid w:val="00B3569C"/>
    <w:rsid w:val="00B43676"/>
    <w:rsid w:val="00B5602D"/>
    <w:rsid w:val="00B60125"/>
    <w:rsid w:val="00B6656B"/>
    <w:rsid w:val="00B71625"/>
    <w:rsid w:val="00B75C54"/>
    <w:rsid w:val="00B8710E"/>
    <w:rsid w:val="00B92A93"/>
    <w:rsid w:val="00BA17A8"/>
    <w:rsid w:val="00BA3C33"/>
    <w:rsid w:val="00BB0878"/>
    <w:rsid w:val="00BB1879"/>
    <w:rsid w:val="00BC0ABE"/>
    <w:rsid w:val="00BC30DB"/>
    <w:rsid w:val="00BC64FF"/>
    <w:rsid w:val="00BC7C37"/>
    <w:rsid w:val="00BD2244"/>
    <w:rsid w:val="00BE6472"/>
    <w:rsid w:val="00BF29B8"/>
    <w:rsid w:val="00BF46EA"/>
    <w:rsid w:val="00C07769"/>
    <w:rsid w:val="00C07D05"/>
    <w:rsid w:val="00C10856"/>
    <w:rsid w:val="00C13241"/>
    <w:rsid w:val="00C203FA"/>
    <w:rsid w:val="00C244F5"/>
    <w:rsid w:val="00C3164F"/>
    <w:rsid w:val="00C31B5E"/>
    <w:rsid w:val="00C34D3E"/>
    <w:rsid w:val="00C35B37"/>
    <w:rsid w:val="00C3747A"/>
    <w:rsid w:val="00C37F29"/>
    <w:rsid w:val="00C51C19"/>
    <w:rsid w:val="00C56DCC"/>
    <w:rsid w:val="00C57075"/>
    <w:rsid w:val="00C72AFE"/>
    <w:rsid w:val="00C81619"/>
    <w:rsid w:val="00C84A14"/>
    <w:rsid w:val="00CA013C"/>
    <w:rsid w:val="00CA6D6D"/>
    <w:rsid w:val="00CC7A4E"/>
    <w:rsid w:val="00CD1359"/>
    <w:rsid w:val="00CD29A2"/>
    <w:rsid w:val="00CD4145"/>
    <w:rsid w:val="00CD4C83"/>
    <w:rsid w:val="00CD5132"/>
    <w:rsid w:val="00D01EDC"/>
    <w:rsid w:val="00D02D57"/>
    <w:rsid w:val="00D078AA"/>
    <w:rsid w:val="00D10058"/>
    <w:rsid w:val="00D11978"/>
    <w:rsid w:val="00D15E30"/>
    <w:rsid w:val="00D16129"/>
    <w:rsid w:val="00D25DBD"/>
    <w:rsid w:val="00D26929"/>
    <w:rsid w:val="00D30CBD"/>
    <w:rsid w:val="00D30D9E"/>
    <w:rsid w:val="00D33908"/>
    <w:rsid w:val="00D354F2"/>
    <w:rsid w:val="00D36C30"/>
    <w:rsid w:val="00D37C90"/>
    <w:rsid w:val="00D43A8C"/>
    <w:rsid w:val="00D44A31"/>
    <w:rsid w:val="00D53072"/>
    <w:rsid w:val="00D61A4E"/>
    <w:rsid w:val="00D634EA"/>
    <w:rsid w:val="00D713A1"/>
    <w:rsid w:val="00D77956"/>
    <w:rsid w:val="00D80F0C"/>
    <w:rsid w:val="00D92077"/>
    <w:rsid w:val="00D951E2"/>
    <w:rsid w:val="00D9565A"/>
    <w:rsid w:val="00DB2337"/>
    <w:rsid w:val="00DB5F87"/>
    <w:rsid w:val="00DB699B"/>
    <w:rsid w:val="00DC0376"/>
    <w:rsid w:val="00DC072D"/>
    <w:rsid w:val="00DC099B"/>
    <w:rsid w:val="00DC2BE5"/>
    <w:rsid w:val="00DD4CD4"/>
    <w:rsid w:val="00DD65A2"/>
    <w:rsid w:val="00DD6770"/>
    <w:rsid w:val="00DE0749"/>
    <w:rsid w:val="00DE1CE2"/>
    <w:rsid w:val="00DE63C6"/>
    <w:rsid w:val="00DF1210"/>
    <w:rsid w:val="00DF31E9"/>
    <w:rsid w:val="00DF400D"/>
    <w:rsid w:val="00DF5C23"/>
    <w:rsid w:val="00E01DAD"/>
    <w:rsid w:val="00E021DC"/>
    <w:rsid w:val="00E03F91"/>
    <w:rsid w:val="00E064EF"/>
    <w:rsid w:val="00E064F2"/>
    <w:rsid w:val="00E0717B"/>
    <w:rsid w:val="00E1268A"/>
    <w:rsid w:val="00E15598"/>
    <w:rsid w:val="00E20D65"/>
    <w:rsid w:val="00E22E79"/>
    <w:rsid w:val="00E353A2"/>
    <w:rsid w:val="00E36881"/>
    <w:rsid w:val="00E42E4C"/>
    <w:rsid w:val="00E44EC5"/>
    <w:rsid w:val="00E47013"/>
    <w:rsid w:val="00E541F9"/>
    <w:rsid w:val="00E57B79"/>
    <w:rsid w:val="00E63419"/>
    <w:rsid w:val="00E64496"/>
    <w:rsid w:val="00E644EB"/>
    <w:rsid w:val="00E72115"/>
    <w:rsid w:val="00E8322E"/>
    <w:rsid w:val="00E903E0"/>
    <w:rsid w:val="00EA1115"/>
    <w:rsid w:val="00EA1F5C"/>
    <w:rsid w:val="00EA39EB"/>
    <w:rsid w:val="00EA58CE"/>
    <w:rsid w:val="00EB33FF"/>
    <w:rsid w:val="00EB3D1A"/>
    <w:rsid w:val="00EC2759"/>
    <w:rsid w:val="00EC7106"/>
    <w:rsid w:val="00ED0120"/>
    <w:rsid w:val="00ED3BBA"/>
    <w:rsid w:val="00ED4E12"/>
    <w:rsid w:val="00ED7FD1"/>
    <w:rsid w:val="00EE051B"/>
    <w:rsid w:val="00EE54B4"/>
    <w:rsid w:val="00EF1AD8"/>
    <w:rsid w:val="00EF2B5C"/>
    <w:rsid w:val="00EF7794"/>
    <w:rsid w:val="00F02046"/>
    <w:rsid w:val="00F053D8"/>
    <w:rsid w:val="00F07888"/>
    <w:rsid w:val="00F1313D"/>
    <w:rsid w:val="00F14403"/>
    <w:rsid w:val="00F201E7"/>
    <w:rsid w:val="00F204E0"/>
    <w:rsid w:val="00F20B16"/>
    <w:rsid w:val="00F21C79"/>
    <w:rsid w:val="00F238C9"/>
    <w:rsid w:val="00F23CA5"/>
    <w:rsid w:val="00F24D6E"/>
    <w:rsid w:val="00F277AA"/>
    <w:rsid w:val="00F31955"/>
    <w:rsid w:val="00F34C06"/>
    <w:rsid w:val="00F43EA3"/>
    <w:rsid w:val="00F50C55"/>
    <w:rsid w:val="00F57FFB"/>
    <w:rsid w:val="00F601E6"/>
    <w:rsid w:val="00F707AC"/>
    <w:rsid w:val="00F73954"/>
    <w:rsid w:val="00F8432D"/>
    <w:rsid w:val="00F94060"/>
    <w:rsid w:val="00FA56F6"/>
    <w:rsid w:val="00FB329D"/>
    <w:rsid w:val="00FC27E3"/>
    <w:rsid w:val="00FC74C7"/>
    <w:rsid w:val="00FD2390"/>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96E4398"/>
  <w14:defaultImageDpi w14:val="300"/>
  <w15:docId w15:val="{905F558A-9827-9F40-BCDE-4B1D30493A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aliases w:val="Normal/Card"/>
    <w:qFormat/>
    <w:rsid w:val="009559DC"/>
    <w:pPr>
      <w:spacing w:after="160" w:line="259" w:lineRule="auto"/>
    </w:pPr>
    <w:rPr>
      <w:rFonts w:ascii="Calibri" w:hAnsi="Calibri"/>
      <w:sz w:val="22"/>
    </w:rPr>
  </w:style>
  <w:style w:type="paragraph" w:styleId="Heading1">
    <w:name w:val="heading 1"/>
    <w:aliases w:val="Pocket"/>
    <w:basedOn w:val="Normal"/>
    <w:next w:val="Normal"/>
    <w:link w:val="Heading1Char"/>
    <w:uiPriority w:val="9"/>
    <w:qFormat/>
    <w:rsid w:val="009559D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9559DC"/>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Heading 2 Char Char Char Char,Heading 3 Foldover,Foldover,foldover, Char,Char Char Char Char Char Char Char,Char1 Char,Char1 Char + Left:  2.54 cm,Char, Char Char Char Char Char Char Char,Tag Char Char"/>
    <w:basedOn w:val="Normal"/>
    <w:next w:val="Normal"/>
    <w:link w:val="Heading3Char"/>
    <w:uiPriority w:val="9"/>
    <w:unhideWhenUsed/>
    <w:qFormat/>
    <w:rsid w:val="009559DC"/>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Big card,Normal Tag,small text,body,heading 2, Ch,Ch,no read,No Spacing211,No Spacing12,No Spacing2111,No Spacing4,No Spacing11111,No Spacing5,ta,small space,T,Clear,t,Ta,Heading 2 Char2 Char,Heading 2 Char1 Char Char,TAG,Ca,No Spacing21"/>
    <w:basedOn w:val="Normal"/>
    <w:next w:val="Normal"/>
    <w:link w:val="Heading4Char"/>
    <w:uiPriority w:val="9"/>
    <w:unhideWhenUsed/>
    <w:qFormat/>
    <w:rsid w:val="009559DC"/>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9559D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559DC"/>
  </w:style>
  <w:style w:type="character" w:customStyle="1" w:styleId="Heading1Char">
    <w:name w:val="Heading 1 Char"/>
    <w:aliases w:val="Pocket Char"/>
    <w:basedOn w:val="DefaultParagraphFont"/>
    <w:link w:val="Heading1"/>
    <w:uiPriority w:val="9"/>
    <w:rsid w:val="009559DC"/>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9559DC"/>
    <w:rPr>
      <w:rFonts w:ascii="Calibri" w:eastAsiaTheme="majorEastAsia" w:hAnsi="Calibri" w:cstheme="majorBidi"/>
      <w:b/>
      <w:bCs/>
      <w:sz w:val="44"/>
      <w:szCs w:val="44"/>
      <w:u w:val="double"/>
    </w:rPr>
  </w:style>
  <w:style w:type="character" w:customStyle="1" w:styleId="Heading3Char">
    <w:name w:val="Heading 3 Char"/>
    <w:aliases w:val="Block Char,Heading 2 Char Char Char Char Char,Heading 3 Foldover Char,Foldover Char,foldover Char, Char Char,Char Char Char Char Char Char Char Char,Char1 Char Char,Char1 Char + Left:  2.54 cm Char,Char Char,Tag Char Char Char"/>
    <w:basedOn w:val="DefaultParagraphFont"/>
    <w:link w:val="Heading3"/>
    <w:uiPriority w:val="9"/>
    <w:rsid w:val="009559DC"/>
    <w:rPr>
      <w:rFonts w:ascii="Calibri" w:eastAsiaTheme="majorEastAsia" w:hAnsi="Calibri" w:cstheme="majorBidi"/>
      <w:b/>
      <w:bCs/>
      <w:sz w:val="32"/>
      <w:szCs w:val="32"/>
      <w:u w:val="single"/>
    </w:rPr>
  </w:style>
  <w:style w:type="character" w:customStyle="1" w:styleId="Heading4Char">
    <w:name w:val="Heading 4 Char"/>
    <w:aliases w:val="Tag Char,Big card Char,Normal Tag Char,small text Char,body Char,heading 2 Char, Ch Char,Ch Char,no read Char,No Spacing211 Char,No Spacing12 Char,No Spacing2111 Char,No Spacing4 Char,No Spacing11111 Char,No Spacing5 Char,ta Char,T Char"/>
    <w:basedOn w:val="DefaultParagraphFont"/>
    <w:link w:val="Heading4"/>
    <w:uiPriority w:val="9"/>
    <w:rsid w:val="009559DC"/>
    <w:rPr>
      <w:rFonts w:ascii="Calibri" w:eastAsiaTheme="majorEastAsia" w:hAnsi="Calibri"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1"/>
    <w:qFormat/>
    <w:rsid w:val="009559DC"/>
    <w:rPr>
      <w:b/>
      <w:sz w:val="26"/>
      <w:u w:val="none"/>
    </w:rPr>
  </w:style>
  <w:style w:type="character" w:customStyle="1" w:styleId="StyleUnderline">
    <w:name w:val="Style Underline"/>
    <w:aliases w:val="Underline,Style Bold Underline,Intense Emphasis1,Intense Emphasis111,Intense Emphasis1111,Intense Emphasis4,B,apple-style-span + 6 pt,Kern at 16 pt,Bold,Intense Emphasis11,Intense Emphasis2,HHeading 3 + 12 pt,Cards + Font: 12 pt Char,ci,c"/>
    <w:basedOn w:val="DefaultParagraphFont"/>
    <w:uiPriority w:val="1"/>
    <w:qFormat/>
    <w:rsid w:val="009559DC"/>
    <w:rPr>
      <w:b w:val="0"/>
      <w:sz w:val="22"/>
      <w:u w:val="single"/>
    </w:rPr>
  </w:style>
  <w:style w:type="character" w:styleId="Emphasis">
    <w:name w:val="Emphasis"/>
    <w:aliases w:val="Evidence,Minimized,minimized,Highlighted,tag2,Size 10,emphasis in card,CD Card,ED - Tag,Underlined,emphasis,Emphasis!!,Bold Underline,small,Qualifications,bold underline,normal card text,Shrunk,qualifications in card,qualifications,Style1,Box,s"/>
    <w:basedOn w:val="DefaultParagraphFont"/>
    <w:link w:val="textbold"/>
    <w:uiPriority w:val="20"/>
    <w:qFormat/>
    <w:rsid w:val="009559DC"/>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9559DC"/>
    <w:rPr>
      <w:color w:val="auto"/>
      <w:u w:val="none"/>
    </w:rPr>
  </w:style>
  <w:style w:type="character" w:styleId="Hyperlink">
    <w:name w:val="Hyperlink"/>
    <w:aliases w:val="heading 1 (block title),Card Text,Important,Read,Internet Link,Analytic Text,Internet link,Char Char1,Heading 3 Char1,Block Char1,Char Char Char Char Char Char Char Char Char1,Char1 Char1,Char Char Char Char Char Char Char Char2,Text 7 Char1"/>
    <w:basedOn w:val="DefaultParagraphFont"/>
    <w:link w:val="Card"/>
    <w:uiPriority w:val="99"/>
    <w:unhideWhenUsed/>
    <w:rsid w:val="009559DC"/>
    <w:rPr>
      <w:color w:val="auto"/>
      <w:u w:val="none"/>
    </w:rPr>
  </w:style>
  <w:style w:type="paragraph" w:styleId="DocumentMap">
    <w:name w:val="Document Map"/>
    <w:basedOn w:val="Normal"/>
    <w:link w:val="DocumentMapChar"/>
    <w:uiPriority w:val="99"/>
    <w:semiHidden/>
    <w:unhideWhenUsed/>
    <w:rsid w:val="009559DC"/>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9559DC"/>
    <w:rPr>
      <w:rFonts w:ascii="Lucida Grande" w:hAnsi="Lucida Grande" w:cs="Lucida Grande"/>
    </w:rPr>
  </w:style>
  <w:style w:type="character" w:styleId="UnresolvedMention">
    <w:name w:val="Unresolved Mention"/>
    <w:basedOn w:val="DefaultParagraphFont"/>
    <w:uiPriority w:val="99"/>
    <w:rsid w:val="00025407"/>
    <w:rPr>
      <w:color w:val="605E5C"/>
      <w:shd w:val="clear" w:color="auto" w:fill="E1DFDD"/>
    </w:rPr>
  </w:style>
  <w:style w:type="paragraph" w:customStyle="1" w:styleId="Card">
    <w:name w:val="Card"/>
    <w:aliases w:val="No Spacing31,No Spacing22,No Spacing3,tag,No Spacing1,No Spacing111,No Spacing11,No Spacing112,No Spacing2,Debate Text,Read stuff,No Spacing1121,Tag and Cite,nonunderlined,Tags,No Spacing1111,tags,Dont use,Very Small Text,No Spacing111112"/>
    <w:basedOn w:val="Heading1"/>
    <w:link w:val="Hyperlink"/>
    <w:autoRedefine/>
    <w:uiPriority w:val="99"/>
    <w:qFormat/>
    <w:rsid w:val="00F8432D"/>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EastAsia" w:hAnsiTheme="minorHAnsi" w:cstheme="minorBidi"/>
      <w:b w:val="0"/>
      <w:bCs w:val="0"/>
      <w:sz w:val="24"/>
      <w:szCs w:val="24"/>
    </w:rPr>
  </w:style>
  <w:style w:type="paragraph" w:customStyle="1" w:styleId="textbold">
    <w:name w:val="text bold"/>
    <w:basedOn w:val="Normal"/>
    <w:link w:val="Emphasis"/>
    <w:uiPriority w:val="20"/>
    <w:qFormat/>
    <w:rsid w:val="00E44EC5"/>
    <w:pPr>
      <w:pBdr>
        <w:top w:val="single" w:sz="18" w:space="0" w:color="auto"/>
        <w:left w:val="single" w:sz="18" w:space="0" w:color="auto"/>
        <w:bottom w:val="single" w:sz="18" w:space="0" w:color="auto"/>
        <w:right w:val="single" w:sz="18" w:space="0" w:color="auto"/>
      </w:pBdr>
      <w:ind w:left="720"/>
      <w:jc w:val="both"/>
    </w:pPr>
    <w:rPr>
      <w:b/>
      <w:iCs/>
      <w:u w:val="single"/>
    </w:rPr>
  </w:style>
  <w:style w:type="paragraph" w:styleId="ListParagraph">
    <w:name w:val="List Paragraph"/>
    <w:basedOn w:val="Normal"/>
    <w:uiPriority w:val="34"/>
    <w:qFormat/>
    <w:rsid w:val="00727056"/>
    <w:pPr>
      <w:ind w:left="720"/>
      <w:contextualSpacing/>
    </w:pPr>
  </w:style>
  <w:style w:type="character" w:customStyle="1" w:styleId="underline">
    <w:name w:val="underline"/>
    <w:qFormat/>
    <w:rsid w:val="00E1268A"/>
    <w:rPr>
      <w:rFonts w:ascii="Garamond" w:hAnsi="Garamond"/>
      <w:sz w:val="20"/>
      <w:u w:val="single"/>
    </w:rPr>
  </w:style>
  <w:style w:type="paragraph" w:customStyle="1" w:styleId="Shrink">
    <w:name w:val="Shrink"/>
    <w:rsid w:val="00E1268A"/>
    <w:pPr>
      <w:ind w:left="288" w:right="288"/>
    </w:pPr>
    <w:rPr>
      <w:rFonts w:ascii="Garamond" w:eastAsia="Times New Roman" w:hAnsi="Garamond" w:cs="Times New Roman"/>
      <w:sz w:val="1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26" Type="http://schemas.openxmlformats.org/officeDocument/2006/relationships/hyperlink" Target="https://thehill.com/opinion/international/397096-trumps-arms-export-rules-will-undermine-us-security-promote-human)//mba-cwk" TargetMode="External"/><Relationship Id="rId21" Type="http://schemas.openxmlformats.org/officeDocument/2006/relationships/hyperlink" Target="https://truthout.org/articles/murder-incorporated-guns-the-nra-and-the-politics-of-violence-on-the-mexican-border/" TargetMode="External"/><Relationship Id="rId42" Type="http://schemas.openxmlformats.org/officeDocument/2006/relationships/hyperlink" Target="http://www.seesac.org/f/img/File/Res/Gender-and-Small-Arms/Gender-Perspectives-on-Disarmament-and-Development-209.pdf" TargetMode="External"/><Relationship Id="rId47" Type="http://schemas.openxmlformats.org/officeDocument/2006/relationships/hyperlink" Target="https://www.peacewomen.org/assets/file/ATT/summary.pdf" TargetMode="External"/><Relationship Id="rId63" Type="http://schemas.openxmlformats.org/officeDocument/2006/relationships/hyperlink" Target="https://mundo.sputniknews.com/america-latina/201902081085354741-acuerdo-empresarial-entre-mexico-rusia-sector-energetico/" TargetMode="External"/><Relationship Id="rId68" Type="http://schemas.openxmlformats.org/officeDocument/2006/relationships/hyperlink" Target="http://www.bioenerg.md/index.php/en/news/198-americans-have-sold-to-a-russian-billionaire-born-in-chisinau-two-energy-companies-in-ukraine" TargetMode="External"/><Relationship Id="rId84" Type="http://schemas.openxmlformats.org/officeDocument/2006/relationships/hyperlink" Target="https://worldview.stratfor.com/situation-report/mexico-morena-coalition-seeks-constitutional-reform-expand-supreme-court" TargetMode="External"/><Relationship Id="rId89" Type="http://schemas.openxmlformats.org/officeDocument/2006/relationships/hyperlink" Target="https://www.bloomberg.com/news/articles/2018-11-28/mexico-s-oil-refineries-are-operating-like-it-s-1990-again" TargetMode="External"/><Relationship Id="rId16" Type="http://schemas.openxmlformats.org/officeDocument/2006/relationships/hyperlink" Target="https://www.facebook.com/SentinelMexico1/posts/1142849252485393" TargetMode="External"/><Relationship Id="rId11" Type="http://schemas.openxmlformats.org/officeDocument/2006/relationships/hyperlink" Target="https://www.gob.mx/cms/uploads/attachment/file/285435/ADQS._DE_AERONAVES_ARMAMENTO_Y_VEHICULOS_DIC._17.pdf" TargetMode="External"/><Relationship Id="rId32" Type="http://schemas.openxmlformats.org/officeDocument/2006/relationships/hyperlink" Target="https://www.law.cornell.edu/cfr/text/22/120.6" TargetMode="External"/><Relationship Id="rId37" Type="http://schemas.openxmlformats.org/officeDocument/2006/relationships/hyperlink" Target="https://www.law.cornell.edu/cfr/text/22/121.1" TargetMode="External"/><Relationship Id="rId53" Type="http://schemas.openxmlformats.org/officeDocument/2006/relationships/hyperlink" Target="https://www.pbs.org/newshour/politics/the-flow-of-guns-from-the-u-s-to-mexico-is-getting-lost-in-the-border-debate" TargetMode="External"/><Relationship Id="rId58" Type="http://schemas.openxmlformats.org/officeDocument/2006/relationships/hyperlink" Target="https://slate.com/news-and-politics/2019/02/russia-mexico-delegation-energy-sector.html" TargetMode="External"/><Relationship Id="rId74" Type="http://schemas.openxmlformats.org/officeDocument/2006/relationships/hyperlink" Target="https://www.defenseone.com/business/2019/05/us-countries-well-pay-you-ditch-russian-chinese-arms/157084/?oref=d-river" TargetMode="External"/><Relationship Id="rId79" Type="http://schemas.openxmlformats.org/officeDocument/2006/relationships/hyperlink" Target="https://www.politico.com/story/2018/04/05/mexico-president-trump-dignity-504613" TargetMode="External"/><Relationship Id="rId5" Type="http://schemas.openxmlformats.org/officeDocument/2006/relationships/numbering" Target="numbering.xml"/><Relationship Id="rId90" Type="http://schemas.openxmlformats.org/officeDocument/2006/relationships/hyperlink" Target="https://www.forbes.com/sites/gauravsharma/2019/04/14/trump-vowed-to-save-coal-but-u-s-largest-mining-basin-sees-decline/" TargetMode="External"/><Relationship Id="rId95" Type="http://schemas.openxmlformats.org/officeDocument/2006/relationships/theme" Target="theme/theme1.xml"/><Relationship Id="rId22" Type="http://schemas.openxmlformats.org/officeDocument/2006/relationships/hyperlink" Target="http://www.smallarmssurvey.org/fileadmin/docs/H-Research_Notes/SAS-Research-Note-14.pdf)//ICH-EC" TargetMode="External"/><Relationship Id="rId27" Type="http://schemas.openxmlformats.org/officeDocument/2006/relationships/hyperlink" Target="https://lawexplores.com/small-arms-and-light-weapons-inhumane-conventional-weapons-anti-personnel-mines-and-cluster-bombs/notes.xhtml" TargetMode="External"/><Relationship Id="rId43" Type="http://schemas.openxmlformats.org/officeDocument/2006/relationships/hyperlink" Target="https://fas.org/sgp/crs/row/R41349.pdf)//Bennerz" TargetMode="External"/><Relationship Id="rId48" Type="http://schemas.openxmlformats.org/officeDocument/2006/relationships/hyperlink" Target="https://www-tandfonline-com.proxy.lib.umich.edu/doi/full/10.1080/13552074.2013.847001" TargetMode="External"/><Relationship Id="rId64" Type="http://schemas.openxmlformats.org/officeDocument/2006/relationships/hyperlink" Target="https://www.pscp.tv/w/1RDGlqdzmkzJL" TargetMode="External"/><Relationship Id="rId69" Type="http://schemas.openxmlformats.org/officeDocument/2006/relationships/hyperlink" Target="https://www.treasury.gov/press-center/press-releases/pages/sm0114.aspx" TargetMode="External"/><Relationship Id="rId8" Type="http://schemas.openxmlformats.org/officeDocument/2006/relationships/webSettings" Target="webSettings.xml"/><Relationship Id="rId51" Type="http://schemas.openxmlformats.org/officeDocument/2006/relationships/hyperlink" Target="https://thehill.com/blogs/congress-blog/foreign-policy/442283-trumps-misguided-assault-on-the-arms-trade-treaty)//Bennerz" TargetMode="External"/><Relationship Id="rId72" Type="http://schemas.openxmlformats.org/officeDocument/2006/relationships/hyperlink" Target="https://www.washingtontimes.com/news/2018/aug/12/james-mattis-visits-south-america-amid-political-e/" TargetMode="External"/><Relationship Id="rId80" Type="http://schemas.openxmlformats.org/officeDocument/2006/relationships/hyperlink" Target="https://www.huffpost.com/entry/vicente-fox-mexico-president-donald-trump-jordan-klepper_n_5a683e5ae4b0dc592a0dd58f" TargetMode="External"/><Relationship Id="rId85" Type="http://schemas.openxmlformats.org/officeDocument/2006/relationships/hyperlink" Target="https://thehill.com/people/kim-jong-un" TargetMode="External"/><Relationship Id="rId93" Type="http://schemas.openxmlformats.org/officeDocument/2006/relationships/hyperlink" Target="https://www.ohchr.org/EN/Issues/Women/WRGS/Pages/VAW.aspx" TargetMode="External"/><Relationship Id="rId3" Type="http://schemas.openxmlformats.org/officeDocument/2006/relationships/customXml" Target="../customXml/item3.xml"/><Relationship Id="rId12" Type="http://schemas.openxmlformats.org/officeDocument/2006/relationships/hyperlink" Target="http://www.thearmstradetreaty.org/images/Annual_Reports_2016/Mexico_Annual_Report_2016P.pdf" TargetMode="External"/><Relationship Id="rId17" Type="http://schemas.openxmlformats.org/officeDocument/2006/relationships/hyperlink" Target="https://www.afsc.org/sites/afsc.civicactions.net/files/documents/20160928%20Mexico%20FMS%20DCS%20CN.pdf" TargetMode="External"/><Relationship Id="rId25" Type="http://schemas.openxmlformats.org/officeDocument/2006/relationships/hyperlink" Target="https://thenewinquiry.com/recoil-operation/" TargetMode="External"/><Relationship Id="rId33" Type="http://schemas.openxmlformats.org/officeDocument/2006/relationships/hyperlink" Target="https://www.law.cornell.edu/cfr/text/22/120.6" TargetMode="External"/><Relationship Id="rId38" Type="http://schemas.openxmlformats.org/officeDocument/2006/relationships/hyperlink" Target="https://www.ecfr.gov/cgi-bin/retrieveECFR?gp=&amp;amp;SID=70e390c181ea17f847fa696c47e3140a&amp;amp;mc=true&amp;amp;r=PART&amp;amp;n=pt22.1.121" TargetMode="External"/><Relationship Id="rId46" Type="http://schemas.openxmlformats.org/officeDocument/2006/relationships/hyperlink" Target="http://securityassistance.org/data/program/military/Mexico/" TargetMode="External"/><Relationship Id="rId59" Type="http://schemas.openxmlformats.org/officeDocument/2006/relationships/hyperlink" Target="https://carnegieendowment.org/2018/05/03/russia-playing-geopolitical-game-in-latin-america-pub-76228" TargetMode="External"/><Relationship Id="rId67" Type="http://schemas.openxmlformats.org/officeDocument/2006/relationships/hyperlink" Target="https://cdn.occrp.org/projects/panamapapers/babakov/SCI%20du%20Chateau%20de%20St%20Leger%20-%20Shareholders%20meeting.pdf" TargetMode="External"/><Relationship Id="rId20" Type="http://schemas.openxmlformats.org/officeDocument/2006/relationships/hyperlink" Target="https://fas.org/asmp/campaigns/smallarms/AAAS.html" TargetMode="External"/><Relationship Id="rId41" Type="http://schemas.openxmlformats.org/officeDocument/2006/relationships/hyperlink" Target="https://www.ecfr.gov/cgi-bin/retrieveECFR?gp=&amp;SID=70e390c181ea17f847fa696c47e3140a&amp;mc=true&amp;r=PART&amp;n=pt22.1.121" TargetMode="External"/><Relationship Id="rId54" Type="http://schemas.openxmlformats.org/officeDocument/2006/relationships/hyperlink" Target="https://warontherocks.com/2018/06/a-new-framework-for-assessing-the-risks-from-u-s-arms-sales/" TargetMode="External"/><Relationship Id="rId62" Type="http://schemas.openxmlformats.org/officeDocument/2006/relationships/hyperlink" Target="https://actualidad.rt.com/actualidad/304943-rusia-mexico-inversion-energia" TargetMode="External"/><Relationship Id="rId70" Type="http://schemas.openxmlformats.org/officeDocument/2006/relationships/hyperlink" Target="https://www.washingtonpost.com/world/national-security/a-russian-bank-gave-marine-le-pens-party-a-loan-then-weird-things-began-happening/2018/12/27/960c7906-d320-11e8-a275-81c671a50422_story.html?utm_term=.bcf542b2649a" TargetMode="External"/><Relationship Id="rId75" Type="http://schemas.openxmlformats.org/officeDocument/2006/relationships/hyperlink" Target="https://thehill.com/opinion/immigration/447914-why-wont-mexican-president-lopez-obrador-stand-up-to-trump)//ICH-EC" TargetMode="External"/><Relationship Id="rId83" Type="http://schemas.openxmlformats.org/officeDocument/2006/relationships/hyperlink" Target="https://www.wilsoncenter.org/article/amlo-100-days-impressing-radical-change-and-building-unrestrained-power" TargetMode="External"/><Relationship Id="rId88" Type="http://schemas.openxmlformats.org/officeDocument/2006/relationships/hyperlink" Target="https://www.reuters.com/article/us-mexico-refinery/mexicos-president-elect-sets-out-plan-for-new-8-billion-oil-refinery-idUSKCN1LK2V0" TargetMode="External"/><Relationship Id="rId91" Type="http://schemas.openxmlformats.org/officeDocument/2006/relationships/hyperlink" Target="https://www.washingtonpost.com/news/worldviews/wp/2018/07/09/trump-referred-to-mexicos-incoming-leader-as-juan-trump-former-white-house-official-says/?utm_term=.e4a2c72e4bd6"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www.nydailynews.com/newswires/news/world/mexican-police-allegedly-death-squad-tactics-article-1.3846863" TargetMode="External"/><Relationship Id="rId23" Type="http://schemas.openxmlformats.org/officeDocument/2006/relationships/hyperlink" Target="http://www.genevadeclaration.org/fileadmin/docs/GBAV/GBAV08-CH6.pdf" TargetMode="External"/><Relationship Id="rId28" Type="http://schemas.openxmlformats.org/officeDocument/2006/relationships/hyperlink" Target="https://lawexplores.com/small-arms-and-light-weapons-inhumane-conventional-weapons-anti-personnel-mines-and-cluster-bombs/notes.xhtml" TargetMode="External"/><Relationship Id="rId36" Type="http://schemas.openxmlformats.org/officeDocument/2006/relationships/hyperlink" Target="https://www.law.cornell.edu/cfr/text/22/120.6" TargetMode="External"/><Relationship Id="rId49" Type="http://schemas.openxmlformats.org/officeDocument/2006/relationships/hyperlink" Target="https://theglobalobservatory.org/2013/03/un-arms-treaty-waters-down-role-of-weapons-in-sexual-and-gender-based-violence/" TargetMode="External"/><Relationship Id="rId57" Type="http://schemas.openxmlformats.org/officeDocument/2006/relationships/hyperlink" Target="https://www.csis.org/analysis/russia-has-few-interests-mexico" TargetMode="External"/><Relationship Id="rId10" Type="http://schemas.openxmlformats.org/officeDocument/2006/relationships/hyperlink" Target="https://theintercept.com/2018/04/26/mexico-arms-trade-us-gun-sales/" TargetMode="External"/><Relationship Id="rId31" Type="http://schemas.openxmlformats.org/officeDocument/2006/relationships/hyperlink" Target="https://www.gao.gov/assets/650/648264.pdf" TargetMode="External"/><Relationship Id="rId44" Type="http://schemas.openxmlformats.org/officeDocument/2006/relationships/hyperlink" Target="https://www.afsc.org/sites/default/files/documents/2016%20Where%20the%20Guns%20Go.pdf" TargetMode="External"/><Relationship Id="rId52" Type="http://schemas.openxmlformats.org/officeDocument/2006/relationships/hyperlink" Target="https://www.heritage.org/global-politics/report/why-the-us-must-unsign-the-arms-trade-treaty-2018" TargetMode="External"/><Relationship Id="rId60" Type="http://schemas.openxmlformats.org/officeDocument/2006/relationships/hyperlink" Target="https://www.nytimes.com/2018/10/01/business/energy-environment/venezuela-citgo-oil-sanctions.html" TargetMode="External"/><Relationship Id="rId65" Type="http://schemas.openxmlformats.org/officeDocument/2006/relationships/hyperlink" Target="https://www.transparency.org/country/RUS" TargetMode="External"/><Relationship Id="rId73" Type="http://schemas.openxmlformats.org/officeDocument/2006/relationships/hyperlink" Target="https://www.wearethemighty.com/gear-tech/us-stops-russian-arms-sales)//EK" TargetMode="External"/><Relationship Id="rId78" Type="http://schemas.openxmlformats.org/officeDocument/2006/relationships/hyperlink" Target="https://www.nytimes.com/2019/05/30/us/politics/trump-mexico-tariffs.html" TargetMode="External"/><Relationship Id="rId81" Type="http://schemas.openxmlformats.org/officeDocument/2006/relationships/hyperlink" Target="https://www.theguardian.com/world/2018/dec/02/amlo-promises-to-purify-public-life-as-he-assumes-mexican-presidency" TargetMode="External"/><Relationship Id="rId86" Type="http://schemas.openxmlformats.org/officeDocument/2006/relationships/hyperlink" Target="https://thehill.com/people/vladimir-putin" TargetMode="External"/><Relationship Id="rId94"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hyperlink" Target="mailto:jasminestidham@gmail.com" TargetMode="External"/><Relationship Id="rId13" Type="http://schemas.openxmlformats.org/officeDocument/2006/relationships/hyperlink" Target="https://www.afsc.org/sites/afsc.civicactions.net/files/documents/State%20Dept%20End%20Use%20Controls%20Mexico%2018%20Jan%202017.pdf" TargetMode="External"/><Relationship Id="rId18" Type="http://schemas.openxmlformats.org/officeDocument/2006/relationships/hyperlink" Target="https://www.afsc.org/blogs/mexico-arm-sales" TargetMode="External"/><Relationship Id="rId39" Type="http://schemas.openxmlformats.org/officeDocument/2006/relationships/hyperlink" Target="https://www.ecfr.gov/graphics/pdfs/er02ja14.000.pdf" TargetMode="External"/><Relationship Id="rId34" Type="http://schemas.openxmlformats.org/officeDocument/2006/relationships/hyperlink" Target="https://www.law.cornell.edu/cfr/text/22/121.1" TargetMode="External"/><Relationship Id="rId50" Type="http://schemas.openxmlformats.org/officeDocument/2006/relationships/hyperlink" Target="https://www.heritage.org/global-politics/report/why-the-us-must-unsign-the-arms-trade-treaty-2018" TargetMode="External"/><Relationship Id="rId55" Type="http://schemas.openxmlformats.org/officeDocument/2006/relationships/hyperlink" Target="http://www.analisiseconomico.azc.uam.mx/index.php/rae/article/view/70/67" TargetMode="External"/><Relationship Id="rId76" Type="http://schemas.openxmlformats.org/officeDocument/2006/relationships/hyperlink" Target="https://thehill.com/people/donald-trump" TargetMode="External"/><Relationship Id="rId7" Type="http://schemas.openxmlformats.org/officeDocument/2006/relationships/settings" Target="settings.xml"/><Relationship Id="rId71" Type="http://schemas.openxmlformats.org/officeDocument/2006/relationships/hyperlink" Target="https://foreignpolicy.com/2018/11/19/us-military-targets-growing-russian-and-chinese-influence-in-latin-america/" TargetMode="External"/><Relationship Id="rId92" Type="http://schemas.openxmlformats.org/officeDocument/2006/relationships/hyperlink" Target="https://www.afsc.org/resource/report-where-guns-go" TargetMode="External"/><Relationship Id="rId2" Type="http://schemas.openxmlformats.org/officeDocument/2006/relationships/customXml" Target="../customXml/item2.xml"/><Relationship Id="rId29" Type="http://schemas.openxmlformats.org/officeDocument/2006/relationships/hyperlink" Target="http://www.smallarmssurvey.org/weapons-and-markets/definitions.html)//Bennerz" TargetMode="External"/><Relationship Id="rId24" Type="http://schemas.openxmlformats.org/officeDocument/2006/relationships/hyperlink" Target="https://thenewinquiry.com/recoil-operation/" TargetMode="External"/><Relationship Id="rId40" Type="http://schemas.openxmlformats.org/officeDocument/2006/relationships/hyperlink" Target="https://www.ecfr.gov/cgi-bin/retrieveECFR?gp=&amp;SID=70e390c181ea17f847fa696c47e3140a&amp;mc=true&amp;r=PART&amp;n=pt22.1.121" TargetMode="External"/><Relationship Id="rId45" Type="http://schemas.openxmlformats.org/officeDocument/2006/relationships/hyperlink" Target="http://securityassistance.org/content/arms-sales-dashboard" TargetMode="External"/><Relationship Id="rId66" Type="http://schemas.openxmlformats.org/officeDocument/2006/relationships/hyperlink" Target="https://cdn.occrp.org/projects/panamapapers/babakov/Aleksander%20Babakov%20-%20State%20Duma%20member.pdf" TargetMode="External"/><Relationship Id="rId87" Type="http://schemas.openxmlformats.org/officeDocument/2006/relationships/hyperlink" Target="https://www.cfr.org/blog/amlos-venezuela-neutrality-anything" TargetMode="External"/><Relationship Id="rId61" Type="http://schemas.openxmlformats.org/officeDocument/2006/relationships/hyperlink" Target="https://twitter.com/ActualidadRT/status/1095431984883683328" TargetMode="External"/><Relationship Id="rId82" Type="http://schemas.openxmlformats.org/officeDocument/2006/relationships/hyperlink" Target="https://www.theatlantic.com/politics/archive/2016/07/trump-rnc-speech-alone-fix-it/492557/" TargetMode="External"/><Relationship Id="rId19" Type="http://schemas.openxmlformats.org/officeDocument/2006/relationships/hyperlink" Target="https://fas.org/asmp/campaigns/smallarms/AAAS.html)//EK" TargetMode="External"/><Relationship Id="rId14" Type="http://schemas.openxmlformats.org/officeDocument/2006/relationships/hyperlink" Target="http://www.birlesikltd.com/docs/SIGMPX-Brochure_.pdf" TargetMode="External"/><Relationship Id="rId30" Type="http://schemas.openxmlformats.org/officeDocument/2006/relationships/hyperlink" Target="https://www.govinfo.gov/content/pkg/GPO-CRECB-1985-pt7/pdf/GPO-CRECB-1985-pt7-3-1.pdf" TargetMode="External"/><Relationship Id="rId35" Type="http://schemas.openxmlformats.org/officeDocument/2006/relationships/hyperlink" Target="https://www.law.cornell.edu/cfr/text/22/120.6" TargetMode="External"/><Relationship Id="rId56" Type="http://schemas.openxmlformats.org/officeDocument/2006/relationships/hyperlink" Target="http://www.analisiseconomico.azc.uam.mx/index.php/rae/article/view/70/67" TargetMode="External"/><Relationship Id="rId77" Type="http://schemas.openxmlformats.org/officeDocument/2006/relationships/hyperlink" Target="https://www.nytimes.com/2019/01/11/us/politics/trump-mexico-pay-wall.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jasminestidham/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3.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252BABFD-1097-3A45-988E-B98F4CD23E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124</TotalTime>
  <Pages>102</Pages>
  <Words>80552</Words>
  <Characters>459153</Characters>
  <Application>Microsoft Office Word</Application>
  <DocSecurity>0</DocSecurity>
  <Lines>3826</Lines>
  <Paragraphs>1077</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538628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Microsoft Office User</dc:creator>
  <cp:keywords>5.2</cp:keywords>
  <dc:description/>
  <cp:lastModifiedBy>Jasmine Kay Stidham</cp:lastModifiedBy>
  <cp:revision>48</cp:revision>
  <cp:lastPrinted>2019-07-05T06:54:00Z</cp:lastPrinted>
  <dcterms:created xsi:type="dcterms:W3CDTF">2019-07-04T03:45:00Z</dcterms:created>
  <dcterms:modified xsi:type="dcterms:W3CDTF">2019-07-05T08:01:00Z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