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B4032" w14:textId="62BD62B3" w:rsidR="0096561B" w:rsidRDefault="0096561B" w:rsidP="00B8040A"/>
    <w:p w14:paraId="168055B4" w14:textId="67C7B542" w:rsidR="00B8040A" w:rsidRDefault="00B8040A" w:rsidP="00B8040A"/>
    <w:p w14:paraId="73818302" w14:textId="0F60F303" w:rsidR="00B8040A" w:rsidRDefault="00B8040A" w:rsidP="00B8040A">
      <w:pPr>
        <w:pStyle w:val="Heading1"/>
      </w:pPr>
      <w:r>
        <w:t>Security</w:t>
      </w:r>
    </w:p>
    <w:p w14:paraId="155775D0" w14:textId="574F571F" w:rsidR="00B8040A" w:rsidRDefault="00B8040A" w:rsidP="00B8040A"/>
    <w:p w14:paraId="19CE20B2" w14:textId="2409460B" w:rsidR="00B8040A" w:rsidRDefault="00B8040A" w:rsidP="00B8040A">
      <w:pPr>
        <w:pStyle w:val="Heading2"/>
      </w:pPr>
      <w:r>
        <w:t>Framework</w:t>
      </w:r>
    </w:p>
    <w:p w14:paraId="12D0DB1B" w14:textId="71725CBE" w:rsidR="00B8040A" w:rsidRDefault="00B8040A" w:rsidP="00B8040A"/>
    <w:p w14:paraId="4B5CDF3B" w14:textId="5660C424" w:rsidR="00B8040A" w:rsidRDefault="00B8040A" w:rsidP="00B8040A">
      <w:pPr>
        <w:pStyle w:val="Heading3"/>
      </w:pPr>
      <w:r>
        <w:t>AT: Cede the Political</w:t>
      </w:r>
    </w:p>
    <w:p w14:paraId="595180ED" w14:textId="26CBFADC" w:rsidR="00B8040A" w:rsidRDefault="00B8040A" w:rsidP="00B8040A"/>
    <w:p w14:paraId="146C993C" w14:textId="3DE01BE8" w:rsidR="00B8040A" w:rsidRPr="003E349D" w:rsidRDefault="00B8040A" w:rsidP="00B8040A">
      <w:pPr>
        <w:pStyle w:val="Heading4"/>
      </w:pPr>
      <w:r>
        <w:t xml:space="preserve">That’s not how policymaking happens – the </w:t>
      </w:r>
      <w:proofErr w:type="spellStart"/>
      <w:r>
        <w:t>Aff</w:t>
      </w:r>
      <w:proofErr w:type="spellEnd"/>
      <w:r>
        <w:t xml:space="preserve"> ignores the social power dynamics of how scholarship is produced and appropriated</w:t>
      </w:r>
      <w:r w:rsidR="005B2660">
        <w:t xml:space="preserve"> by policy makers.</w:t>
      </w:r>
      <w:r>
        <w:t xml:space="preserve"> </w:t>
      </w:r>
    </w:p>
    <w:p w14:paraId="253F4287" w14:textId="27DAF11A" w:rsidR="00B8040A" w:rsidRPr="00B15D1A" w:rsidRDefault="00B8040A" w:rsidP="00B8040A">
      <w:r w:rsidRPr="002573BA">
        <w:rPr>
          <w:rStyle w:val="Style13ptBold"/>
        </w:rPr>
        <w:t>Eriksson 2014</w:t>
      </w:r>
      <w:r>
        <w:t xml:space="preserve"> (Johan, Swedish Institute of International Affairs, “</w:t>
      </w:r>
      <w:r w:rsidRPr="002573BA">
        <w:t>On the Policy Relevance of Grand Theory</w:t>
      </w:r>
      <w:r>
        <w:t xml:space="preserve">,” </w:t>
      </w:r>
      <w:r>
        <w:rPr>
          <w:i/>
        </w:rPr>
        <w:t>International Studies Perspectives</w:t>
      </w:r>
      <w:r>
        <w:t xml:space="preserve">, </w:t>
      </w:r>
      <w:r w:rsidR="00DD0B45">
        <w:t>15.1</w:t>
      </w:r>
      <w:r>
        <w:t xml:space="preserve">, </w:t>
      </w:r>
      <w:r w:rsidRPr="002573BA">
        <w:t>https://www.academia.edu/12626547/On_the_Policy_Relevance_of_Grand_Theory</w:t>
      </w:r>
      <w:r>
        <w:t>, accessed 7-14-2019, GDI-ATN)</w:t>
      </w:r>
    </w:p>
    <w:p w14:paraId="0E1AA0D5" w14:textId="1EC0C4FF" w:rsidR="00B8040A" w:rsidRPr="005B2660" w:rsidRDefault="00B8040A" w:rsidP="00B8040A">
      <w:pPr>
        <w:rPr>
          <w:sz w:val="16"/>
        </w:rPr>
      </w:pPr>
      <w:r w:rsidRPr="005B2660">
        <w:rPr>
          <w:sz w:val="16"/>
        </w:rPr>
        <w:t xml:space="preserve">I find </w:t>
      </w:r>
      <w:r w:rsidRPr="00550234">
        <w:rPr>
          <w:rStyle w:val="StyleUnderline"/>
        </w:rPr>
        <w:t xml:space="preserve">the traditional understanding of policy-relevant scholarship </w:t>
      </w:r>
      <w:r w:rsidRPr="005B2660">
        <w:rPr>
          <w:sz w:val="16"/>
        </w:rPr>
        <w:t xml:space="preserve">problematic in three </w:t>
      </w:r>
      <w:proofErr w:type="gramStart"/>
      <w:r w:rsidRPr="005B2660">
        <w:rPr>
          <w:sz w:val="16"/>
        </w:rPr>
        <w:t>particular ways</w:t>
      </w:r>
      <w:proofErr w:type="gramEnd"/>
      <w:r w:rsidRPr="005B2660">
        <w:rPr>
          <w:sz w:val="16"/>
        </w:rPr>
        <w:t>. First, it</w:t>
      </w:r>
      <w:r w:rsidRPr="00DE05D0">
        <w:rPr>
          <w:rStyle w:val="StyleUnderline"/>
        </w:rPr>
        <w:t xml:space="preserve"> conveys an idealized rationalist–instrumentalist perspective on the policy process, ignoring wider political and symbolic aspects of policy</w:t>
      </w:r>
      <w:r w:rsidRPr="005B2660">
        <w:rPr>
          <w:sz w:val="16"/>
        </w:rPr>
        <w:t>—on which I will elaborate later. In this rationalist-instrumentalist view, scholarship is produced and screened through peer review to make sure only that which meets scientific standards of logical consistency and explanatory power gets published. Then, in the best of situations, relevant scholarship is communicated to policymakers in dire need of scientific knowledge for effectively managing real-world problems—be it war, terrorism, organized crime, famine, or other such major issues.</w:t>
      </w:r>
      <w:r w:rsidRPr="00DE05D0">
        <w:rPr>
          <w:rStyle w:val="StyleUnderline"/>
        </w:rPr>
        <w:t xml:space="preserve"> </w:t>
      </w:r>
      <w:r w:rsidRPr="00550234">
        <w:rPr>
          <w:rStyle w:val="Emphasis"/>
        </w:rPr>
        <w:t>This notion of “speaking truth to power” expresses a strong belief in the enlightenment function of scholarship and implies a traditional fact/value distinction</w:t>
      </w:r>
      <w:r w:rsidRPr="005B2660">
        <w:rPr>
          <w:sz w:val="16"/>
        </w:rPr>
        <w:t xml:space="preserve">. </w:t>
      </w:r>
      <w:r w:rsidRPr="00550234">
        <w:rPr>
          <w:rStyle w:val="Emphasis"/>
        </w:rPr>
        <w:t>In reality, the relationship between theory and policy is much more complicated</w:t>
      </w:r>
      <w:r w:rsidRPr="005B2660">
        <w:rPr>
          <w:sz w:val="16"/>
        </w:rPr>
        <w:t>, as experts cannot deny responsibility for how their ideas are being used (the nuclear bomb), and because the politicization of research can imply a threat to intellectual integrity (</w:t>
      </w:r>
      <w:proofErr w:type="spellStart"/>
      <w:r w:rsidRPr="005B2660">
        <w:rPr>
          <w:sz w:val="16"/>
        </w:rPr>
        <w:t>Wildavsky</w:t>
      </w:r>
      <w:proofErr w:type="spellEnd"/>
      <w:r w:rsidRPr="005B2660">
        <w:rPr>
          <w:sz w:val="16"/>
        </w:rPr>
        <w:t xml:space="preserve"> 1987; Fischer 1990; </w:t>
      </w:r>
      <w:proofErr w:type="spellStart"/>
      <w:r w:rsidRPr="005B2660">
        <w:rPr>
          <w:sz w:val="16"/>
        </w:rPr>
        <w:t>Jasanoff</w:t>
      </w:r>
      <w:proofErr w:type="spellEnd"/>
      <w:r w:rsidRPr="005B2660">
        <w:rPr>
          <w:sz w:val="16"/>
        </w:rPr>
        <w:t xml:space="preserve"> 1997). Moreover, </w:t>
      </w:r>
      <w:r w:rsidRPr="00DE05D0">
        <w:rPr>
          <w:rStyle w:val="StyleUnderline"/>
        </w:rPr>
        <w:t>there are many other ideas, values, and interests besides scientific theory and research, which influence policymaking</w:t>
      </w:r>
      <w:r w:rsidRPr="005B2660">
        <w:rPr>
          <w:sz w:val="16"/>
        </w:rPr>
        <w:t xml:space="preserve"> (Weiss 1977, 1980, 1992; George 1993; Smith 1996; </w:t>
      </w:r>
      <w:proofErr w:type="spellStart"/>
      <w:r w:rsidRPr="005B2660">
        <w:rPr>
          <w:sz w:val="16"/>
        </w:rPr>
        <w:t>Jasanoff</w:t>
      </w:r>
      <w:proofErr w:type="spellEnd"/>
      <w:r w:rsidRPr="005B2660">
        <w:rPr>
          <w:sz w:val="16"/>
        </w:rPr>
        <w:t xml:space="preserve"> 1997). </w:t>
      </w:r>
      <w:proofErr w:type="gramStart"/>
      <w:r w:rsidRPr="00DE05D0">
        <w:rPr>
          <w:rStyle w:val="StyleUnderline"/>
        </w:rPr>
        <w:t xml:space="preserve">Generally speaking, </w:t>
      </w:r>
      <w:r w:rsidRPr="00B8040A">
        <w:rPr>
          <w:rStyle w:val="Emphasis"/>
        </w:rPr>
        <w:t>the</w:t>
      </w:r>
      <w:proofErr w:type="gramEnd"/>
      <w:r w:rsidRPr="00B8040A">
        <w:rPr>
          <w:rStyle w:val="Emphasis"/>
        </w:rPr>
        <w:t xml:space="preserve"> utilization of scholarship in policymaking is indirect, limited, and rare</w:t>
      </w:r>
      <w:r w:rsidRPr="005B2660">
        <w:rPr>
          <w:sz w:val="16"/>
        </w:rPr>
        <w:t xml:space="preserve"> (George 1993:xvii–xx; Rosenau and </w:t>
      </w:r>
      <w:proofErr w:type="spellStart"/>
      <w:r w:rsidRPr="005B2660">
        <w:rPr>
          <w:sz w:val="16"/>
        </w:rPr>
        <w:t>Sapin</w:t>
      </w:r>
      <w:proofErr w:type="spellEnd"/>
      <w:r w:rsidRPr="005B2660">
        <w:rPr>
          <w:sz w:val="16"/>
        </w:rPr>
        <w:t xml:space="preserve"> 1994:127–129). Second, and related to the first point, </w:t>
      </w:r>
      <w:r w:rsidRPr="00DE05D0">
        <w:rPr>
          <w:rStyle w:val="StyleUnderline"/>
        </w:rPr>
        <w:t>the traditional perspective on policy relevance assumes a sender–receiver perspective: university professors are supposedly “speaking truth” to government officials</w:t>
      </w:r>
      <w:r w:rsidRPr="005B2660">
        <w:rPr>
          <w:sz w:val="16"/>
        </w:rPr>
        <w:t>, who are or should be using this scholarly input in their formulation of policies. This prevailing perspective is understandable given the feeling among many IR scholars that practitioners pay little or no attention to what we have to say (George 1993; Wallace 1996; Walt 2005:42; Nye 2008a,b). Yet the distinction between senders and receivers is problematic.</w:t>
      </w:r>
      <w:r w:rsidRPr="00DE05D0">
        <w:rPr>
          <w:rStyle w:val="StyleUnderline"/>
        </w:rPr>
        <w:t xml:space="preserve"> It suggests that communication is one-directional, that only “truth” is communicated to “power,” </w:t>
      </w:r>
      <w:r w:rsidRPr="005B2660">
        <w:rPr>
          <w:sz w:val="16"/>
        </w:rPr>
        <w:t>and that there are only two types of actors involved.</w:t>
      </w:r>
      <w:r w:rsidRPr="00DE05D0">
        <w:rPr>
          <w:rStyle w:val="StyleUnderline"/>
        </w:rPr>
        <w:t xml:space="preserve"> What about practitioners trying to influence what scholars say and do —through, for example, prioritizing certain issues above others in research funding</w:t>
      </w:r>
      <w:r w:rsidRPr="005B2660">
        <w:rPr>
          <w:sz w:val="16"/>
        </w:rPr>
        <w:t xml:space="preserve">? Steve Smith argues that </w:t>
      </w:r>
      <w:r w:rsidRPr="00DE05D0">
        <w:rPr>
          <w:rStyle w:val="Emphasis"/>
        </w:rPr>
        <w:t>policymakers tend to utilize scholarship when it confirms what they already believe</w:t>
      </w:r>
      <w:r w:rsidRPr="005B2660">
        <w:rPr>
          <w:sz w:val="16"/>
        </w:rPr>
        <w:t xml:space="preserve"> (Smith 1997, 2008). When this is the case, </w:t>
      </w:r>
      <w:r w:rsidRPr="00B8040A">
        <w:rPr>
          <w:rStyle w:val="Emphasis"/>
        </w:rPr>
        <w:t>scholars talking to practitioners are echoing “truths” already settled by practitioners</w:t>
      </w:r>
      <w:r w:rsidRPr="005B2660">
        <w:rPr>
          <w:sz w:val="16"/>
        </w:rPr>
        <w:t xml:space="preserve">. Furthermore, the sender–receiver perspective ignores how both knowledge and policies are produced in complex contexts and processes, which involve </w:t>
      </w:r>
      <w:proofErr w:type="gramStart"/>
      <w:r w:rsidRPr="005B2660">
        <w:rPr>
          <w:sz w:val="16"/>
        </w:rPr>
        <w:t>a number of</w:t>
      </w:r>
      <w:proofErr w:type="gramEnd"/>
      <w:r w:rsidRPr="005B2660">
        <w:rPr>
          <w:sz w:val="16"/>
        </w:rPr>
        <w:t xml:space="preserve"> different types of actors and advocacy coalitions, with often diffuse and multidirectional patterns of influence. </w:t>
      </w:r>
      <w:r w:rsidRPr="00DE05D0">
        <w:rPr>
          <w:rStyle w:val="StyleUnderline"/>
        </w:rPr>
        <w:t>Ideas expressed by scholars reflect and interact with a larger societal context, which includes but is not limited to public policymaking</w:t>
      </w:r>
      <w:r w:rsidRPr="005B2660">
        <w:rPr>
          <w:sz w:val="16"/>
        </w:rPr>
        <w:t xml:space="preserve"> (</w:t>
      </w:r>
      <w:proofErr w:type="spellStart"/>
      <w:r w:rsidRPr="005B2660">
        <w:rPr>
          <w:sz w:val="16"/>
        </w:rPr>
        <w:t>Buger</w:t>
      </w:r>
      <w:proofErr w:type="spellEnd"/>
      <w:r w:rsidRPr="005B2660">
        <w:rPr>
          <w:sz w:val="16"/>
        </w:rPr>
        <w:t xml:space="preserve"> and </w:t>
      </w:r>
      <w:proofErr w:type="spellStart"/>
      <w:r w:rsidRPr="005B2660">
        <w:rPr>
          <w:sz w:val="16"/>
        </w:rPr>
        <w:t>Gadinger</w:t>
      </w:r>
      <w:proofErr w:type="spellEnd"/>
      <w:r w:rsidRPr="005B2660">
        <w:rPr>
          <w:sz w:val="16"/>
        </w:rPr>
        <w:t xml:space="preserve"> 2007:95). Moreover, the very € distinction between scholars and practitioners is sometimes blurred. Some individuals are “in-and-outers” (Rosenau and </w:t>
      </w:r>
      <w:proofErr w:type="spellStart"/>
      <w:r w:rsidRPr="005B2660">
        <w:rPr>
          <w:sz w:val="16"/>
        </w:rPr>
        <w:t>Sapin</w:t>
      </w:r>
      <w:proofErr w:type="spellEnd"/>
      <w:r w:rsidRPr="005B2660">
        <w:rPr>
          <w:sz w:val="16"/>
        </w:rPr>
        <w:t xml:space="preserve"> 1994) going back and forth between, for example, a university position and government assignments or other political positions, such as being members of parliament. </w:t>
      </w:r>
      <w:r w:rsidRPr="00DE05D0">
        <w:rPr>
          <w:rStyle w:val="StyleUnderline"/>
        </w:rPr>
        <w:t xml:space="preserve">Within the world of think tanks, individuals simultaneously play </w:t>
      </w:r>
      <w:proofErr w:type="gramStart"/>
      <w:r w:rsidRPr="00DE05D0">
        <w:rPr>
          <w:rStyle w:val="StyleUnderline"/>
        </w:rPr>
        <w:t>a number of</w:t>
      </w:r>
      <w:proofErr w:type="gramEnd"/>
      <w:r w:rsidRPr="00DE05D0">
        <w:rPr>
          <w:rStyle w:val="StyleUnderline"/>
        </w:rPr>
        <w:t xml:space="preserve"> roles—as academic experts, as journalists, as policy advocates, and occasionally as policy shapers and decision makers themselves</w:t>
      </w:r>
      <w:r w:rsidRPr="005B2660">
        <w:rPr>
          <w:sz w:val="16"/>
        </w:rPr>
        <w:t xml:space="preserve"> (Rich 2004). As argued by Lisa Anderson, universities can no longer claim monopoly of scientific (or methodologically rigorous) production of knowledge (Anderson 2003). Think tanks, NGOs, new2 and traditional media organizations, social science corporations, and governmental in-house units of research and analysis produce knowledge and input for policy sometimes competing with, sometimes replacing, that which university researchers produce. Knowledge as well as public policy is formed through epistemic communities and networks of advocacy coalitions, which are blurring the boundaries between scholars and practitioners, academia and policy, and truth and power. Third, the traditional conception of policy relevance confuses relevance with improvement. If only politicians would read and appreciate “the best” IR </w:t>
      </w:r>
      <w:proofErr w:type="spellStart"/>
      <w:r w:rsidRPr="005B2660">
        <w:rPr>
          <w:sz w:val="16"/>
        </w:rPr>
        <w:t>middlerange</w:t>
      </w:r>
      <w:proofErr w:type="spellEnd"/>
      <w:r w:rsidRPr="005B2660">
        <w:rPr>
          <w:sz w:val="16"/>
        </w:rPr>
        <w:t xml:space="preserve"> theories on topics on political agendas, policies would be greatly improved, and by implication, so would the world (cf. Groom 1984; Wallace 1996; </w:t>
      </w:r>
      <w:proofErr w:type="spellStart"/>
      <w:r w:rsidRPr="005B2660">
        <w:rPr>
          <w:sz w:val="16"/>
        </w:rPr>
        <w:t>Lepgold</w:t>
      </w:r>
      <w:proofErr w:type="spellEnd"/>
      <w:r w:rsidRPr="005B2660">
        <w:rPr>
          <w:sz w:val="16"/>
        </w:rPr>
        <w:t xml:space="preserve"> and </w:t>
      </w:r>
      <w:proofErr w:type="spellStart"/>
      <w:r w:rsidRPr="005B2660">
        <w:rPr>
          <w:sz w:val="16"/>
        </w:rPr>
        <w:t>Nincic</w:t>
      </w:r>
      <w:proofErr w:type="spellEnd"/>
      <w:r w:rsidRPr="005B2660">
        <w:rPr>
          <w:sz w:val="16"/>
        </w:rPr>
        <w:t xml:space="preserve"> 2000; Walt 2005; Nye 2008a,b; </w:t>
      </w:r>
      <w:proofErr w:type="spellStart"/>
      <w:r w:rsidRPr="005B2660">
        <w:rPr>
          <w:sz w:val="16"/>
        </w:rPr>
        <w:t>Jentleson</w:t>
      </w:r>
      <w:proofErr w:type="spellEnd"/>
      <w:r w:rsidRPr="005B2660">
        <w:rPr>
          <w:sz w:val="16"/>
        </w:rPr>
        <w:t xml:space="preserve"> and Ratner 2011:8). This view partly stems from an irritation with the perceived ignorance of policy relevance in large parts of the IR community, and partly from a sense of intellectual superiority. Arguably, this view conveys a skewed account of both theory and the policy process. To make the point clear, </w:t>
      </w:r>
      <w:r w:rsidRPr="00B8040A">
        <w:rPr>
          <w:rStyle w:val="Emphasis"/>
        </w:rPr>
        <w:t>it cannot be assumed that influential scholarship necessarily makes policy “better”</w:t>
      </w:r>
      <w:r w:rsidRPr="003E349D">
        <w:rPr>
          <w:rStyle w:val="StyleUnderline"/>
        </w:rPr>
        <w:t xml:space="preserve"> </w:t>
      </w:r>
      <w:r w:rsidRPr="005B2660">
        <w:rPr>
          <w:sz w:val="16"/>
        </w:rPr>
        <w:t>or that high-quality research always has a better chance of influencing policy than sloppy research or ideas that build on faulty or even false premises. Perhaps,</w:t>
      </w:r>
      <w:r w:rsidRPr="003E349D">
        <w:rPr>
          <w:rStyle w:val="StyleUnderline"/>
        </w:rPr>
        <w:t xml:space="preserve"> it is not always the academically most acclaimed theories that gain the attention of policymakers, but rather those that provide the most simple, elegant, and accessible worldviews and solutions to problems which are in fact extremely complex</w:t>
      </w:r>
      <w:r w:rsidRPr="005B2660">
        <w:rPr>
          <w:sz w:val="16"/>
        </w:rPr>
        <w:t xml:space="preserve">. How else is it possible that ideas which are rhetorically elegant yet academically bashed, such as Huntington’s “clash of civilizations,” can gain significant political attention? In the words of Peter </w:t>
      </w:r>
      <w:proofErr w:type="spellStart"/>
      <w:r w:rsidRPr="005B2660">
        <w:rPr>
          <w:sz w:val="16"/>
        </w:rPr>
        <w:t>Gourevitch</w:t>
      </w:r>
      <w:proofErr w:type="spellEnd"/>
      <w:r w:rsidRPr="005B2660">
        <w:rPr>
          <w:sz w:val="16"/>
        </w:rPr>
        <w:t xml:space="preserve"> (1989:87–88): </w:t>
      </w:r>
      <w:r w:rsidRPr="00B8040A">
        <w:rPr>
          <w:rStyle w:val="StyleUnderline"/>
        </w:rPr>
        <w:t>“Even a good idea cannot become policy if it meets certain kinds of opposition, and a bad idea can become policy if it is able to obtain support.”</w:t>
      </w:r>
    </w:p>
    <w:p w14:paraId="7A639FF0" w14:textId="2C3A976C" w:rsidR="00B8040A" w:rsidRDefault="00B8040A" w:rsidP="00B8040A"/>
    <w:p w14:paraId="5ECFC8A6" w14:textId="3E9BE2BA" w:rsidR="005B2660" w:rsidRDefault="005B2660" w:rsidP="005B2660">
      <w:pPr>
        <w:pStyle w:val="Heading4"/>
      </w:pPr>
      <w:r>
        <w:t xml:space="preserve">No direct correspondence between policy scholarship and policy relevance. </w:t>
      </w:r>
      <w:r w:rsidR="00DD0B45">
        <w:t>Critiques of ideology and worldviews also influence the “soup” shaping policy agendas</w:t>
      </w:r>
    </w:p>
    <w:p w14:paraId="526331C1" w14:textId="77777777" w:rsidR="00DD0B45" w:rsidRPr="00B15D1A" w:rsidRDefault="00DD0B45" w:rsidP="00DD0B45">
      <w:r w:rsidRPr="002573BA">
        <w:rPr>
          <w:rStyle w:val="Style13ptBold"/>
        </w:rPr>
        <w:t>Eriksson 2014</w:t>
      </w:r>
      <w:r>
        <w:t xml:space="preserve"> (Johan, Swedish Institute of International Affairs, “</w:t>
      </w:r>
      <w:r w:rsidRPr="002573BA">
        <w:t>On the Policy Relevance of Grand Theory</w:t>
      </w:r>
      <w:r>
        <w:t xml:space="preserve">,” </w:t>
      </w:r>
      <w:r>
        <w:rPr>
          <w:i/>
        </w:rPr>
        <w:t>International Studies Perspectives</w:t>
      </w:r>
      <w:r>
        <w:t xml:space="preserve">, 15.1, </w:t>
      </w:r>
      <w:r w:rsidRPr="002573BA">
        <w:t>https://www.academia.edu/12626547/On_the_Policy_Relevance_of_Grand_Theory</w:t>
      </w:r>
      <w:r>
        <w:t>, accessed 7-14-2019, GDI-ATN)</w:t>
      </w:r>
    </w:p>
    <w:p w14:paraId="1BBAE642" w14:textId="77777777" w:rsidR="005B2660" w:rsidRDefault="005B2660" w:rsidP="005B2660">
      <w:pPr>
        <w:rPr>
          <w:rStyle w:val="StyleUnderline"/>
        </w:rPr>
      </w:pPr>
      <w:r w:rsidRPr="005B2660">
        <w:rPr>
          <w:sz w:val="16"/>
        </w:rPr>
        <w:t xml:space="preserve">Moreover, and more importantly for the purpose of this paper, it can be argued that </w:t>
      </w:r>
      <w:r w:rsidRPr="003E349D">
        <w:rPr>
          <w:rStyle w:val="Emphasis"/>
        </w:rPr>
        <w:t xml:space="preserve">these “great debates” have not been isolated affairs within the ivory </w:t>
      </w:r>
      <w:proofErr w:type="gramStart"/>
      <w:r w:rsidRPr="003E349D">
        <w:rPr>
          <w:rStyle w:val="Emphasis"/>
        </w:rPr>
        <w:t>tower, but</w:t>
      </w:r>
      <w:proofErr w:type="gramEnd"/>
      <w:r w:rsidRPr="003E349D">
        <w:rPr>
          <w:rStyle w:val="Emphasis"/>
        </w:rPr>
        <w:t xml:space="preserve"> have also reflected paradigms in foreign policy and world affairs</w:t>
      </w:r>
      <w:r w:rsidRPr="005B2660">
        <w:rPr>
          <w:sz w:val="16"/>
        </w:rPr>
        <w:t xml:space="preserve">. This is perhaps most clearly the case with the first debate between Realism and Utopianism, which was explicitly concerned with how the West should deal with Nazi Germany. Yet, it can also </w:t>
      </w:r>
      <w:proofErr w:type="gramStart"/>
      <w:r w:rsidRPr="005B2660">
        <w:rPr>
          <w:sz w:val="16"/>
        </w:rPr>
        <w:t>been</w:t>
      </w:r>
      <w:proofErr w:type="gramEnd"/>
      <w:r w:rsidRPr="005B2660">
        <w:rPr>
          <w:sz w:val="16"/>
        </w:rPr>
        <w:t xml:space="preserve"> argued that “grand theory” has continued to shape policy. US foreign policy, for example, is commonly described in terms of a balancing of two main grand theories—on the one hand Realism and its emphasis on “hard power” in military and economic terms, and on the other Liberalism and its emphasis on “soft power,” multilateralism, and the diffusion of democratic norms and institutions.4 Some scholars turned practitioners, such as Henry Kissinger and Zbigniew Brzezinski, have embraced a particular grand theory (in this case Realism, in its classical and geostrategic variant), as a theoretical and conceptual guide for their politics (Schwartz 2011; Brzezinski 2012). Likewise, the US postwar containment policy essentially reflected Realist geopolitical ideas—using military and economic means to “contain” the Soviet Union. Moreover, the Universal Declaration of Human Rights, established by the UN General Assembly in 1948, clearly reflects fundamentally Liberal ideas. Even beyond such perhaps more “obvious” cases of grand theory turned into policy, we should consider Keynes observation of how</w:t>
      </w:r>
      <w:r w:rsidRPr="003E349D">
        <w:rPr>
          <w:rStyle w:val="Emphasis"/>
        </w:rPr>
        <w:t xml:space="preserve"> grand ideas and theories, including ideologies and religious worldviews, shape policy.</w:t>
      </w:r>
      <w:r>
        <w:rPr>
          <w:rStyle w:val="Emphasis"/>
        </w:rPr>
        <w:t xml:space="preserve"> </w:t>
      </w:r>
      <w:r w:rsidRPr="005B2660">
        <w:rPr>
          <w:sz w:val="16"/>
        </w:rPr>
        <w:t xml:space="preserve">Importantly, </w:t>
      </w:r>
      <w:r w:rsidRPr="003E349D">
        <w:rPr>
          <w:rStyle w:val="StyleUnderline"/>
        </w:rPr>
        <w:t xml:space="preserve">grand theories and grand ideas shaping policy should not be equated with scholars or scholarship shaping policy. </w:t>
      </w:r>
      <w:r w:rsidRPr="005B2660">
        <w:rPr>
          <w:sz w:val="16"/>
        </w:rPr>
        <w:t>As noted earlier,</w:t>
      </w:r>
      <w:r w:rsidRPr="003E349D">
        <w:rPr>
          <w:rStyle w:val="StyleUnderline"/>
        </w:rPr>
        <w:t xml:space="preserve"> the relationship between scholarship and policy is a complicated one, and the assumption of a simple sender–receiver relationship is far too limited</w:t>
      </w:r>
      <w:r w:rsidRPr="005B2660">
        <w:rPr>
          <w:sz w:val="16"/>
        </w:rPr>
        <w:t xml:space="preserve">. </w:t>
      </w:r>
      <w:r w:rsidRPr="003E349D">
        <w:rPr>
          <w:rStyle w:val="Emphasis"/>
        </w:rPr>
        <w:t xml:space="preserve">Scholars </w:t>
      </w:r>
      <w:r w:rsidRPr="005B2660">
        <w:rPr>
          <w:sz w:val="16"/>
        </w:rPr>
        <w:t>and statesmen, as well as</w:t>
      </w:r>
      <w:r w:rsidRPr="003E349D">
        <w:rPr>
          <w:rStyle w:val="Emphasis"/>
        </w:rPr>
        <w:t xml:space="preserve"> journalists, analysts, bureaucrats, business leaders, political acti</w:t>
      </w:r>
      <w:r>
        <w:rPr>
          <w:rStyle w:val="Emphasis"/>
        </w:rPr>
        <w:t>v</w:t>
      </w:r>
      <w:r w:rsidRPr="003E349D">
        <w:rPr>
          <w:rStyle w:val="Emphasis"/>
        </w:rPr>
        <w:t>ists, and others participate and contribute to a political discourse in which ideas and policies are formulated, critiqued, reshaped, and occasionally implemented.</w:t>
      </w:r>
      <w:r w:rsidRPr="005B2660">
        <w:rPr>
          <w:sz w:val="16"/>
        </w:rPr>
        <w:t xml:space="preserve"> Inspired by John </w:t>
      </w:r>
      <w:proofErr w:type="spellStart"/>
      <w:r w:rsidRPr="005B2660">
        <w:rPr>
          <w:sz w:val="16"/>
        </w:rPr>
        <w:t>Kingdon</w:t>
      </w:r>
      <w:proofErr w:type="spellEnd"/>
      <w:r w:rsidRPr="005B2660">
        <w:rPr>
          <w:sz w:val="16"/>
        </w:rPr>
        <w:t xml:space="preserve"> and his theory of the agenda-setting process in public policy, I argue that a “garbage can”5 approach gives a more realistic understanding of the production of policy than the sender–receiver perspective. </w:t>
      </w:r>
      <w:r w:rsidRPr="003E349D">
        <w:rPr>
          <w:rStyle w:val="Emphasis"/>
        </w:rPr>
        <w:t>Ideas are “floating around” in the “policy soup” as well as in academia</w:t>
      </w:r>
      <w:r w:rsidRPr="005B2660">
        <w:rPr>
          <w:sz w:val="16"/>
        </w:rPr>
        <w:t>. Rather than tracing the origin or originator of an idea or a particular policy, which will only lead to “infinite regress” (</w:t>
      </w:r>
      <w:proofErr w:type="spellStart"/>
      <w:r w:rsidRPr="005B2660">
        <w:rPr>
          <w:sz w:val="16"/>
        </w:rPr>
        <w:t>Kingdon</w:t>
      </w:r>
      <w:proofErr w:type="spellEnd"/>
      <w:r w:rsidRPr="005B2660">
        <w:rPr>
          <w:sz w:val="16"/>
        </w:rPr>
        <w:t xml:space="preserve"> 1995:72–73), </w:t>
      </w:r>
      <w:r w:rsidRPr="003E349D">
        <w:rPr>
          <w:rStyle w:val="Emphasis"/>
        </w:rPr>
        <w:t>focus should be on who is advocating a particular idea, who resists it, and what determines how the policy agenda is shaped.</w:t>
      </w:r>
      <w:r w:rsidRPr="005B2660">
        <w:rPr>
          <w:sz w:val="16"/>
        </w:rPr>
        <w:t>6 Some observers lament that many useful scholarly ideas are ignored: That there is a gap between scholarship and policy in terms of direct communication and explicit exchange of ideas and people (George 1993)—a gap that arguably has tended to grow (Wallace 1996; Walt 2005; Nau 2008:636; Nye 2008a,b). Critics argue that this “gap” is exaggerated or simply, they claim scholars and policymakers tend to be likeminded and guided by similar paradigmatic views of how the world hangs together (</w:t>
      </w:r>
      <w:proofErr w:type="spellStart"/>
      <w:r w:rsidRPr="005B2660">
        <w:rPr>
          <w:sz w:val="16"/>
        </w:rPr>
        <w:t>Buger</w:t>
      </w:r>
      <w:proofErr w:type="spellEnd"/>
      <w:r w:rsidRPr="005B2660">
        <w:rPr>
          <w:sz w:val="16"/>
        </w:rPr>
        <w:t xml:space="preserve"> and </w:t>
      </w:r>
      <w:proofErr w:type="spellStart"/>
      <w:r w:rsidRPr="005B2660">
        <w:rPr>
          <w:sz w:val="16"/>
        </w:rPr>
        <w:t>Gadinger</w:t>
      </w:r>
      <w:proofErr w:type="spellEnd"/>
      <w:r w:rsidRPr="005B2660">
        <w:rPr>
          <w:sz w:val="16"/>
        </w:rPr>
        <w:t xml:space="preserve"> 2007; Smith 2008; Jones 2009). € These critics also claim that the distinction between objective scholarship (truth) and subjective politics (power) is overstated—arguing that teaching and research are unavoidably normative and very much concerned with real-world issues. Likewise, critics argue that the policy world is not only exercising power but also developing ideas, understanding, knowledge, and explanation, albeit not necessarily according to scientific principles (Smith 2008). Thus, it is essential to make a clear distinction between direct communication and exchange on the one hand and paradigmatic community on the other. </w:t>
      </w:r>
      <w:r w:rsidRPr="003E349D">
        <w:rPr>
          <w:rStyle w:val="StyleUnderline"/>
        </w:rPr>
        <w:t>There is clearly a gap in direct communication and exchange between scholarship and policy, and in a general sense, this may be growing, although patterns are not everywhere the same. Yet scholars and practitioners often share paradigmatic views on the world, largely reflecting positions taken by some grand theory.</w:t>
      </w:r>
    </w:p>
    <w:p w14:paraId="6C203FC0" w14:textId="1CE0EB15" w:rsidR="005B2660" w:rsidRDefault="005B2660" w:rsidP="005B2660"/>
    <w:p w14:paraId="7BA74C68" w14:textId="5F3D1C16" w:rsidR="00DD0B45" w:rsidRDefault="00DD0B45" w:rsidP="00DD0B45">
      <w:pPr>
        <w:pStyle w:val="Heading4"/>
      </w:pPr>
      <w:r>
        <w:t>Virtually no direct connection between policy scholarship and policy changes</w:t>
      </w:r>
    </w:p>
    <w:p w14:paraId="082D6AC2" w14:textId="4C511FC8" w:rsidR="00DD0B45" w:rsidRPr="001D4A57" w:rsidRDefault="00DD0B45" w:rsidP="00DD0B45">
      <w:proofErr w:type="spellStart"/>
      <w:r w:rsidRPr="004F3B08">
        <w:rPr>
          <w:rStyle w:val="Style13ptBold"/>
        </w:rPr>
        <w:t>Bertucci</w:t>
      </w:r>
      <w:proofErr w:type="spellEnd"/>
      <w:r w:rsidRPr="004F3B08">
        <w:rPr>
          <w:rStyle w:val="Style13ptBold"/>
        </w:rPr>
        <w:t xml:space="preserve"> et al 2014</w:t>
      </w:r>
      <w:r>
        <w:t xml:space="preserve"> (</w:t>
      </w:r>
      <w:r w:rsidRPr="004F3B08">
        <w:t>Mariano</w:t>
      </w:r>
      <w:r>
        <w:t xml:space="preserve">, [fellow @ </w:t>
      </w:r>
      <w:r w:rsidRPr="004F3B08">
        <w:t>Center for Inter-American Policy and Research</w:t>
      </w:r>
      <w:r>
        <w:t xml:space="preserve"> @ </w:t>
      </w:r>
      <w:r w:rsidRPr="004F3B08">
        <w:t>Tulane University</w:t>
      </w:r>
      <w:r>
        <w:t>]</w:t>
      </w:r>
      <w:r w:rsidRPr="004F3B08">
        <w:t>, Fabián Borges-Herrero</w:t>
      </w:r>
      <w:r>
        <w:t xml:space="preserve"> [</w:t>
      </w:r>
      <w:r w:rsidRPr="004F3B08">
        <w:t>Assistant Professor of Political Science at CSUSB</w:t>
      </w:r>
      <w:r>
        <w:t>]</w:t>
      </w:r>
      <w:r w:rsidRPr="004F3B08">
        <w:t>, Claudia Fuentes-Julio</w:t>
      </w:r>
      <w:r>
        <w:t xml:space="preserve"> [faculty @ institute of international relations @ </w:t>
      </w:r>
      <w:r w:rsidRPr="004F3B08">
        <w:t>Pontifical Catholic University of Rio de Janeiro</w:t>
      </w:r>
      <w:r>
        <w:t>]</w:t>
      </w:r>
      <w:r w:rsidRPr="004F3B08">
        <w:t xml:space="preserve">, Toward “Best Practices” in Scholar–Practitioner Relations: Insights from the Field of Inter-American Affairs, </w:t>
      </w:r>
      <w:r w:rsidRPr="00DD0B45">
        <w:rPr>
          <w:i/>
          <w:iCs/>
        </w:rPr>
        <w:t>International Studies Perspectives</w:t>
      </w:r>
      <w:r w:rsidRPr="004F3B08">
        <w:t xml:space="preserve">, </w:t>
      </w:r>
      <w:r>
        <w:t>15.1</w:t>
      </w:r>
      <w:r w:rsidRPr="004F3B08">
        <w:t xml:space="preserve">, </w:t>
      </w:r>
      <w:r>
        <w:t>accessed 7-15-2019, GDI-ATN)</w:t>
      </w:r>
    </w:p>
    <w:p w14:paraId="432764DB" w14:textId="611FD2A5" w:rsidR="00DD0B45" w:rsidRPr="00DD0B45" w:rsidRDefault="00DD0B45" w:rsidP="00DD0B45">
      <w:pPr>
        <w:rPr>
          <w:sz w:val="16"/>
        </w:rPr>
      </w:pPr>
      <w:r w:rsidRPr="001D4A57">
        <w:rPr>
          <w:rStyle w:val="Emphasis"/>
        </w:rPr>
        <w:t xml:space="preserve">The likelihood that scholarly ideas will influence the policy process may be inversely proportional to the politicization of the issue </w:t>
      </w:r>
      <w:r w:rsidRPr="008C7FF8">
        <w:rPr>
          <w:sz w:val="16"/>
          <w:szCs w:val="16"/>
        </w:rPr>
        <w:t>at play. U.S. policies on illegal drug trade, Cuba, and immigration, illustrate this paradox (Shifter 2011:2). There is widespread consensus in both academic and policy circles that U.S. policy is failing in these areas, but policymakers have not been receptive to new ideas from scholars aimed at addressing these failures.18</w:t>
      </w:r>
      <w:r w:rsidRPr="00DD0B45">
        <w:rPr>
          <w:sz w:val="16"/>
        </w:rPr>
        <w:t xml:space="preserve"> </w:t>
      </w:r>
      <w:r w:rsidRPr="001D4A57">
        <w:rPr>
          <w:rStyle w:val="StyleUnderline"/>
        </w:rPr>
        <w:t>The complex nature of policy-making processes calls for “aligning-stars” in order for expert knowledge actually to influence policymaking. The outputs of policy-making processes depend on at least three streams and two factors that are only marginally, if at all, directly influenced by scholarly knowledge</w:t>
      </w:r>
      <w:r w:rsidRPr="00DD0B45">
        <w:rPr>
          <w:sz w:val="16"/>
        </w:rPr>
        <w:t>. The three policy streams flow relatively independently from each other and are as follows: (</w:t>
      </w:r>
      <w:proofErr w:type="spellStart"/>
      <w:r w:rsidRPr="00DD0B45">
        <w:rPr>
          <w:sz w:val="16"/>
        </w:rPr>
        <w:t>i</w:t>
      </w:r>
      <w:proofErr w:type="spellEnd"/>
      <w:r w:rsidRPr="00DD0B45">
        <w:rPr>
          <w:sz w:val="16"/>
        </w:rPr>
        <w:t xml:space="preserve">) </w:t>
      </w:r>
      <w:r w:rsidRPr="008C7FF8">
        <w:rPr>
          <w:sz w:val="16"/>
          <w:szCs w:val="16"/>
        </w:rPr>
        <w:t>“problem recognition”, or the process through which a given condition (e.g., lack of peace in the Middle East) is transformed into a national security problem of a given country; (ii) “policy alternatives”, or the process through which alternative courses of action are generated in academic and nonacademic circles (e.g., bureaucracy vs. scholars working in think tanks, nongovernmental organizations); and (iii) “politics”, or “the national mood, interest groups campaigns, and administrative or legislative turnover” that may or not provide a functional environment for the implementation of available policy alternatives. A</w:t>
      </w:r>
      <w:r w:rsidRPr="00DD0B45">
        <w:rPr>
          <w:sz w:val="16"/>
        </w:rPr>
        <w:t xml:space="preserve">dded to these, the two main factors that could bring the streams together and open the “window of opportunity” for available policy alternatives to influence policy are individual efforts made by politicians or policy entrepreneurs, or crises such as 9/11. That is, </w:t>
      </w:r>
      <w:r w:rsidRPr="001D4A57">
        <w:rPr>
          <w:rStyle w:val="StyleUnderline"/>
        </w:rPr>
        <w:t>policy-making processes are like “garbage cans” of decision making in which policy outcomes are the result of individual actors attaching available policy solutions to existing problems, whereas scholarly inputs are only one among five processes and factors that may facilitate or impede the influence of scholarly knowledge on practice</w:t>
      </w:r>
      <w:r w:rsidRPr="00DD0B45">
        <w:rPr>
          <w:sz w:val="16"/>
        </w:rPr>
        <w:t xml:space="preserve"> (Krasner 2009:261). Examples in Costa Rica, Mexico, and Argentina illustrate this point. </w:t>
      </w:r>
      <w:r w:rsidRPr="008C7FF8">
        <w:rPr>
          <w:sz w:val="16"/>
          <w:szCs w:val="16"/>
        </w:rPr>
        <w:t>During Oscar Arias’ presidency in Costa Rica, half the cabinet had PhD degrees, but</w:t>
      </w:r>
      <w:r w:rsidRPr="006D5E57">
        <w:rPr>
          <w:rStyle w:val="StyleUnderline"/>
        </w:rPr>
        <w:t xml:space="preserve"> given the dysfunctional institutional design of the state</w:t>
      </w:r>
      <w:r w:rsidRPr="00DD0B45">
        <w:rPr>
          <w:sz w:val="16"/>
        </w:rPr>
        <w:t xml:space="preserve"> (i.e., legislative minorities hold substantial veto power over policymaking due to Congressional by laws), </w:t>
      </w:r>
      <w:r w:rsidRPr="006D5E57">
        <w:rPr>
          <w:rStyle w:val="StyleUnderline"/>
        </w:rPr>
        <w:t>it was virtually impossible to bring about policy change.</w:t>
      </w:r>
      <w:r w:rsidRPr="00DD0B45">
        <w:rPr>
          <w:sz w:val="16"/>
        </w:rPr>
        <w:t xml:space="preserve">19 In Mexico, receptiveness of policymakers to scholarly ideas tends to fluctuate depending on who is occupying the presidency. Whereas a relatively close relationship between Partido </w:t>
      </w:r>
      <w:proofErr w:type="spellStart"/>
      <w:r w:rsidRPr="00DD0B45">
        <w:rPr>
          <w:sz w:val="16"/>
        </w:rPr>
        <w:t>Revolucionario</w:t>
      </w:r>
      <w:proofErr w:type="spellEnd"/>
      <w:r w:rsidRPr="00DD0B45">
        <w:rPr>
          <w:sz w:val="16"/>
        </w:rPr>
        <w:t xml:space="preserve"> </w:t>
      </w:r>
      <w:proofErr w:type="spellStart"/>
      <w:r w:rsidRPr="00DD0B45">
        <w:rPr>
          <w:sz w:val="16"/>
        </w:rPr>
        <w:t>Institucional</w:t>
      </w:r>
      <w:proofErr w:type="spellEnd"/>
      <w:r w:rsidRPr="00DD0B45">
        <w:rPr>
          <w:sz w:val="16"/>
        </w:rPr>
        <w:t xml:space="preserve"> (PRI) governments and the Instituto </w:t>
      </w:r>
      <w:proofErr w:type="spellStart"/>
      <w:r w:rsidRPr="00DD0B45">
        <w:rPr>
          <w:sz w:val="16"/>
        </w:rPr>
        <w:t>Tecnolo´gico</w:t>
      </w:r>
      <w:proofErr w:type="spellEnd"/>
      <w:r w:rsidRPr="00DD0B45">
        <w:rPr>
          <w:sz w:val="16"/>
        </w:rPr>
        <w:t xml:space="preserve"> </w:t>
      </w:r>
      <w:proofErr w:type="spellStart"/>
      <w:r w:rsidRPr="00DD0B45">
        <w:rPr>
          <w:sz w:val="16"/>
        </w:rPr>
        <w:t>Auto´nomo</w:t>
      </w:r>
      <w:proofErr w:type="spellEnd"/>
      <w:r w:rsidRPr="00DD0B45">
        <w:rPr>
          <w:sz w:val="16"/>
        </w:rPr>
        <w:t xml:space="preserve"> de </w:t>
      </w:r>
      <w:proofErr w:type="spellStart"/>
      <w:r w:rsidRPr="00DD0B45">
        <w:rPr>
          <w:sz w:val="16"/>
        </w:rPr>
        <w:t>Me´xico</w:t>
      </w:r>
      <w:proofErr w:type="spellEnd"/>
      <w:r w:rsidRPr="00DD0B45">
        <w:rPr>
          <w:sz w:val="16"/>
        </w:rPr>
        <w:t xml:space="preserve"> (ITAM) existed during the 1980s and 1990s, the Partido </w:t>
      </w:r>
      <w:proofErr w:type="spellStart"/>
      <w:r w:rsidRPr="00DD0B45">
        <w:rPr>
          <w:sz w:val="16"/>
        </w:rPr>
        <w:t>Accio´n</w:t>
      </w:r>
      <w:proofErr w:type="spellEnd"/>
      <w:r w:rsidRPr="00DD0B45">
        <w:rPr>
          <w:sz w:val="16"/>
        </w:rPr>
        <w:t xml:space="preserve"> Nacional’s (PAN) administration of Vicente Fox has had something of an anti-academic bent. However, during the PAN’s government of Felipe </w:t>
      </w:r>
      <w:proofErr w:type="spellStart"/>
      <w:r w:rsidRPr="00DD0B45">
        <w:rPr>
          <w:sz w:val="16"/>
        </w:rPr>
        <w:t>Caldero´n</w:t>
      </w:r>
      <w:proofErr w:type="spellEnd"/>
      <w:r w:rsidRPr="00DD0B45">
        <w:rPr>
          <w:sz w:val="16"/>
        </w:rPr>
        <w:t xml:space="preserve">, there has been a significant interaction between scholars and policymakers, as well as a few scholars-cum-practitioners occupying top-level government positions (e.g., Alejandro </w:t>
      </w:r>
      <w:proofErr w:type="spellStart"/>
      <w:r w:rsidRPr="00DD0B45">
        <w:rPr>
          <w:sz w:val="16"/>
        </w:rPr>
        <w:t>Poire</w:t>
      </w:r>
      <w:proofErr w:type="spellEnd"/>
      <w:r w:rsidRPr="00DD0B45">
        <w:rPr>
          <w:sz w:val="16"/>
        </w:rPr>
        <w:t xml:space="preserve">´ as Secretary of the Interior and Rafael </w:t>
      </w:r>
      <w:proofErr w:type="spellStart"/>
      <w:r w:rsidRPr="00DD0B45">
        <w:rPr>
          <w:sz w:val="16"/>
        </w:rPr>
        <w:t>Ferna´ndez</w:t>
      </w:r>
      <w:proofErr w:type="spellEnd"/>
      <w:r w:rsidRPr="00DD0B45">
        <w:rPr>
          <w:sz w:val="16"/>
        </w:rPr>
        <w:t xml:space="preserve"> de Castro as Presidential Advisor for International Affairs).20 </w:t>
      </w:r>
      <w:r w:rsidRPr="008C7FF8">
        <w:rPr>
          <w:sz w:val="16"/>
          <w:szCs w:val="16"/>
        </w:rPr>
        <w:t xml:space="preserve">Argentina’s foreign policy-making process has historically been highly centralized in the hands of a very few political actors, mainly the president. Scholars do not circulate in and out of government and academia, even though Argentine scholars tend to tackle the most pressing issues of Argentina’s international agenda (Russell 2011). Indeed, and in sharp contrast to United States-based IR scholarship, Latin America’s research in IR has traditionally produced relevant and applicable policy knowledge in a language accessible to policymakers. The incentive structure of academia in the region has rewarded non-theoretical knowledge and theory has often </w:t>
      </w:r>
      <w:proofErr w:type="gramStart"/>
      <w:r w:rsidRPr="008C7FF8">
        <w:rPr>
          <w:sz w:val="16"/>
          <w:szCs w:val="16"/>
        </w:rPr>
        <w:t>been seen as</w:t>
      </w:r>
      <w:proofErr w:type="gramEnd"/>
      <w:r w:rsidRPr="008C7FF8">
        <w:rPr>
          <w:sz w:val="16"/>
          <w:szCs w:val="16"/>
        </w:rPr>
        <w:t xml:space="preserve"> irrelevant in light of the region’s pressing concerns. Whether scholar–practitioner interactions take place varies in different domestic and historical circumstances (Ti</w:t>
      </w:r>
      <w:r w:rsidRPr="00DD0B45">
        <w:rPr>
          <w:sz w:val="16"/>
        </w:rPr>
        <w:t xml:space="preserve">ckner 2011). For example, scholars have been influential in Chile’s foreign policy-making process, but not in Brazil, where </w:t>
      </w:r>
      <w:proofErr w:type="spellStart"/>
      <w:r w:rsidRPr="00DD0B45">
        <w:rPr>
          <w:sz w:val="16"/>
        </w:rPr>
        <w:t>Itamaraty</w:t>
      </w:r>
      <w:proofErr w:type="spellEnd"/>
      <w:r w:rsidRPr="00DD0B45">
        <w:rPr>
          <w:sz w:val="16"/>
        </w:rPr>
        <w:t xml:space="preserve">—Brazil’s Ministry of Foreign Affairs—has not only dominated that country’s foreign policy decision-making apparatus but also the production of Brazilian IR scholarship (De Souza 2011).21 </w:t>
      </w:r>
      <w:r w:rsidRPr="006D5E57">
        <w:rPr>
          <w:rStyle w:val="Emphasis"/>
        </w:rPr>
        <w:t>The ability of scholarship to influence policy also depends on the pace at which policymaking takes place in different issue areas. The potential for scholarly influence is limited in policy areas with short time horizons, as in the case of day-to-day diplomacy</w:t>
      </w:r>
      <w:r w:rsidRPr="00DD0B45">
        <w:rPr>
          <w:sz w:val="16"/>
        </w:rPr>
        <w:t>. It is greater in areas with long-term horizons, such as development policy, where scholars have successfully introduced new ideas aimed at empowering women and reducing extreme poverty, as discussed above (Heredia 2012; Lustig 2012).</w:t>
      </w:r>
    </w:p>
    <w:p w14:paraId="0C8C9499" w14:textId="77777777" w:rsidR="00DD0B45" w:rsidRPr="00B4303E" w:rsidRDefault="00DD0B45" w:rsidP="005B2660"/>
    <w:p w14:paraId="70BB559D" w14:textId="16184CD0" w:rsidR="005B2660" w:rsidRDefault="00441E9E" w:rsidP="00441E9E">
      <w:pPr>
        <w:pStyle w:val="Heading1"/>
      </w:pPr>
      <w:proofErr w:type="spellStart"/>
      <w:r>
        <w:t>Aff</w:t>
      </w:r>
      <w:proofErr w:type="spellEnd"/>
      <w:r>
        <w:t xml:space="preserve"> Answers</w:t>
      </w:r>
    </w:p>
    <w:p w14:paraId="3D47932A" w14:textId="4099A6E6" w:rsidR="00441E9E" w:rsidRDefault="00441E9E" w:rsidP="00441E9E"/>
    <w:p w14:paraId="61A4980D" w14:textId="66CEEE80" w:rsidR="00EC16C2" w:rsidRDefault="00EC16C2" w:rsidP="00EC16C2">
      <w:pPr>
        <w:pStyle w:val="Heading2"/>
      </w:pPr>
      <w:r>
        <w:t>Policy Key</w:t>
      </w:r>
    </w:p>
    <w:p w14:paraId="2BA08370" w14:textId="47DF187C" w:rsidR="00EC16C2" w:rsidRDefault="00EC16C2" w:rsidP="00EC16C2"/>
    <w:p w14:paraId="54BB1ABF" w14:textId="2F36FABF" w:rsidR="00EC16C2" w:rsidRDefault="00EC16C2" w:rsidP="00EC16C2">
      <w:pPr>
        <w:pStyle w:val="Heading3"/>
      </w:pPr>
      <w:r>
        <w:t>Pragmatism</w:t>
      </w:r>
    </w:p>
    <w:p w14:paraId="6B3E3665" w14:textId="4CB9A5B2" w:rsidR="00EC16C2" w:rsidRDefault="00EC16C2" w:rsidP="00EC16C2"/>
    <w:p w14:paraId="34DCDBD6" w14:textId="1A4BAAAD" w:rsidR="00A566A0" w:rsidRPr="004325FB" w:rsidRDefault="00A50D6F" w:rsidP="00A566A0">
      <w:pPr>
        <w:pStyle w:val="Heading4"/>
      </w:pPr>
      <w:r>
        <w:t xml:space="preserve">Epistemology critique must move beyond </w:t>
      </w:r>
      <w:r w:rsidR="00071440">
        <w:t>rejection</w:t>
      </w:r>
      <w:r w:rsidR="007A31C0">
        <w:t xml:space="preserve"> and prescribe pragmatic policy decisions</w:t>
      </w:r>
    </w:p>
    <w:p w14:paraId="17EA726B" w14:textId="0FC0E190" w:rsidR="00A566A0" w:rsidRDefault="00A566A0" w:rsidP="00A566A0">
      <w:proofErr w:type="spellStart"/>
      <w:r w:rsidRPr="002E6755">
        <w:rPr>
          <w:rStyle w:val="Style13ptBold"/>
        </w:rPr>
        <w:t>Rytövuori-Apunen</w:t>
      </w:r>
      <w:proofErr w:type="spellEnd"/>
      <w:r w:rsidRPr="002E6755">
        <w:rPr>
          <w:rStyle w:val="Style13ptBold"/>
        </w:rPr>
        <w:t xml:space="preserve"> 05</w:t>
      </w:r>
      <w:r>
        <w:t xml:space="preserve"> (Helena, University of Tampere adjunct professor of IR focusing on qualitative</w:t>
      </w:r>
      <w:r w:rsidRPr="007745EF">
        <w:t xml:space="preserve"> research in International Relations and Peace and Conflict Research</w:t>
      </w:r>
      <w:r>
        <w:t xml:space="preserve">, “Forget ‘Post-Positivist’ IR!: The Legacy of IR Theory as the Locus for a Pragmatist Turn,” Cooperation and Conflict: Journal of the Nordic International Studies Association, </w:t>
      </w:r>
      <w:r>
        <w:t>40.2</w:t>
      </w:r>
      <w:r>
        <w:t xml:space="preserve">, </w:t>
      </w:r>
      <w:r w:rsidRPr="002E6755">
        <w:t>http://citeseerx.ist.psu.edu/viewdoc/download?doi=10.1.1.862.8155&amp;rep=rep1&amp;type=pdf</w:t>
      </w:r>
      <w:r>
        <w:t>, accessed 7-15-2019, GDI-ATN)</w:t>
      </w:r>
    </w:p>
    <w:p w14:paraId="40B8A21F" w14:textId="0BED1E88" w:rsidR="00A566A0" w:rsidRPr="00A50D6F" w:rsidRDefault="00A566A0" w:rsidP="00A566A0">
      <w:pPr>
        <w:rPr>
          <w:sz w:val="16"/>
        </w:rPr>
      </w:pPr>
      <w:r w:rsidRPr="002E6755">
        <w:rPr>
          <w:rStyle w:val="StyleUnderline"/>
        </w:rPr>
        <w:t>For the interpretatively oriented scholars the ideal of cumulative knowledge</w:t>
      </w:r>
      <w:r w:rsidRPr="00A50D6F">
        <w:rPr>
          <w:sz w:val="16"/>
        </w:rPr>
        <w:t xml:space="preserve">, which Keohane outlines </w:t>
      </w:r>
      <w:r w:rsidRPr="002E6755">
        <w:rPr>
          <w:rStyle w:val="StyleUnderline"/>
        </w:rPr>
        <w:t>in terms of scientific inference, obviously speaks for its own limitations</w:t>
      </w:r>
      <w:r w:rsidRPr="00A50D6F">
        <w:rPr>
          <w:sz w:val="16"/>
        </w:rPr>
        <w:t xml:space="preserve"> (cf. also King et al., 1994). </w:t>
      </w:r>
      <w:r w:rsidRPr="002E6755">
        <w:rPr>
          <w:rStyle w:val="Emphasis"/>
        </w:rPr>
        <w:t>But avoiding this</w:t>
      </w:r>
      <w:r w:rsidRPr="00A50D6F">
        <w:rPr>
          <w:sz w:val="16"/>
        </w:rPr>
        <w:t xml:space="preserve"> Scylla </w:t>
      </w:r>
      <w:r w:rsidRPr="002E6755">
        <w:rPr>
          <w:rStyle w:val="Emphasis"/>
        </w:rPr>
        <w:t>need not mean</w:t>
      </w:r>
      <w:r w:rsidRPr="00A50D6F">
        <w:rPr>
          <w:sz w:val="16"/>
        </w:rPr>
        <w:t xml:space="preserve"> the Charybdis where </w:t>
      </w:r>
      <w:r w:rsidRPr="002E6755">
        <w:rPr>
          <w:rStyle w:val="Emphasis"/>
        </w:rPr>
        <w:t>critical IR lives on the ‘border lines’</w:t>
      </w:r>
      <w:r w:rsidRPr="00A50D6F">
        <w:rPr>
          <w:sz w:val="16"/>
        </w:rPr>
        <w:t xml:space="preserve"> (Ashley, 1989) </w:t>
      </w:r>
      <w:r w:rsidRPr="002E6755">
        <w:rPr>
          <w:rStyle w:val="Emphasis"/>
        </w:rPr>
        <w:t>or chooses to remain at the critical edges of the alleged mainstream</w:t>
      </w:r>
      <w:r w:rsidRPr="00A50D6F">
        <w:rPr>
          <w:sz w:val="16"/>
        </w:rPr>
        <w:t xml:space="preserve"> and, in effect, in this way leaves the authority of respectable research (variously claimed by notions such as solid, systematic, empirically based, etc.) to the mainstream that is the target of its criticism. Although I applaud the movement that takes distance from the founding fathers of the discipline by looking for alternative insight in something like la </w:t>
      </w:r>
      <w:proofErr w:type="spellStart"/>
      <w:r w:rsidRPr="00A50D6F">
        <w:rPr>
          <w:sz w:val="16"/>
        </w:rPr>
        <w:t>Boótie</w:t>
      </w:r>
      <w:proofErr w:type="spellEnd"/>
      <w:r w:rsidRPr="00A50D6F">
        <w:rPr>
          <w:sz w:val="16"/>
        </w:rPr>
        <w:t xml:space="preserve"> (</w:t>
      </w:r>
      <w:proofErr w:type="spellStart"/>
      <w:r w:rsidRPr="00A50D6F">
        <w:rPr>
          <w:sz w:val="16"/>
        </w:rPr>
        <w:t>Bleiker</w:t>
      </w:r>
      <w:proofErr w:type="spellEnd"/>
      <w:r w:rsidRPr="00A50D6F">
        <w:rPr>
          <w:sz w:val="16"/>
        </w:rPr>
        <w:t>, 2000) or versions of Buddhism (Chan, 2000), I also miss the epistemic reflections that, on this basis, can put critical IR better on par with the conventional mainstream. Since the post-</w:t>
      </w:r>
      <w:proofErr w:type="spellStart"/>
      <w:r w:rsidRPr="00A50D6F">
        <w:rPr>
          <w:sz w:val="16"/>
        </w:rPr>
        <w:t>behaviouralist</w:t>
      </w:r>
      <w:proofErr w:type="spellEnd"/>
      <w:r w:rsidRPr="00A50D6F">
        <w:rPr>
          <w:sz w:val="16"/>
        </w:rPr>
        <w:t xml:space="preserve"> phase of the discipline (Alker and </w:t>
      </w:r>
      <w:proofErr w:type="spellStart"/>
      <w:r w:rsidRPr="00A50D6F">
        <w:rPr>
          <w:sz w:val="16"/>
        </w:rPr>
        <w:t>Biersteker</w:t>
      </w:r>
      <w:proofErr w:type="spellEnd"/>
      <w:r w:rsidRPr="00A50D6F">
        <w:rPr>
          <w:sz w:val="16"/>
        </w:rPr>
        <w:t xml:space="preserve">, 1984; Banks, 1985; </w:t>
      </w:r>
      <w:proofErr w:type="spellStart"/>
      <w:r w:rsidRPr="00A50D6F">
        <w:rPr>
          <w:sz w:val="16"/>
        </w:rPr>
        <w:t>Holsti</w:t>
      </w:r>
      <w:proofErr w:type="spellEnd"/>
      <w:r w:rsidRPr="00A50D6F">
        <w:rPr>
          <w:sz w:val="16"/>
        </w:rPr>
        <w:t xml:space="preserve">, 1985), the movement towards a more global IR has meant acknowledgement and encouragement of the situation of incommensurable ‘paradigms’ or contrasted images. Although fruitful in the emancipatory sense, this logic is now also conducive to what many argue is already the state of IR: dispersion of the discipline into an increasingly scattered field of International Studies. </w:t>
      </w:r>
      <w:r w:rsidRPr="002E6755">
        <w:rPr>
          <w:rStyle w:val="Emphasis"/>
        </w:rPr>
        <w:t>The ‘post’-culture that has dominated critical IR during the past decade or two has already performed its task. It is time to move beyond the concept that, in its disbelief in (an often caricaturist notion of) ‘science’ and critique of extreme forms of rationality, has produced a bifurcated and</w:t>
      </w:r>
      <w:r w:rsidRPr="00A50D6F">
        <w:rPr>
          <w:sz w:val="16"/>
        </w:rPr>
        <w:t xml:space="preserve"> (as I will argue in greater detail below) </w:t>
      </w:r>
      <w:r w:rsidRPr="002E6755">
        <w:rPr>
          <w:rStyle w:val="Emphasis"/>
        </w:rPr>
        <w:t>not altogether adequate account of the historical discipline.</w:t>
      </w:r>
      <w:r w:rsidR="00897274">
        <w:rPr>
          <w:rStyle w:val="Emphasis"/>
        </w:rPr>
        <w:t xml:space="preserve"> </w:t>
      </w:r>
      <w:r w:rsidRPr="00A50D6F">
        <w:rPr>
          <w:sz w:val="16"/>
        </w:rPr>
        <w:t xml:space="preserve">The stagnant condition of our disciplinary debates has been described by for example </w:t>
      </w:r>
      <w:proofErr w:type="spellStart"/>
      <w:r w:rsidRPr="00A50D6F">
        <w:rPr>
          <w:sz w:val="16"/>
        </w:rPr>
        <w:t>Patomäki</w:t>
      </w:r>
      <w:proofErr w:type="spellEnd"/>
      <w:r w:rsidRPr="00A50D6F">
        <w:rPr>
          <w:sz w:val="16"/>
        </w:rPr>
        <w:t xml:space="preserve"> and Wight (2000). In addition, Neufeld, whose work I will touch upon in the following, outlines the dualistic condition of the field as a point of departure for his reflections (1995: 46–69). Like these writers, I, </w:t>
      </w:r>
      <w:proofErr w:type="spellStart"/>
      <w:r w:rsidRPr="00A50D6F">
        <w:rPr>
          <w:sz w:val="16"/>
        </w:rPr>
        <w:t>too,seek</w:t>
      </w:r>
      <w:proofErr w:type="spellEnd"/>
      <w:r w:rsidRPr="00A50D6F">
        <w:rPr>
          <w:sz w:val="16"/>
        </w:rPr>
        <w:t xml:space="preserve"> to reconstruct and on this basis </w:t>
      </w:r>
      <w:proofErr w:type="gramStart"/>
      <w:r w:rsidRPr="00A50D6F">
        <w:rPr>
          <w:sz w:val="16"/>
        </w:rPr>
        <w:t>open up</w:t>
      </w:r>
      <w:proofErr w:type="gramEnd"/>
      <w:r w:rsidRPr="00A50D6F">
        <w:rPr>
          <w:sz w:val="16"/>
        </w:rPr>
        <w:t xml:space="preserve"> new avenues for IR theory. I share </w:t>
      </w:r>
      <w:proofErr w:type="spellStart"/>
      <w:r w:rsidRPr="00A50D6F">
        <w:rPr>
          <w:sz w:val="16"/>
        </w:rPr>
        <w:t>Patomäki</w:t>
      </w:r>
      <w:proofErr w:type="spellEnd"/>
      <w:r w:rsidRPr="00A50D6F">
        <w:rPr>
          <w:sz w:val="16"/>
        </w:rPr>
        <w:t xml:space="preserve"> and Wight’s notion that ‘</w:t>
      </w:r>
      <w:r w:rsidRPr="002E6755">
        <w:rPr>
          <w:rStyle w:val="StyleUnderline"/>
        </w:rPr>
        <w:t>post-positivism’ has left us with an ontological void</w:t>
      </w:r>
      <w:r w:rsidRPr="00A50D6F">
        <w:rPr>
          <w:sz w:val="16"/>
        </w:rPr>
        <w:t xml:space="preserve">, but unlike the Critical Realism proposed by these authors </w:t>
      </w:r>
      <w:r w:rsidRPr="002E6755">
        <w:rPr>
          <w:rStyle w:val="StyleUnderline"/>
        </w:rPr>
        <w:t>my suggestion for new directions is not a conception of ontological realism and the epistemological and methodological pluralism that logically relates to such critical scientific enterprise</w:t>
      </w:r>
      <w:r w:rsidRPr="00A50D6F">
        <w:rPr>
          <w:sz w:val="16"/>
        </w:rPr>
        <w:t>.1 In relation to Neufeld, my conclusions on IR theory are similar, but the argument itself is very different. While Neufeld reconstructs IR theory in the perspective of the emancipatory ideas of classical critical theory (the Frankfurt School and Habermas), my argument deals with the promise of pragmatism. Unlike Neufeld’s argument, in the epistemic sense it is not limited to a critical reading in a theoretical perspective (i.e. a relation between the words in the text and the reader; on this reading strategy see, e.g. Skinner, 1988). Moreover, what I have to say has been motivated not only by the IR writers mentioned above but also by some recent introductions of pragmatism (Millennium 31: 3, issued in January 2002, article references below). By presenting pragmatism as a new alley of inquiry which continues from (and hence takes for granted) the situation of disciplinary debates described as an opposition between positivists and post-positivists, these recent contributions fail to appreciate how pragmatism grows from and ties into the web of previous discourse. Hence a key point in pragmatism itself, the question of how knowledge emerges on the grounds of previous knowledge and experience, is not fully realized.</w:t>
      </w:r>
      <w:r w:rsidR="00B14BE4" w:rsidRPr="00A50D6F">
        <w:rPr>
          <w:sz w:val="16"/>
        </w:rPr>
        <w:t xml:space="preserve"> </w:t>
      </w:r>
      <w:r w:rsidRPr="00A50D6F">
        <w:rPr>
          <w:sz w:val="16"/>
        </w:rPr>
        <w:t xml:space="preserve">Richard J. Bernstein (1983) has emphasized (and a number of other authors have reiterated the point) that the incommensurability — of forms of life, traditions, epistemologies — which </w:t>
      </w:r>
      <w:proofErr w:type="spellStart"/>
      <w:r w:rsidRPr="00A50D6F">
        <w:rPr>
          <w:sz w:val="16"/>
        </w:rPr>
        <w:t>Rorty</w:t>
      </w:r>
      <w:proofErr w:type="spellEnd"/>
      <w:r w:rsidRPr="00A50D6F">
        <w:rPr>
          <w:sz w:val="16"/>
        </w:rPr>
        <w:t xml:space="preserve"> speaks for (and here follows other philosophers of uncertainty and critics of analytic philosophy) need not, and should not, be taken to suggest total exclusivity of concepts and frameworks (cf. also Kuhn, 1970). Rather, the hermeneutical moment speaks for the openness of experience, understanding and language, and proposes that we look for some points of possible agreement and disagreement. For Bernstein, </w:t>
      </w:r>
      <w:r w:rsidRPr="002E6755">
        <w:rPr>
          <w:rStyle w:val="StyleUnderline"/>
        </w:rPr>
        <w:t>this means a possibility to contribute to the movement beyond objectivism-and-relativism, two sides of the same coin</w:t>
      </w:r>
      <w:r w:rsidRPr="00A50D6F">
        <w:rPr>
          <w:sz w:val="16"/>
        </w:rPr>
        <w:t xml:space="preserve"> that he calls the Cartesian Anxiety. In the same way, </w:t>
      </w:r>
      <w:r w:rsidRPr="002E6755">
        <w:rPr>
          <w:rStyle w:val="StyleUnderline"/>
        </w:rPr>
        <w:t xml:space="preserve">I take the hermeneutical moment as a possibility to approach our field of study, IR, as a potentially global field which, in principle, possesses a domain of total knowledge, although </w:t>
      </w:r>
      <w:r w:rsidRPr="002E6755">
        <w:rPr>
          <w:rStyle w:val="Emphasis"/>
        </w:rPr>
        <w:t>this does not mean a logic of hegemony operating with some generic concept(s).</w:t>
      </w:r>
      <w:r w:rsidRPr="002E6755">
        <w:rPr>
          <w:rStyle w:val="StyleUnderline"/>
        </w:rPr>
        <w:t xml:space="preserve"> </w:t>
      </w:r>
      <w:r w:rsidRPr="00A50D6F">
        <w:rPr>
          <w:sz w:val="16"/>
        </w:rPr>
        <w:t xml:space="preserve">Inspired by Umberto Eco’s notion of knowledge as an </w:t>
      </w:r>
      <w:proofErr w:type="spellStart"/>
      <w:r w:rsidRPr="00A50D6F">
        <w:rPr>
          <w:sz w:val="16"/>
        </w:rPr>
        <w:t>encyclopaedic</w:t>
      </w:r>
      <w:proofErr w:type="spellEnd"/>
      <w:r w:rsidRPr="00A50D6F">
        <w:rPr>
          <w:sz w:val="16"/>
        </w:rPr>
        <w:t xml:space="preserve"> network, </w:t>
      </w:r>
      <w:r w:rsidRPr="002E6755">
        <w:rPr>
          <w:rStyle w:val="StyleUnderline"/>
        </w:rPr>
        <w:t>I like to think of IR as a discursive web that, in the potentiality of its connections, is global, although any actual piece of knowledge or point of view is always only loca</w:t>
      </w:r>
      <w:r w:rsidRPr="00A50D6F">
        <w:rPr>
          <w:sz w:val="16"/>
        </w:rPr>
        <w:t>l (Eco, 1984: 68–86).2</w:t>
      </w:r>
      <w:r w:rsidR="00A50D6F" w:rsidRPr="00A50D6F">
        <w:rPr>
          <w:sz w:val="16"/>
        </w:rPr>
        <w:t xml:space="preserve"> </w:t>
      </w:r>
      <w:r w:rsidRPr="00A50D6F">
        <w:rPr>
          <w:sz w:val="16"/>
        </w:rPr>
        <w:t xml:space="preserve">In the broadly pragmatist sense, we can speak of IR as a web of justified beliefs (conventional and with a habitual ground) which, in a variety of ways, seeks to make sense of the world and to solve the intellectual irritation (C. S. Peirce) and the moral dissatisfaction (John Dewey) that belong to human openness and an inquiring attitude towards </w:t>
      </w:r>
      <w:proofErr w:type="spellStart"/>
      <w:r w:rsidRPr="00A50D6F">
        <w:rPr>
          <w:sz w:val="16"/>
        </w:rPr>
        <w:t>reality.</w:t>
      </w:r>
      <w:r w:rsidRPr="002E6755">
        <w:rPr>
          <w:rStyle w:val="Emphasis"/>
        </w:rPr>
        <w:t>This</w:t>
      </w:r>
      <w:proofErr w:type="spellEnd"/>
      <w:r w:rsidRPr="002E6755">
        <w:rPr>
          <w:rStyle w:val="Emphasis"/>
        </w:rPr>
        <w:t xml:space="preserve"> approach calls for an understanding of epistemology that reaches beyond the postmodernists’ rejection of the ‘iron cage of reason’</w:t>
      </w:r>
      <w:r w:rsidRPr="00A50D6F">
        <w:rPr>
          <w:sz w:val="16"/>
        </w:rPr>
        <w:t xml:space="preserve">. We can begin with the notion that </w:t>
      </w:r>
      <w:r w:rsidRPr="002E6755">
        <w:rPr>
          <w:rStyle w:val="StyleUnderline"/>
        </w:rPr>
        <w:t>epistemological issues basically deal with the grounds we have for accepting and rejecting beliefs. Reason is only one possibility among human faculties</w:t>
      </w:r>
      <w:r w:rsidRPr="00A50D6F">
        <w:rPr>
          <w:sz w:val="16"/>
        </w:rPr>
        <w:t xml:space="preserve"> and, beyond being postulated, can also </w:t>
      </w:r>
      <w:proofErr w:type="gramStart"/>
      <w:r w:rsidRPr="00A50D6F">
        <w:rPr>
          <w:sz w:val="16"/>
        </w:rPr>
        <w:t>open up</w:t>
      </w:r>
      <w:proofErr w:type="gramEnd"/>
      <w:r w:rsidRPr="00A50D6F">
        <w:rPr>
          <w:sz w:val="16"/>
        </w:rPr>
        <w:t xml:space="preserve"> as existential (the quest for certainty arises from the fundamental experience of uncertainty). It can also take the conventionalist form of agreed practice, such as rules and procedures of inference.</w:t>
      </w:r>
    </w:p>
    <w:p w14:paraId="08E53FF7" w14:textId="77777777" w:rsidR="00A566A0" w:rsidRPr="004325FB" w:rsidRDefault="00A566A0" w:rsidP="00A566A0"/>
    <w:p w14:paraId="5DD39602" w14:textId="77777777" w:rsidR="00A566A0" w:rsidRPr="00190BEE" w:rsidRDefault="00A566A0" w:rsidP="00A566A0">
      <w:pPr>
        <w:pStyle w:val="Heading4"/>
      </w:pPr>
      <w:r>
        <w:t xml:space="preserve">Pragmatism creates better epistemology and </w:t>
      </w:r>
      <w:proofErr w:type="gramStart"/>
      <w:r>
        <w:t>is able to</w:t>
      </w:r>
      <w:proofErr w:type="gramEnd"/>
      <w:r>
        <w:t xml:space="preserve"> actualize analysis of lived experiences</w:t>
      </w:r>
    </w:p>
    <w:p w14:paraId="39EB47CE" w14:textId="77777777" w:rsidR="00200DFA" w:rsidRDefault="00200DFA" w:rsidP="00200DFA">
      <w:proofErr w:type="spellStart"/>
      <w:r w:rsidRPr="002E6755">
        <w:rPr>
          <w:rStyle w:val="Style13ptBold"/>
        </w:rPr>
        <w:t>Rytövuori-Apunen</w:t>
      </w:r>
      <w:proofErr w:type="spellEnd"/>
      <w:r w:rsidRPr="002E6755">
        <w:rPr>
          <w:rStyle w:val="Style13ptBold"/>
        </w:rPr>
        <w:t xml:space="preserve"> 05</w:t>
      </w:r>
      <w:r>
        <w:t xml:space="preserve"> (Helena, University of Tampere adjunct professor of IR focusing on qualitative</w:t>
      </w:r>
      <w:r w:rsidRPr="007745EF">
        <w:t xml:space="preserve"> research in International Relations and Peace and Conflict Research</w:t>
      </w:r>
      <w:r>
        <w:t xml:space="preserve">, “Forget ‘Post-Positivist’ IR!: The Legacy of IR Theory as the Locus for a Pragmatist Turn,” Cooperation and Conflict: Journal of the Nordic International Studies Association, 40.2, </w:t>
      </w:r>
      <w:r w:rsidRPr="002E6755">
        <w:t>http://citeseerx.ist.psu.edu/viewdoc/download?doi=10.1.1.862.8155&amp;rep=rep1&amp;type=pdf</w:t>
      </w:r>
      <w:r>
        <w:t>, accessed 7-15-2019, GDI-ATN)</w:t>
      </w:r>
    </w:p>
    <w:p w14:paraId="2FC71EC6" w14:textId="66EB41EC" w:rsidR="00A566A0" w:rsidRPr="00FA37E7" w:rsidRDefault="00A566A0" w:rsidP="00A566A0">
      <w:pPr>
        <w:rPr>
          <w:sz w:val="16"/>
        </w:rPr>
      </w:pPr>
      <w:r w:rsidRPr="00FA37E7">
        <w:rPr>
          <w:sz w:val="16"/>
        </w:rPr>
        <w:t xml:space="preserve">The task of this paper is to </w:t>
      </w:r>
      <w:r w:rsidRPr="00190BEE">
        <w:rPr>
          <w:rStyle w:val="StyleUnderline"/>
        </w:rPr>
        <w:t>seek the locus in quo pragmatist approaches can emerge in IR’s field of knowledge and through articulated disagreement with previous discourse contribute to an increasingly global discipline beyond the logic of universalism/dispersion</w:t>
      </w:r>
      <w:r w:rsidRPr="00FA37E7">
        <w:rPr>
          <w:sz w:val="16"/>
        </w:rPr>
        <w:t xml:space="preserve">. I argue that </w:t>
      </w:r>
      <w:r w:rsidRPr="00190BEE">
        <w:rPr>
          <w:rStyle w:val="StyleUnderline"/>
        </w:rPr>
        <w:t>seeing the locus for pragmatism, i.e. seeing more to it than another approach and a ‘new alley of inquiry’, requires rectifying the distortions created by the postpositivist self-comprehension</w:t>
      </w:r>
      <w:r w:rsidRPr="00FA37E7">
        <w:rPr>
          <w:sz w:val="16"/>
        </w:rPr>
        <w:t xml:space="preserve">. An alternative explanation to what Frost calls the ‘positivist </w:t>
      </w:r>
      <w:proofErr w:type="spellStart"/>
      <w:r w:rsidRPr="00FA37E7">
        <w:rPr>
          <w:sz w:val="16"/>
        </w:rPr>
        <w:t>bias’</w:t>
      </w:r>
      <w:proofErr w:type="spellEnd"/>
      <w:r w:rsidRPr="00FA37E7">
        <w:rPr>
          <w:sz w:val="16"/>
        </w:rPr>
        <w:t xml:space="preserve"> can be sought by examining the specific </w:t>
      </w:r>
      <w:proofErr w:type="spellStart"/>
      <w:r w:rsidRPr="00FA37E7">
        <w:rPr>
          <w:sz w:val="16"/>
        </w:rPr>
        <w:t>theorycentred</w:t>
      </w:r>
      <w:proofErr w:type="spellEnd"/>
      <w:r w:rsidRPr="00FA37E7">
        <w:rPr>
          <w:sz w:val="16"/>
        </w:rPr>
        <w:t xml:space="preserve"> orientation in IR </w:t>
      </w:r>
      <w:proofErr w:type="gramStart"/>
      <w:r w:rsidRPr="00FA37E7">
        <w:rPr>
          <w:sz w:val="16"/>
        </w:rPr>
        <w:t>and also</w:t>
      </w:r>
      <w:proofErr w:type="gramEnd"/>
      <w:r w:rsidRPr="00FA37E7">
        <w:rPr>
          <w:sz w:val="16"/>
        </w:rPr>
        <w:t xml:space="preserve"> the discursive mechanisms and the social processes by which this relation to the world becomes the privileged knowledge that is ‘orthodoxy’. ‘</w:t>
      </w:r>
      <w:r w:rsidRPr="00190BEE">
        <w:rPr>
          <w:rStyle w:val="Emphasis"/>
        </w:rPr>
        <w:t>Orthodoxy’ appears when the theory-</w:t>
      </w:r>
      <w:proofErr w:type="spellStart"/>
      <w:r w:rsidRPr="00190BEE">
        <w:rPr>
          <w:rStyle w:val="Emphasis"/>
        </w:rPr>
        <w:t>centred</w:t>
      </w:r>
      <w:proofErr w:type="spellEnd"/>
      <w:r w:rsidRPr="00190BEE">
        <w:rPr>
          <w:rStyle w:val="Emphasis"/>
        </w:rPr>
        <w:t xml:space="preserve"> attitude to knowing, which emphasizes theoretical perspective and conceptual logic, loses its footprints in its colloquial interpretations and presents reality ‘as it is’ (naturalized ontology).</w:t>
      </w:r>
      <w:r w:rsidRPr="00FA37E7">
        <w:rPr>
          <w:sz w:val="16"/>
        </w:rPr>
        <w:t xml:space="preserve"> I will now discuss what the disagreement, the articulation of which I argue is required for maintenance of the idea of the corpus of knowledge as a web of discourse, can mean as a research orientation. I point to a way of inquiry which starts with Dewey, but in the epistemic sense draws from C. S. Peirce’s conception of ‘reality’ as pragma and the </w:t>
      </w:r>
      <w:proofErr w:type="spellStart"/>
      <w:r w:rsidRPr="00FA37E7">
        <w:rPr>
          <w:sz w:val="16"/>
        </w:rPr>
        <w:t>pragmaticist</w:t>
      </w:r>
      <w:proofErr w:type="spellEnd"/>
      <w:r w:rsidRPr="00FA37E7">
        <w:rPr>
          <w:sz w:val="16"/>
        </w:rPr>
        <w:t xml:space="preserve"> logic of inquiry. I propose that a focus in the current introductions of pragmatism on the Deweyan inheritance of classical pragmatism (Millennium 31: 3) does not help us to solve the epistemological issues pertinent in the situation which already builds on and looks beyond the ‘linguistic turn’ and calls for methodical solutions that fit together with these more recent tendencies.</w:t>
      </w:r>
      <w:r w:rsidR="00FA37E7" w:rsidRPr="00FA37E7">
        <w:rPr>
          <w:sz w:val="16"/>
        </w:rPr>
        <w:t xml:space="preserve"> </w:t>
      </w:r>
      <w:r w:rsidRPr="00FA37E7">
        <w:rPr>
          <w:sz w:val="16"/>
        </w:rPr>
        <w:t>The Missing Piece: The Interpretative Aspect of ‘Discourse’ and ‘Culture’</w:t>
      </w:r>
      <w:r w:rsidR="00FA37E7" w:rsidRPr="00FA37E7">
        <w:rPr>
          <w:sz w:val="16"/>
        </w:rPr>
        <w:t xml:space="preserve"> </w:t>
      </w:r>
      <w:r w:rsidRPr="00FA37E7">
        <w:rPr>
          <w:sz w:val="16"/>
        </w:rPr>
        <w:t xml:space="preserve">The identification of what I suggest is a paradigmatic feature of the disciplinary mainstream and the legacy of IR Theory (capital letter to mark out this legacy) makes it possible, through ontological criticism, to point out two opposed epistemic paths, one based on the primacy of theory, the other proceeding from the primacy of practice. Opposed to the approach that models the world (produces a ‘world picture’, as Martin Heidegger says)22 is the orientation that proceeds from and seeks to refine what already, in some way, is present in our experience. Above, I have criticized the tendency to read disciplinary tradition in a way which, rather than focusing on analytical difference, subsumes instances of previous theory under a shared characterization and thereby suppresses the potentiality that as possibility of interpretation exists in the historical body of knowledge. In the same vein of argument, it is important to note that the </w:t>
      </w:r>
      <w:r w:rsidRPr="00190BEE">
        <w:rPr>
          <w:rStyle w:val="StyleUnderline"/>
        </w:rPr>
        <w:t>opposition of epistemic positions is not only inter- but also intra-textual</w:t>
      </w:r>
      <w:r w:rsidRPr="00FA37E7">
        <w:rPr>
          <w:sz w:val="16"/>
        </w:rPr>
        <w:t xml:space="preserve">. For example </w:t>
      </w:r>
      <w:proofErr w:type="spellStart"/>
      <w:r w:rsidRPr="00FA37E7">
        <w:rPr>
          <w:sz w:val="16"/>
        </w:rPr>
        <w:t>Organski’s</w:t>
      </w:r>
      <w:proofErr w:type="spellEnd"/>
      <w:r w:rsidRPr="00FA37E7">
        <w:rPr>
          <w:sz w:val="16"/>
        </w:rPr>
        <w:t xml:space="preserve"> ambition to ‘organize the mass of [...] information to which we are all exposed’ arises from the experience that the international distribution of power is constantly shifting and that this moment, along with the importance of internal determinants of power, has been neglected by the balance of power theory (</w:t>
      </w:r>
      <w:proofErr w:type="spellStart"/>
      <w:r w:rsidRPr="00FA37E7">
        <w:rPr>
          <w:sz w:val="16"/>
        </w:rPr>
        <w:t>Organski</w:t>
      </w:r>
      <w:proofErr w:type="spellEnd"/>
      <w:r w:rsidRPr="00FA37E7">
        <w:rPr>
          <w:sz w:val="16"/>
        </w:rPr>
        <w:t xml:space="preserve">, 1958: vii; 1961: 373–5). </w:t>
      </w:r>
      <w:proofErr w:type="spellStart"/>
      <w:r w:rsidRPr="00190BEE">
        <w:rPr>
          <w:rStyle w:val="StyleUnderline"/>
        </w:rPr>
        <w:t>Analysing</w:t>
      </w:r>
      <w:proofErr w:type="spellEnd"/>
      <w:r w:rsidRPr="00190BEE">
        <w:rPr>
          <w:rStyle w:val="StyleUnderline"/>
        </w:rPr>
        <w:t xml:space="preserve"> how concepts relate to historical experience and the dissatisfaction felt about previous approaches provides a point of departure</w:t>
      </w:r>
      <w:r w:rsidRPr="00FA37E7">
        <w:rPr>
          <w:sz w:val="16"/>
        </w:rPr>
        <w:t xml:space="preserve"> for a reconstruction of theory </w:t>
      </w:r>
      <w:r w:rsidRPr="00190BEE">
        <w:rPr>
          <w:rStyle w:val="StyleUnderline"/>
        </w:rPr>
        <w:t>that</w:t>
      </w:r>
      <w:r w:rsidRPr="00FA37E7">
        <w:rPr>
          <w:sz w:val="16"/>
        </w:rPr>
        <w:t xml:space="preserve">, from within the theory, </w:t>
      </w:r>
      <w:r w:rsidRPr="00190BEE">
        <w:rPr>
          <w:rStyle w:val="StyleUnderline"/>
        </w:rPr>
        <w:t>opens up possibilities</w:t>
      </w:r>
      <w:r w:rsidRPr="00FA37E7">
        <w:rPr>
          <w:sz w:val="16"/>
        </w:rPr>
        <w:t xml:space="preserve"> of interpretation </w:t>
      </w:r>
      <w:r w:rsidRPr="00190BEE">
        <w:rPr>
          <w:rStyle w:val="StyleUnderline"/>
        </w:rPr>
        <w:t>that</w:t>
      </w:r>
      <w:r w:rsidRPr="00FA37E7">
        <w:rPr>
          <w:sz w:val="16"/>
        </w:rPr>
        <w:t xml:space="preserve"> also </w:t>
      </w:r>
      <w:r w:rsidRPr="00190BEE">
        <w:rPr>
          <w:rStyle w:val="StyleUnderline"/>
        </w:rPr>
        <w:t>challenge the theory-</w:t>
      </w:r>
      <w:proofErr w:type="spellStart"/>
      <w:r w:rsidRPr="00190BEE">
        <w:rPr>
          <w:rStyle w:val="StyleUnderline"/>
        </w:rPr>
        <w:t>centred</w:t>
      </w:r>
      <w:proofErr w:type="spellEnd"/>
      <w:r w:rsidRPr="00190BEE">
        <w:rPr>
          <w:rStyle w:val="StyleUnderline"/>
        </w:rPr>
        <w:t xml:space="preserve"> ambition</w:t>
      </w:r>
      <w:r w:rsidRPr="00FA37E7">
        <w:rPr>
          <w:sz w:val="16"/>
        </w:rPr>
        <w:t xml:space="preserve"> (on the parallel to Descartes, see Toulmin, 1990: 56–137). Recontextualization offers a way to redress the biases of decontextualized theory, and this does not mean a Romanticist emphasis on ‘intrinsic meaning’ and the unique in experience (cf. Ashley, 1989: 278). The nexus of theory and practice, which is there in the text but which, beyond the text, deals with a historically situated moral agency, offers a point of departure for an epistemic turn that transcends the bifurcation of empiricist and rationalist epistemology.</w:t>
      </w:r>
      <w:r w:rsidR="00FA37E7" w:rsidRPr="00FA37E7">
        <w:rPr>
          <w:sz w:val="16"/>
        </w:rPr>
        <w:t xml:space="preserve"> </w:t>
      </w:r>
      <w:r w:rsidRPr="00190BEE">
        <w:rPr>
          <w:rStyle w:val="Emphasis"/>
        </w:rPr>
        <w:t>The question I have in mind is about the ‘how’ rather than the ‘what’ of specific experience</w:t>
      </w:r>
      <w:r w:rsidRPr="00FA37E7">
        <w:rPr>
          <w:sz w:val="16"/>
        </w:rPr>
        <w:t xml:space="preserve">. </w:t>
      </w:r>
      <w:r w:rsidRPr="00190BEE">
        <w:rPr>
          <w:rStyle w:val="StyleUnderline"/>
        </w:rPr>
        <w:t>It is about the modes of encountering and making sense of the world, modes that through their habitual and institutional mechanisms can also become modalities of professional activity</w:t>
      </w:r>
      <w:r w:rsidRPr="00FA37E7">
        <w:rPr>
          <w:sz w:val="16"/>
        </w:rPr>
        <w:t>, such as the theory-</w:t>
      </w:r>
      <w:proofErr w:type="spellStart"/>
      <w:r w:rsidRPr="00FA37E7">
        <w:rPr>
          <w:sz w:val="16"/>
        </w:rPr>
        <w:t>centred</w:t>
      </w:r>
      <w:proofErr w:type="spellEnd"/>
      <w:r w:rsidRPr="00FA37E7">
        <w:rPr>
          <w:sz w:val="16"/>
        </w:rPr>
        <w:t xml:space="preserve"> episteme discussed above. </w:t>
      </w:r>
      <w:r w:rsidRPr="00190BEE">
        <w:rPr>
          <w:rStyle w:val="StyleUnderline"/>
        </w:rPr>
        <w:t>A pragmatist re-interpretation of the texts of the early realists, for example, can elucidate how the ideals and guidelines for statesmanship and diplomacy arise from a world-experience that is different from but also partly similar or isomorphic to ours</w:t>
      </w:r>
      <w:r w:rsidRPr="00FA37E7">
        <w:rPr>
          <w:sz w:val="16"/>
        </w:rPr>
        <w:t xml:space="preserve">, and what commensurability there is, on this basis, in the logics of practice which in the different historical contexts generate policies in order to control perceived threats. </w:t>
      </w:r>
      <w:r w:rsidRPr="00190BEE">
        <w:rPr>
          <w:rStyle w:val="Emphasis"/>
        </w:rPr>
        <w:t>Such inquiry and assessment of the legacy of IR theory seeks to sustain a living discourse diachronically through time without turning into a study of past historical praxis</w:t>
      </w:r>
      <w:r w:rsidRPr="00FA37E7">
        <w:rPr>
          <w:sz w:val="16"/>
        </w:rPr>
        <w:t xml:space="preserve">.23 Without bypassing the ‘weight of the discourse’ (Foucault),24 </w:t>
      </w:r>
      <w:r w:rsidRPr="00190BEE">
        <w:rPr>
          <w:rStyle w:val="StyleUnderline"/>
        </w:rPr>
        <w:t>it starts out with situated moral agency and collective human intentionality and, on this basis, recognizes the inseparability of lived experience and the structures of experience that organize instances of experience</w:t>
      </w:r>
      <w:r w:rsidRPr="00FA37E7">
        <w:rPr>
          <w:sz w:val="16"/>
        </w:rPr>
        <w:t>. In the ontological sense, pragma means that whatever ‘is’ for a human interpretant exists not by a substance but by the regularities that endow it with its being.</w:t>
      </w:r>
      <w:r w:rsidR="00FA37E7" w:rsidRPr="00FA37E7">
        <w:rPr>
          <w:sz w:val="16"/>
        </w:rPr>
        <w:t xml:space="preserve"> </w:t>
      </w:r>
      <w:r w:rsidRPr="00FA37E7">
        <w:rPr>
          <w:sz w:val="16"/>
        </w:rPr>
        <w:t xml:space="preserve">In the pragmatist research orientation, </w:t>
      </w:r>
      <w:r w:rsidRPr="00190BEE">
        <w:rPr>
          <w:rStyle w:val="StyleUnderline"/>
        </w:rPr>
        <w:t>pragma</w:t>
      </w:r>
      <w:r w:rsidRPr="00FA37E7">
        <w:rPr>
          <w:sz w:val="16"/>
        </w:rPr>
        <w:t xml:space="preserve"> (from the Greek word ‘business’, originally ‘a thing done’)25 means more than a way of carrying out the ‘</w:t>
      </w:r>
      <w:proofErr w:type="gramStart"/>
      <w:r w:rsidRPr="00FA37E7">
        <w:rPr>
          <w:sz w:val="16"/>
        </w:rPr>
        <w:t>business’</w:t>
      </w:r>
      <w:proofErr w:type="gramEnd"/>
      <w:r w:rsidRPr="00FA37E7">
        <w:rPr>
          <w:sz w:val="16"/>
        </w:rPr>
        <w:t xml:space="preserve"> of research. It </w:t>
      </w:r>
      <w:r w:rsidRPr="00190BEE">
        <w:rPr>
          <w:rStyle w:val="StyleUnderline"/>
        </w:rPr>
        <w:t>involves a critical assessment of the body of previous knowledge and requires that a new practice brings some advancement in relation to it</w:t>
      </w:r>
      <w:r w:rsidRPr="00FA37E7">
        <w:rPr>
          <w:sz w:val="16"/>
        </w:rPr>
        <w:t>. Like William James, John Dewey – the most influential pragmatist figure in social science and an author to whom the present-day discussion in IR in most cases makes reference – was interested in the question of how the powers of habit that maintain life serve to channel all thought, including the original of creative invention, and how the disposition of habitual responses evolves in the encounter of new types of problems. Dewey’s pragmatist ethics sought to cure the social and individual alienation that in his argument originates from the legacy of Western thought in ontological formalism, i.e. a dogmatic application of Plato’s idealism. Dewey emphasized that the ‘physician is lost who would guide his activities of healing by building up a picture of perfect health’; instead, the physician needs to employ ‘what he has discovered about actual cases of good health and ill health and their causes to investigate the present ailing individual so as to further his recovering; recovering, an intrinsic and living process ...’ (Owen, 2002: 670). Void of the inside knowledge, which involves a reflective relationship to previous practice, praxis (an established or customary practice) is like touching without realizing how by the same act one is being touched, i.e. the static position and alienation which Dewey argued were at the root of social problems (Dewey, 1981: 620–43).</w:t>
      </w:r>
    </w:p>
    <w:p w14:paraId="6A4CEB59" w14:textId="77777777" w:rsidR="00FA37E7" w:rsidRDefault="00FA37E7" w:rsidP="00A566A0"/>
    <w:p w14:paraId="04F45B10" w14:textId="77777777" w:rsidR="00A566A0" w:rsidRPr="004F3B08" w:rsidRDefault="00A566A0" w:rsidP="00A566A0">
      <w:pPr>
        <w:pStyle w:val="Heading4"/>
      </w:pPr>
      <w:r>
        <w:t xml:space="preserve">Scholarship and practice can be </w:t>
      </w:r>
      <w:proofErr w:type="spellStart"/>
      <w:r>
        <w:t>coconstitutive</w:t>
      </w:r>
      <w:proofErr w:type="spellEnd"/>
      <w:r>
        <w:t xml:space="preserve"> – ivory tower can be </w:t>
      </w:r>
      <w:proofErr w:type="spellStart"/>
      <w:r>
        <w:t>emprically</w:t>
      </w:r>
      <w:proofErr w:type="spellEnd"/>
      <w:r>
        <w:t xml:space="preserve"> broken down with policymaking experience</w:t>
      </w:r>
    </w:p>
    <w:p w14:paraId="3D797A52" w14:textId="77777777" w:rsidR="00200DFA" w:rsidRPr="001D4A57" w:rsidRDefault="00200DFA" w:rsidP="00200DFA">
      <w:proofErr w:type="spellStart"/>
      <w:r w:rsidRPr="004F3B08">
        <w:rPr>
          <w:rStyle w:val="Style13ptBold"/>
        </w:rPr>
        <w:t>Bertucci</w:t>
      </w:r>
      <w:proofErr w:type="spellEnd"/>
      <w:r w:rsidRPr="004F3B08">
        <w:rPr>
          <w:rStyle w:val="Style13ptBold"/>
        </w:rPr>
        <w:t xml:space="preserve"> et al 2014</w:t>
      </w:r>
      <w:r>
        <w:t xml:space="preserve"> (</w:t>
      </w:r>
      <w:r w:rsidRPr="004F3B08">
        <w:t>Mariano</w:t>
      </w:r>
      <w:r>
        <w:t xml:space="preserve">, [fellow @ </w:t>
      </w:r>
      <w:r w:rsidRPr="004F3B08">
        <w:t>Center for Inter-American Policy and Research</w:t>
      </w:r>
      <w:r>
        <w:t xml:space="preserve"> @ </w:t>
      </w:r>
      <w:r w:rsidRPr="004F3B08">
        <w:t>Tulane University</w:t>
      </w:r>
      <w:r>
        <w:t>]</w:t>
      </w:r>
      <w:r w:rsidRPr="004F3B08">
        <w:t>, Fabián Borges-Herrero</w:t>
      </w:r>
      <w:r>
        <w:t xml:space="preserve"> [</w:t>
      </w:r>
      <w:r w:rsidRPr="004F3B08">
        <w:t>Assistant Professor of Political Science at CSUSB</w:t>
      </w:r>
      <w:r>
        <w:t>]</w:t>
      </w:r>
      <w:r w:rsidRPr="004F3B08">
        <w:t>, Claudia Fuentes-Julio</w:t>
      </w:r>
      <w:r>
        <w:t xml:space="preserve"> [faculty @ institute of international relations @ </w:t>
      </w:r>
      <w:r w:rsidRPr="004F3B08">
        <w:t>Pontifical Catholic University of Rio de Janeiro</w:t>
      </w:r>
      <w:r>
        <w:t>]</w:t>
      </w:r>
      <w:r w:rsidRPr="004F3B08">
        <w:t xml:space="preserve">, Toward “Best Practices” in Scholar–Practitioner Relations: Insights from the Field of Inter-American Affairs, </w:t>
      </w:r>
      <w:r w:rsidRPr="00DD0B45">
        <w:rPr>
          <w:i/>
          <w:iCs/>
        </w:rPr>
        <w:t>International Studies Perspectives</w:t>
      </w:r>
      <w:r w:rsidRPr="004F3B08">
        <w:t xml:space="preserve">, </w:t>
      </w:r>
      <w:r>
        <w:t>15.1</w:t>
      </w:r>
      <w:r w:rsidRPr="004F3B08">
        <w:t xml:space="preserve">, </w:t>
      </w:r>
      <w:r>
        <w:t>accessed 7-15-2019, GDI-ATN)</w:t>
      </w:r>
    </w:p>
    <w:p w14:paraId="1040F23F" w14:textId="0CC0B941" w:rsidR="00A566A0" w:rsidRPr="00875574" w:rsidRDefault="00A566A0" w:rsidP="00A566A0">
      <w:pPr>
        <w:rPr>
          <w:sz w:val="16"/>
        </w:rPr>
      </w:pPr>
      <w:r w:rsidRPr="001D4A57">
        <w:rPr>
          <w:rStyle w:val="StyleUnderline"/>
        </w:rPr>
        <w:t>The literature on scholar–practitioner interactions in International Relations (IR) is dominated by a sense of chasm</w:t>
      </w:r>
      <w:r w:rsidRPr="00875574">
        <w:rPr>
          <w:sz w:val="16"/>
        </w:rPr>
        <w:t xml:space="preserve">.2 </w:t>
      </w:r>
      <w:r w:rsidRPr="005E51E9">
        <w:rPr>
          <w:rStyle w:val="StyleUnderline"/>
        </w:rPr>
        <w:t>Practitioners</w:t>
      </w:r>
      <w:r w:rsidRPr="001D4A57">
        <w:rPr>
          <w:rStyle w:val="StyleUnderline"/>
        </w:rPr>
        <w:t xml:space="preserve"> generally conceive scholarly outputs as abstract discussions specifically tailored to satisfy the intellectual demands of other scholars rather than responding to the pressing issues policymakers must deal with on a daily basis. </w:t>
      </w:r>
      <w:r w:rsidRPr="00875574">
        <w:rPr>
          <w:sz w:val="16"/>
        </w:rPr>
        <w:t xml:space="preserve">Many scholars, in turn, disdain the oversimplifications and lack of analytical rigor they often attribute to policy officials. IR is often described as a self-regulated field in which professional success depends almost entirely on one’s reputation among peers. In this field, there is a strong incentive to produce highly specialized and methodologically rigorous research because this type of work, as opposed to teaching or public service, is what a scholar’s career advancement is predicated on. Hence, IR scholars focus on generating novel arguments that will impress other scholars, rather than policymakers. Policymakers, on their part, want to know how events occur and pursue knowledge specific to the policy process, that is, about what policy levers to activate in order to shape outcomes in the desired direction, as opposed to knowing why events occur and producing general explanations that abstract from the workings of policy processes (George 1993; </w:t>
      </w:r>
      <w:proofErr w:type="spellStart"/>
      <w:r w:rsidRPr="00875574">
        <w:rPr>
          <w:sz w:val="16"/>
        </w:rPr>
        <w:t>Kruzel</w:t>
      </w:r>
      <w:proofErr w:type="spellEnd"/>
      <w:r w:rsidRPr="00875574">
        <w:rPr>
          <w:sz w:val="16"/>
        </w:rPr>
        <w:t xml:space="preserve"> 1994; </w:t>
      </w:r>
      <w:proofErr w:type="spellStart"/>
      <w:r w:rsidRPr="00875574">
        <w:rPr>
          <w:sz w:val="16"/>
        </w:rPr>
        <w:t>Lepgold</w:t>
      </w:r>
      <w:proofErr w:type="spellEnd"/>
      <w:r w:rsidRPr="00875574">
        <w:rPr>
          <w:sz w:val="16"/>
        </w:rPr>
        <w:t xml:space="preserve"> and </w:t>
      </w:r>
      <w:proofErr w:type="spellStart"/>
      <w:r w:rsidRPr="00875574">
        <w:rPr>
          <w:sz w:val="16"/>
        </w:rPr>
        <w:t>Nincic</w:t>
      </w:r>
      <w:proofErr w:type="spellEnd"/>
      <w:r w:rsidRPr="00875574">
        <w:rPr>
          <w:sz w:val="16"/>
        </w:rPr>
        <w:t xml:space="preserve"> 2001; </w:t>
      </w:r>
      <w:proofErr w:type="spellStart"/>
      <w:r w:rsidRPr="00875574">
        <w:rPr>
          <w:sz w:val="16"/>
        </w:rPr>
        <w:t>Jentleson</w:t>
      </w:r>
      <w:proofErr w:type="spellEnd"/>
      <w:r w:rsidRPr="00875574">
        <w:rPr>
          <w:sz w:val="16"/>
        </w:rPr>
        <w:t xml:space="preserve"> 2002; Walt 2005; Nau 2008; Nye 2008a; Krasner 2011).</w:t>
      </w:r>
      <w:r w:rsidR="00875574" w:rsidRPr="00875574">
        <w:rPr>
          <w:sz w:val="16"/>
        </w:rPr>
        <w:t xml:space="preserve"> </w:t>
      </w:r>
      <w:r w:rsidRPr="001D4A57">
        <w:rPr>
          <w:rStyle w:val="StyleUnderline"/>
        </w:rPr>
        <w:t>This perceived gap, according to some observers, is growing larger. Even though there have been several examples of how the study of international relations could and did contribute useful insights to foreign policy practitioners</w:t>
      </w:r>
      <w:r w:rsidRPr="00875574">
        <w:rPr>
          <w:sz w:val="16"/>
        </w:rPr>
        <w:t xml:space="preserve"> (e.g., research on nuclear strategy and arms control was widely used by U.S. policymakers during the Cold War and research on “democratic peace theory”—that democracies do not fight each other—has recently entered popular discourse and also shaped policy in the United States), </w:t>
      </w:r>
      <w:r w:rsidRPr="001D4A57">
        <w:rPr>
          <w:rStyle w:val="StyleUnderline"/>
        </w:rPr>
        <w:t>these contributions have allegedly become more scarce as IR scholars increasingly turn to theoretical models that only qualified insiders can penetrate and that policymakers consider irrelevant</w:t>
      </w:r>
      <w:r w:rsidRPr="00875574">
        <w:rPr>
          <w:sz w:val="16"/>
        </w:rPr>
        <w:t xml:space="preserve"> (Nye 2008a:654).</w:t>
      </w:r>
      <w:r w:rsidR="00875574" w:rsidRPr="00875574">
        <w:rPr>
          <w:sz w:val="16"/>
        </w:rPr>
        <w:t xml:space="preserve"> </w:t>
      </w:r>
      <w:r w:rsidRPr="001D4A57">
        <w:rPr>
          <w:rStyle w:val="StyleUnderline"/>
        </w:rPr>
        <w:t>Missing from the literature on scholar–practitioner interactions in IR is a more systematic focus on the experience of those trained social scientists with professional trajectories as such that have often played important roles in government</w:t>
      </w:r>
      <w:r w:rsidRPr="00875574">
        <w:rPr>
          <w:sz w:val="16"/>
        </w:rPr>
        <w:t xml:space="preserve">.3 </w:t>
      </w:r>
      <w:r w:rsidRPr="001D4A57">
        <w:rPr>
          <w:rStyle w:val="Emphasis"/>
        </w:rPr>
        <w:t>The experience of these “in-and-outers” suggests that the gap might not be as wide as it may seem</w:t>
      </w:r>
      <w:r w:rsidRPr="00875574">
        <w:rPr>
          <w:sz w:val="16"/>
        </w:rPr>
        <w:t xml:space="preserve">. In the field of Inter-American affairs, for example, scholars both in Latin America and in North America often have access to policymaking as direct as those of business interests.4 Two of the most influential Latin American presidents of the last 30 years, Fernando Henrique Cardoso of Brazil and Ricardo Lagos of Chile, have social science PhDs. President Rafael Correa of Ecuador has a PhD in Economics. Three of the last four Mexican presidents— Carlos Salinas, Ernesto Zedillo, and Felipe </w:t>
      </w:r>
      <w:proofErr w:type="spellStart"/>
      <w:r w:rsidRPr="00875574">
        <w:rPr>
          <w:sz w:val="16"/>
        </w:rPr>
        <w:t>Caldero´n</w:t>
      </w:r>
      <w:proofErr w:type="spellEnd"/>
      <w:r w:rsidRPr="00875574">
        <w:rPr>
          <w:sz w:val="16"/>
        </w:rPr>
        <w:t xml:space="preserve">—have had graduate training in the social sciences. Most Latin American Finance Ministers and Central Bank presidents in recent years have PhDs in Economics. Some of the </w:t>
      </w:r>
      <w:proofErr w:type="spellStart"/>
      <w:r w:rsidRPr="00875574">
        <w:rPr>
          <w:sz w:val="16"/>
        </w:rPr>
        <w:t>bestknown</w:t>
      </w:r>
      <w:proofErr w:type="spellEnd"/>
      <w:r w:rsidRPr="00875574">
        <w:rPr>
          <w:sz w:val="16"/>
        </w:rPr>
        <w:t xml:space="preserve"> Latin American foreign policy practitioners of recent years—former Foreign Ministers Jorge G. </w:t>
      </w:r>
      <w:proofErr w:type="spellStart"/>
      <w:r w:rsidRPr="00875574">
        <w:rPr>
          <w:sz w:val="16"/>
        </w:rPr>
        <w:t>Castan˜eda</w:t>
      </w:r>
      <w:proofErr w:type="spellEnd"/>
      <w:r w:rsidRPr="00875574">
        <w:rPr>
          <w:sz w:val="16"/>
        </w:rPr>
        <w:t xml:space="preserve"> of Mexico and Celso </w:t>
      </w:r>
      <w:proofErr w:type="spellStart"/>
      <w:r w:rsidRPr="00875574">
        <w:rPr>
          <w:sz w:val="16"/>
        </w:rPr>
        <w:t>Lafer</w:t>
      </w:r>
      <w:proofErr w:type="spellEnd"/>
      <w:r w:rsidRPr="00875574">
        <w:rPr>
          <w:sz w:val="16"/>
        </w:rPr>
        <w:t xml:space="preserve"> of Brazil, as well as Mexico’s late Deputy Foreign Minister Carlos Rico, and Professor Marco </w:t>
      </w:r>
      <w:proofErr w:type="spellStart"/>
      <w:r w:rsidRPr="00875574">
        <w:rPr>
          <w:sz w:val="16"/>
        </w:rPr>
        <w:t>Aure´lio</w:t>
      </w:r>
      <w:proofErr w:type="spellEnd"/>
      <w:r w:rsidRPr="00875574">
        <w:rPr>
          <w:sz w:val="16"/>
        </w:rPr>
        <w:t xml:space="preserve"> Garcia of Brazil, personal foreign policy advisor to Presidents Lula and Dilma Rousseff—came from academia. Chile, which has had one of the most noteworthy international policies in recent years, has relied heavily on social scientists: former Foreign Ministers Jose´ Miguel </w:t>
      </w:r>
      <w:proofErr w:type="spellStart"/>
      <w:r w:rsidRPr="00875574">
        <w:rPr>
          <w:sz w:val="16"/>
        </w:rPr>
        <w:t>Insulza</w:t>
      </w:r>
      <w:proofErr w:type="spellEnd"/>
      <w:r w:rsidRPr="00875574">
        <w:rPr>
          <w:sz w:val="16"/>
        </w:rPr>
        <w:t xml:space="preserve"> (now Secretary General of the Organization of American States), Ignacio Walker and Juan Gabriel </w:t>
      </w:r>
      <w:proofErr w:type="spellStart"/>
      <w:r w:rsidRPr="00875574">
        <w:rPr>
          <w:sz w:val="16"/>
        </w:rPr>
        <w:t>Valde´s</w:t>
      </w:r>
      <w:proofErr w:type="spellEnd"/>
      <w:r w:rsidRPr="00875574">
        <w:rPr>
          <w:sz w:val="16"/>
        </w:rPr>
        <w:t xml:space="preserve">; former Deputy Foreign Ministers Angel </w:t>
      </w:r>
      <w:proofErr w:type="spellStart"/>
      <w:r w:rsidRPr="00875574">
        <w:rPr>
          <w:sz w:val="16"/>
        </w:rPr>
        <w:t>Flisfisch</w:t>
      </w:r>
      <w:proofErr w:type="spellEnd"/>
      <w:r w:rsidRPr="00875574">
        <w:rPr>
          <w:sz w:val="16"/>
        </w:rPr>
        <w:t xml:space="preserve"> and </w:t>
      </w:r>
      <w:proofErr w:type="spellStart"/>
      <w:r w:rsidRPr="00875574">
        <w:rPr>
          <w:sz w:val="16"/>
        </w:rPr>
        <w:t>Heraldo</w:t>
      </w:r>
      <w:proofErr w:type="spellEnd"/>
      <w:r w:rsidRPr="00875574">
        <w:rPr>
          <w:sz w:val="16"/>
        </w:rPr>
        <w:t xml:space="preserve"> </w:t>
      </w:r>
      <w:proofErr w:type="spellStart"/>
      <w:r w:rsidRPr="00875574">
        <w:rPr>
          <w:sz w:val="16"/>
        </w:rPr>
        <w:t>Mun˜oz</w:t>
      </w:r>
      <w:proofErr w:type="spellEnd"/>
      <w:r w:rsidRPr="00875574">
        <w:rPr>
          <w:sz w:val="16"/>
        </w:rPr>
        <w:t xml:space="preserve"> (now head of the United Nations Development Program’s Regional Bureau for Latin America), for example (Lowenthal 2010).</w:t>
      </w:r>
    </w:p>
    <w:p w14:paraId="588FA56A" w14:textId="77777777" w:rsidR="00875574" w:rsidRDefault="00875574" w:rsidP="00A566A0"/>
    <w:p w14:paraId="269A1E40" w14:textId="11905EF7" w:rsidR="00A566A0" w:rsidRDefault="00A566A0" w:rsidP="00A566A0">
      <w:pPr>
        <w:pStyle w:val="Heading4"/>
      </w:pPr>
      <w:r>
        <w:t xml:space="preserve">Applying theory to action is key – otherwise we cede the political to </w:t>
      </w:r>
      <w:r w:rsidR="00CF37AE">
        <w:t xml:space="preserve">insider </w:t>
      </w:r>
      <w:proofErr w:type="spellStart"/>
      <w:r w:rsidR="00CF37AE">
        <w:t>technopols</w:t>
      </w:r>
      <w:proofErr w:type="spellEnd"/>
      <w:r w:rsidR="00CF37AE">
        <w:t>.</w:t>
      </w:r>
    </w:p>
    <w:p w14:paraId="2F787E17" w14:textId="77777777" w:rsidR="00200DFA" w:rsidRPr="001D4A57" w:rsidRDefault="00200DFA" w:rsidP="00200DFA">
      <w:proofErr w:type="spellStart"/>
      <w:r w:rsidRPr="004F3B08">
        <w:rPr>
          <w:rStyle w:val="Style13ptBold"/>
        </w:rPr>
        <w:t>Bertucci</w:t>
      </w:r>
      <w:proofErr w:type="spellEnd"/>
      <w:r w:rsidRPr="004F3B08">
        <w:rPr>
          <w:rStyle w:val="Style13ptBold"/>
        </w:rPr>
        <w:t xml:space="preserve"> et al 2014</w:t>
      </w:r>
      <w:r>
        <w:t xml:space="preserve"> (</w:t>
      </w:r>
      <w:r w:rsidRPr="004F3B08">
        <w:t>Mariano</w:t>
      </w:r>
      <w:r>
        <w:t xml:space="preserve">, [fellow @ </w:t>
      </w:r>
      <w:r w:rsidRPr="004F3B08">
        <w:t>Center for Inter-American Policy and Research</w:t>
      </w:r>
      <w:r>
        <w:t xml:space="preserve"> @ </w:t>
      </w:r>
      <w:r w:rsidRPr="004F3B08">
        <w:t>Tulane University</w:t>
      </w:r>
      <w:r>
        <w:t>]</w:t>
      </w:r>
      <w:r w:rsidRPr="004F3B08">
        <w:t>, Fabián Borges-Herrero</w:t>
      </w:r>
      <w:r>
        <w:t xml:space="preserve"> [</w:t>
      </w:r>
      <w:r w:rsidRPr="004F3B08">
        <w:t>Assistant Professor of Political Science at CSUSB</w:t>
      </w:r>
      <w:r>
        <w:t>]</w:t>
      </w:r>
      <w:r w:rsidRPr="004F3B08">
        <w:t>, Claudia Fuentes-Julio</w:t>
      </w:r>
      <w:r>
        <w:t xml:space="preserve"> [faculty @ institute of international relations @ </w:t>
      </w:r>
      <w:r w:rsidRPr="004F3B08">
        <w:t>Pontifical Catholic University of Rio de Janeiro</w:t>
      </w:r>
      <w:r>
        <w:t>]</w:t>
      </w:r>
      <w:r w:rsidRPr="004F3B08">
        <w:t xml:space="preserve">, Toward “Best Practices” in Scholar–Practitioner Relations: Insights from the Field of Inter-American Affairs, </w:t>
      </w:r>
      <w:r w:rsidRPr="00DD0B45">
        <w:rPr>
          <w:i/>
          <w:iCs/>
        </w:rPr>
        <w:t>International Studies Perspectives</w:t>
      </w:r>
      <w:r w:rsidRPr="004F3B08">
        <w:t xml:space="preserve">, </w:t>
      </w:r>
      <w:r>
        <w:t>15.1</w:t>
      </w:r>
      <w:r w:rsidRPr="004F3B08">
        <w:t xml:space="preserve">, </w:t>
      </w:r>
      <w:r>
        <w:t>accessed 7-15-2019, GDI-ATN)</w:t>
      </w:r>
    </w:p>
    <w:p w14:paraId="60419667" w14:textId="6E86F699" w:rsidR="00A566A0" w:rsidRPr="001D4A57" w:rsidRDefault="00A566A0" w:rsidP="00A566A0">
      <w:pPr>
        <w:rPr>
          <w:rStyle w:val="StyleUnderline"/>
        </w:rPr>
      </w:pPr>
      <w:r w:rsidRPr="00CF37AE">
        <w:rPr>
          <w:sz w:val="16"/>
        </w:rPr>
        <w:t>Inter-American affairs are marked by a stark dichotomy. On the one hand,</w:t>
      </w:r>
      <w:r w:rsidRPr="001D4A57">
        <w:rPr>
          <w:rStyle w:val="Emphasis"/>
        </w:rPr>
        <w:t xml:space="preserve"> there are close relations among a considerable number of scholars and policymakers, and especially the emergence of “</w:t>
      </w:r>
      <w:proofErr w:type="spellStart"/>
      <w:r w:rsidRPr="001D4A57">
        <w:rPr>
          <w:rStyle w:val="Emphasis"/>
        </w:rPr>
        <w:t>technopols</w:t>
      </w:r>
      <w:proofErr w:type="spellEnd"/>
      <w:r w:rsidRPr="001D4A57">
        <w:rPr>
          <w:rStyle w:val="Emphasis"/>
        </w:rPr>
        <w:t>” who move back and forth between academia and politics</w:t>
      </w:r>
      <w:r w:rsidRPr="00CF37AE">
        <w:rPr>
          <w:sz w:val="16"/>
        </w:rPr>
        <w:t xml:space="preserve"> (e.g., </w:t>
      </w:r>
      <w:proofErr w:type="spellStart"/>
      <w:r w:rsidRPr="00CF37AE">
        <w:rPr>
          <w:sz w:val="16"/>
        </w:rPr>
        <w:t>Domı´nguez</w:t>
      </w:r>
      <w:proofErr w:type="spellEnd"/>
      <w:r w:rsidRPr="00CF37AE">
        <w:rPr>
          <w:sz w:val="16"/>
        </w:rPr>
        <w:t xml:space="preserve"> 1997). On the other hand, </w:t>
      </w:r>
      <w:r w:rsidRPr="001D4A57">
        <w:rPr>
          <w:rStyle w:val="StyleUnderline"/>
        </w:rPr>
        <w:t>a much smaller number of scholars focus on theoretical issues without addressing explicit policy concerns,</w:t>
      </w:r>
      <w:r w:rsidRPr="00CF37AE">
        <w:rPr>
          <w:sz w:val="16"/>
        </w:rPr>
        <w:t xml:space="preserve"> thus adhering to the pattern that characterizes most other subfields in Political Science. </w:t>
      </w:r>
      <w:r w:rsidRPr="001D4A57">
        <w:rPr>
          <w:rStyle w:val="Emphasis"/>
        </w:rPr>
        <w:t>A third group, prominent in U.S. and in Canadian academia, shuns any involvement with policymakers but approaches the issues from a politically committed anti-establishment position.</w:t>
      </w:r>
      <w:r w:rsidR="00037425">
        <w:rPr>
          <w:rStyle w:val="Emphasis"/>
        </w:rPr>
        <w:t xml:space="preserve"> </w:t>
      </w:r>
      <w:r w:rsidRPr="00CF37AE">
        <w:rPr>
          <w:sz w:val="16"/>
        </w:rPr>
        <w:t xml:space="preserve">Even though many scholars and practitioners in the field of Inter-American affairs have had considerable experience with each other, some scholars have become practitioners, and some practitioners have re-entered academia, the fruits of their interaction have </w:t>
      </w:r>
      <w:proofErr w:type="gramStart"/>
      <w:r w:rsidRPr="00CF37AE">
        <w:rPr>
          <w:sz w:val="16"/>
        </w:rPr>
        <w:t>on the whole</w:t>
      </w:r>
      <w:proofErr w:type="gramEnd"/>
      <w:r w:rsidRPr="00CF37AE">
        <w:rPr>
          <w:sz w:val="16"/>
        </w:rPr>
        <w:t xml:space="preserve"> not been substantial. </w:t>
      </w:r>
      <w:r w:rsidRPr="001D4A57">
        <w:rPr>
          <w:rStyle w:val="StyleUnderline"/>
        </w:rPr>
        <w:t>Scholars have often been critical of U.S. and Canadian practitioners for their failure to rigorously disaggregate among country experiences</w:t>
      </w:r>
      <w:r w:rsidRPr="00CF37AE">
        <w:rPr>
          <w:sz w:val="16"/>
        </w:rPr>
        <w:t xml:space="preserve">; flawed policymaking by misleading analogy; and loose conceptualization of such processes as democracy promotion, populism, and the rule of law. </w:t>
      </w:r>
      <w:r w:rsidRPr="001D4A57">
        <w:rPr>
          <w:rStyle w:val="StyleUnderline"/>
        </w:rPr>
        <w:t>Few social scientists, on the other hand, have been able and willing to apply rigorous analyses and methodologies to policy issues. Policy officials working on Inter-American affairs often lament the lack of policy relevance of academic theorizing. Scholars and practitioners in this field tend to talk past each other, with little impact in either direction.</w:t>
      </w:r>
    </w:p>
    <w:p w14:paraId="091671D0" w14:textId="0512B01F" w:rsidR="00EC16C2" w:rsidRDefault="00EC16C2" w:rsidP="00EC16C2"/>
    <w:p w14:paraId="38FB50AE" w14:textId="568392B9" w:rsidR="00A66330" w:rsidRDefault="00482C77" w:rsidP="00482C77">
      <w:pPr>
        <w:pStyle w:val="Heading2"/>
      </w:pPr>
      <w:r>
        <w:t>Perm</w:t>
      </w:r>
    </w:p>
    <w:p w14:paraId="10A0A4EB" w14:textId="7DE37973" w:rsidR="00482C77" w:rsidRDefault="00482C77" w:rsidP="00482C77"/>
    <w:p w14:paraId="1AB725D1" w14:textId="49973F6B" w:rsidR="00482C77" w:rsidRDefault="00482C77" w:rsidP="00482C77">
      <w:pPr>
        <w:pStyle w:val="Heading3"/>
      </w:pPr>
      <w:r>
        <w:t>Methodological Pluralism</w:t>
      </w:r>
    </w:p>
    <w:p w14:paraId="4A68D36C" w14:textId="3283B120" w:rsidR="00482C77" w:rsidRDefault="00482C77" w:rsidP="00482C77"/>
    <w:p w14:paraId="651316E9" w14:textId="77777777" w:rsidR="005A4DCF" w:rsidRPr="003E533F" w:rsidRDefault="005A4DCF" w:rsidP="005A4DCF">
      <w:pPr>
        <w:pStyle w:val="Heading4"/>
        <w:rPr>
          <w:rStyle w:val="Style13ptBold"/>
          <w:b/>
          <w:bCs w:val="0"/>
        </w:rPr>
      </w:pPr>
      <w:r w:rsidRPr="003E533F">
        <w:rPr>
          <w:rStyle w:val="Style13ptBold"/>
          <w:b/>
          <w:bCs w:val="0"/>
        </w:rPr>
        <w:t>IR theory should embrace a plurality of approaches</w:t>
      </w:r>
      <w:r>
        <w:rPr>
          <w:rStyle w:val="Style13ptBold"/>
          <w:b/>
          <w:bCs w:val="0"/>
        </w:rPr>
        <w:t xml:space="preserve"> – best prevents bad policy and IR theory</w:t>
      </w:r>
    </w:p>
    <w:p w14:paraId="27A4CF60" w14:textId="77777777" w:rsidR="00912FAF" w:rsidRPr="005F5046" w:rsidRDefault="00912FAF" w:rsidP="00912FAF">
      <w:pPr>
        <w:rPr>
          <w:b/>
          <w:bCs/>
          <w:sz w:val="26"/>
        </w:rPr>
      </w:pPr>
      <w:proofErr w:type="spellStart"/>
      <w:r>
        <w:rPr>
          <w:rStyle w:val="Style13ptBold"/>
        </w:rPr>
        <w:t>Zambernardi</w:t>
      </w:r>
      <w:proofErr w:type="spellEnd"/>
      <w:r>
        <w:rPr>
          <w:rStyle w:val="Style13ptBold"/>
        </w:rPr>
        <w:t xml:space="preserve"> 2015 </w:t>
      </w:r>
      <w:r w:rsidRPr="00980384">
        <w:t>(</w:t>
      </w:r>
      <w:r>
        <w:t>Lorenzo, University of Bologna, Italy, “</w:t>
      </w:r>
      <w:r w:rsidRPr="00980384">
        <w:t>Politics is too important to be left to political scientists: A critique of the theory–policy nexus in International Relations</w:t>
      </w:r>
      <w:r>
        <w:t>,” European Journal of International Relations, 8/15/15, LibGen.io accessed 7/13/19 GDI-JEM)</w:t>
      </w:r>
    </w:p>
    <w:p w14:paraId="79BF3872" w14:textId="6AED4467" w:rsidR="005A4DCF" w:rsidRPr="00912FAF" w:rsidRDefault="005A4DCF" w:rsidP="005A4DCF">
      <w:pPr>
        <w:rPr>
          <w:sz w:val="16"/>
        </w:rPr>
      </w:pPr>
      <w:r w:rsidRPr="00912FAF">
        <w:rPr>
          <w:sz w:val="16"/>
        </w:rPr>
        <w:t xml:space="preserve">I am not sure if these arguments support </w:t>
      </w:r>
      <w:proofErr w:type="spellStart"/>
      <w:r w:rsidRPr="00912FAF">
        <w:rPr>
          <w:sz w:val="16"/>
        </w:rPr>
        <w:t>Feyerabend’s</w:t>
      </w:r>
      <w:proofErr w:type="spellEnd"/>
      <w:r w:rsidRPr="00912FAF">
        <w:rPr>
          <w:sz w:val="16"/>
        </w:rPr>
        <w:t xml:space="preserve"> (1975) maxim that ‘anything goes’, but </w:t>
      </w:r>
      <w:r w:rsidRPr="003E533F">
        <w:rPr>
          <w:rStyle w:val="StyleUnderline"/>
        </w:rPr>
        <w:t xml:space="preserve">they certainly support the epistemological and political liberal view that </w:t>
      </w:r>
      <w:proofErr w:type="spellStart"/>
      <w:r w:rsidRPr="003E533F">
        <w:rPr>
          <w:rStyle w:val="StyleUnderline"/>
        </w:rPr>
        <w:t>plu-ralism</w:t>
      </w:r>
      <w:proofErr w:type="spellEnd"/>
      <w:r w:rsidRPr="003E533F">
        <w:rPr>
          <w:rStyle w:val="StyleUnderline"/>
        </w:rPr>
        <w:t xml:space="preserve"> must flourish</w:t>
      </w:r>
      <w:r w:rsidRPr="00912FAF">
        <w:rPr>
          <w:sz w:val="16"/>
        </w:rPr>
        <w:t xml:space="preserve">. Hence, </w:t>
      </w:r>
      <w:r w:rsidRPr="003E533F">
        <w:rPr>
          <w:rStyle w:val="Emphasis"/>
        </w:rPr>
        <w:t xml:space="preserve">theoretical and methodological diversity should be </w:t>
      </w:r>
      <w:proofErr w:type="spellStart"/>
      <w:r w:rsidRPr="003E533F">
        <w:rPr>
          <w:rStyle w:val="Emphasis"/>
        </w:rPr>
        <w:t>encour</w:t>
      </w:r>
      <w:proofErr w:type="spellEnd"/>
      <w:r w:rsidRPr="003E533F">
        <w:rPr>
          <w:rStyle w:val="Emphasis"/>
        </w:rPr>
        <w:t>-aged.</w:t>
      </w:r>
      <w:r w:rsidRPr="00912FAF">
        <w:rPr>
          <w:sz w:val="16"/>
        </w:rPr>
        <w:t xml:space="preserve"> </w:t>
      </w:r>
      <w:r w:rsidRPr="003E533F">
        <w:rPr>
          <w:rStyle w:val="StyleUnderline"/>
        </w:rPr>
        <w:t>The only acceptable and healthy protection from poor IR theory and</w:t>
      </w:r>
      <w:r w:rsidRPr="00912FAF">
        <w:rPr>
          <w:sz w:val="16"/>
        </w:rPr>
        <w:t>, most importantly, f</w:t>
      </w:r>
      <w:r w:rsidRPr="003E533F">
        <w:rPr>
          <w:rStyle w:val="StyleUnderline"/>
        </w:rPr>
        <w:t xml:space="preserve">rom bad policy is not the silencing of </w:t>
      </w:r>
      <w:proofErr w:type="gramStart"/>
      <w:r w:rsidRPr="003E533F">
        <w:rPr>
          <w:rStyle w:val="StyleUnderline"/>
        </w:rPr>
        <w:t>particular approaches</w:t>
      </w:r>
      <w:proofErr w:type="gramEnd"/>
      <w:r w:rsidRPr="003E533F">
        <w:rPr>
          <w:rStyle w:val="StyleUnderline"/>
        </w:rPr>
        <w:t xml:space="preserve"> or the </w:t>
      </w:r>
      <w:proofErr w:type="spellStart"/>
      <w:r w:rsidRPr="003E533F">
        <w:rPr>
          <w:rStyle w:val="StyleUnderline"/>
        </w:rPr>
        <w:t>conver-gence</w:t>
      </w:r>
      <w:proofErr w:type="spellEnd"/>
      <w:r w:rsidRPr="003E533F">
        <w:rPr>
          <w:rStyle w:val="StyleUnderline"/>
        </w:rPr>
        <w:t xml:space="preserve"> towards a particular methodology, but a mutual criticism that avoids ending up in intellectual standardization. </w:t>
      </w:r>
      <w:r w:rsidRPr="00912FAF">
        <w:rPr>
          <w:sz w:val="16"/>
        </w:rPr>
        <w:t>Although a dialectic link between theory and practice should characterize the interaction between the two, the relationship should not be resolved in terms of synthesis. In other words, the gap between scholarship and policymaking is not to be bridged.</w:t>
      </w:r>
      <w:r w:rsidR="00912FAF" w:rsidRPr="00912FAF">
        <w:rPr>
          <w:sz w:val="16"/>
        </w:rPr>
        <w:t xml:space="preserve"> </w:t>
      </w:r>
      <w:r w:rsidRPr="003E533F">
        <w:rPr>
          <w:rStyle w:val="StyleUnderline"/>
        </w:rPr>
        <w:t>IR theorists’ public duty</w:t>
      </w:r>
      <w:r w:rsidRPr="00912FAF">
        <w:rPr>
          <w:sz w:val="16"/>
        </w:rPr>
        <w:t xml:space="preserve"> — starting and contributing to public debates — </w:t>
      </w:r>
      <w:r w:rsidRPr="003E533F">
        <w:rPr>
          <w:rStyle w:val="StyleUnderline"/>
        </w:rPr>
        <w:t>can be better developed when scholars are aware that they have no demiurgic rol</w:t>
      </w:r>
      <w:r w:rsidRPr="00912FAF">
        <w:rPr>
          <w:sz w:val="16"/>
        </w:rPr>
        <w:t>e (</w:t>
      </w:r>
      <w:proofErr w:type="spellStart"/>
      <w:r w:rsidRPr="00912FAF">
        <w:rPr>
          <w:sz w:val="16"/>
        </w:rPr>
        <w:t>Panebianco</w:t>
      </w:r>
      <w:proofErr w:type="spellEnd"/>
      <w:r w:rsidRPr="00912FAF">
        <w:rPr>
          <w:sz w:val="16"/>
        </w:rPr>
        <w:t xml:space="preserve">, 1999). Whether scholars are naturalists or not, </w:t>
      </w:r>
      <w:r w:rsidRPr="003E533F">
        <w:rPr>
          <w:rStyle w:val="StyleUnderline"/>
        </w:rPr>
        <w:t>the most important contribution that IR theorists can make to foreign policy and international politics is neither to ‘speak truth to power</w:t>
      </w:r>
      <w:r w:rsidRPr="00912FAF">
        <w:rPr>
          <w:sz w:val="16"/>
        </w:rPr>
        <w:t xml:space="preserve">’ (Morgenthau, 1966; Wallace, 1996) </w:t>
      </w:r>
      <w:r w:rsidRPr="003E533F">
        <w:rPr>
          <w:rStyle w:val="StyleUnderline"/>
        </w:rPr>
        <w:t>nor to ‘discipline power with truth’</w:t>
      </w:r>
      <w:r w:rsidRPr="00912FAF">
        <w:rPr>
          <w:sz w:val="16"/>
        </w:rPr>
        <w:t xml:space="preserve"> (Krasner, 1996: 125), </w:t>
      </w:r>
      <w:r w:rsidRPr="003E533F">
        <w:rPr>
          <w:rStyle w:val="StyleUnderline"/>
        </w:rPr>
        <w:t>but rather discipline power with a variety of truths and encourage the self-</w:t>
      </w:r>
      <w:proofErr w:type="spellStart"/>
      <w:r w:rsidRPr="003E533F">
        <w:rPr>
          <w:rStyle w:val="StyleUnderline"/>
        </w:rPr>
        <w:t>educa</w:t>
      </w:r>
      <w:proofErr w:type="spellEnd"/>
      <w:r w:rsidRPr="003E533F">
        <w:rPr>
          <w:rStyle w:val="StyleUnderline"/>
        </w:rPr>
        <w:t>-</w:t>
      </w:r>
      <w:proofErr w:type="spellStart"/>
      <w:r w:rsidRPr="003E533F">
        <w:rPr>
          <w:rStyle w:val="StyleUnderline"/>
        </w:rPr>
        <w:t>tion</w:t>
      </w:r>
      <w:proofErr w:type="spellEnd"/>
      <w:r w:rsidRPr="003E533F">
        <w:rPr>
          <w:rStyle w:val="StyleUnderline"/>
        </w:rPr>
        <w:t xml:space="preserve"> of practitioners</w:t>
      </w:r>
      <w:r w:rsidRPr="00912FAF">
        <w:rPr>
          <w:sz w:val="16"/>
        </w:rPr>
        <w:t>. These are the two main functions that IR theory can perform for policymaking. Whether these arguments are applicable to political science more generally is an issue that has not been debated here and that is left open for discussion by other scholars in their respective intellectual domains.</w:t>
      </w:r>
    </w:p>
    <w:p w14:paraId="7168E6F8" w14:textId="77777777" w:rsidR="00912FAF" w:rsidRPr="00980384" w:rsidRDefault="00912FAF" w:rsidP="005A4DCF"/>
    <w:p w14:paraId="37E569A5" w14:textId="77777777" w:rsidR="005A4DCF" w:rsidRPr="006E33D5" w:rsidRDefault="005A4DCF" w:rsidP="005A4DCF">
      <w:pPr>
        <w:pStyle w:val="Heading4"/>
        <w:rPr>
          <w:rStyle w:val="Style13ptBold"/>
          <w:b/>
          <w:bCs w:val="0"/>
        </w:rPr>
      </w:pPr>
      <w:r w:rsidRPr="006E33D5">
        <w:rPr>
          <w:rStyle w:val="Style13ptBold"/>
          <w:b/>
          <w:bCs w:val="0"/>
        </w:rPr>
        <w:t>Multitude of approaches good – allows for greater debate among academics and more comprehensive analysis of consequences</w:t>
      </w:r>
    </w:p>
    <w:p w14:paraId="25391777" w14:textId="028E5D49" w:rsidR="005A4DCF" w:rsidRPr="005F5046" w:rsidRDefault="005A4DCF" w:rsidP="005A4DCF">
      <w:pPr>
        <w:rPr>
          <w:b/>
          <w:bCs/>
          <w:sz w:val="26"/>
        </w:rPr>
      </w:pPr>
      <w:proofErr w:type="spellStart"/>
      <w:r>
        <w:rPr>
          <w:rStyle w:val="Style13ptBold"/>
        </w:rPr>
        <w:t>Zambernardi</w:t>
      </w:r>
      <w:proofErr w:type="spellEnd"/>
      <w:r>
        <w:rPr>
          <w:rStyle w:val="Style13ptBold"/>
        </w:rPr>
        <w:t xml:space="preserve"> 2015</w:t>
      </w:r>
      <w:r w:rsidR="005F5046">
        <w:rPr>
          <w:rStyle w:val="Style13ptBold"/>
        </w:rPr>
        <w:t xml:space="preserve"> </w:t>
      </w:r>
      <w:r w:rsidRPr="00980384">
        <w:t>(</w:t>
      </w:r>
      <w:r>
        <w:t xml:space="preserve">Lorenzo, </w:t>
      </w:r>
      <w:r w:rsidR="005F5046">
        <w:t xml:space="preserve">University of Bologna, Italy, </w:t>
      </w:r>
      <w:r>
        <w:t>“</w:t>
      </w:r>
      <w:r w:rsidRPr="00980384">
        <w:t>Politics is too important to be left to political scientists: A critique of the theory–policy nexus in International Relations</w:t>
      </w:r>
      <w:r>
        <w:t>,” European Journal of International Relations, 8/15/15, LibGen.io accessed 7/13/19 GDI-JEM)</w:t>
      </w:r>
    </w:p>
    <w:p w14:paraId="52C24F7D" w14:textId="78B465AC" w:rsidR="005A4DCF" w:rsidRDefault="005A4DCF" w:rsidP="005A4DCF">
      <w:pPr>
        <w:rPr>
          <w:sz w:val="16"/>
        </w:rPr>
      </w:pPr>
      <w:r w:rsidRPr="002461B6">
        <w:rPr>
          <w:rStyle w:val="StyleUnderline"/>
        </w:rPr>
        <w:t xml:space="preserve">Debates and disputes regarding international affairs have the great advantage of ensuring that rival explanations and policy advice can be taken into account for each problem </w:t>
      </w:r>
      <w:r w:rsidRPr="005F5046">
        <w:rPr>
          <w:sz w:val="16"/>
        </w:rPr>
        <w:t>(</w:t>
      </w:r>
      <w:proofErr w:type="spellStart"/>
      <w:r w:rsidRPr="005F5046">
        <w:rPr>
          <w:sz w:val="16"/>
        </w:rPr>
        <w:t>Panebianco</w:t>
      </w:r>
      <w:proofErr w:type="spellEnd"/>
      <w:r w:rsidRPr="005F5046">
        <w:rPr>
          <w:sz w:val="16"/>
        </w:rPr>
        <w:t>, 1999): ‘The role of scientific research and analysis is therefore not the heroic one of providing truths by which policy may be guided, but the ironic one of preventing policy being formulated around some technical conclusions’ (</w:t>
      </w:r>
      <w:proofErr w:type="spellStart"/>
      <w:r w:rsidRPr="005F5046">
        <w:rPr>
          <w:sz w:val="16"/>
        </w:rPr>
        <w:t>Collingridge</w:t>
      </w:r>
      <w:proofErr w:type="spellEnd"/>
      <w:r w:rsidRPr="005F5046">
        <w:rPr>
          <w:sz w:val="16"/>
        </w:rPr>
        <w:t xml:space="preserve"> and Reeve, 1986: 32). Indeed, </w:t>
      </w:r>
      <w:r w:rsidRPr="002461B6">
        <w:rPr>
          <w:rStyle w:val="StyleUnderline"/>
        </w:rPr>
        <w:t>while the general public is very likely to ignore academic debates, there is strong evidence that policymakers follow research and scholarship on international affairs on a regular basis</w:t>
      </w:r>
      <w:r w:rsidRPr="005F5046">
        <w:rPr>
          <w:sz w:val="16"/>
        </w:rPr>
        <w:t xml:space="preserve"> (</w:t>
      </w:r>
      <w:proofErr w:type="spellStart"/>
      <w:r w:rsidRPr="005F5046">
        <w:rPr>
          <w:sz w:val="16"/>
        </w:rPr>
        <w:t>Avey</w:t>
      </w:r>
      <w:proofErr w:type="spellEnd"/>
      <w:r w:rsidRPr="005F5046">
        <w:rPr>
          <w:sz w:val="16"/>
        </w:rPr>
        <w:t xml:space="preserve"> and </w:t>
      </w:r>
      <w:proofErr w:type="spellStart"/>
      <w:r w:rsidRPr="005F5046">
        <w:rPr>
          <w:sz w:val="16"/>
        </w:rPr>
        <w:t>Desch</w:t>
      </w:r>
      <w:proofErr w:type="spellEnd"/>
      <w:r w:rsidRPr="005F5046">
        <w:rPr>
          <w:sz w:val="16"/>
        </w:rPr>
        <w:t>, 2014: 229).</w:t>
      </w:r>
      <w:r w:rsidR="005F5046" w:rsidRPr="005F5046">
        <w:rPr>
          <w:sz w:val="16"/>
        </w:rPr>
        <w:t xml:space="preserve"> </w:t>
      </w:r>
      <w:r w:rsidRPr="005F5046">
        <w:rPr>
          <w:sz w:val="16"/>
        </w:rPr>
        <w:t xml:space="preserve">I am not arguing that different theories freely compete in the marketplace of ideas. Nor do I support the claim that theoretical competition is a key requirement for the growth of political knowledge. As we all know well, </w:t>
      </w:r>
      <w:r w:rsidRPr="002461B6">
        <w:rPr>
          <w:rStyle w:val="StyleUnderline"/>
        </w:rPr>
        <w:t>the settlement of political disputes in the public arena is rarely based only on the quality of the argument proposed, but also often on the values and the political and economic power behind those arguing</w:t>
      </w:r>
      <w:r w:rsidRPr="005F5046">
        <w:rPr>
          <w:sz w:val="16"/>
        </w:rPr>
        <w:t xml:space="preserve">. In the political arena, </w:t>
      </w:r>
      <w:r w:rsidRPr="002461B6">
        <w:rPr>
          <w:rStyle w:val="StyleUnderline"/>
        </w:rPr>
        <w:t>arguments rarely confront each other in a fair manner with the purpose of reaching truth and improving understanding.</w:t>
      </w:r>
      <w:r w:rsidRPr="005F5046">
        <w:rPr>
          <w:sz w:val="16"/>
        </w:rPr>
        <w:t xml:space="preserve"> </w:t>
      </w:r>
      <w:proofErr w:type="gramStart"/>
      <w:r w:rsidRPr="005F5046">
        <w:rPr>
          <w:sz w:val="16"/>
        </w:rPr>
        <w:t xml:space="preserve">Actually, </w:t>
      </w:r>
      <w:r w:rsidRPr="002461B6">
        <w:rPr>
          <w:rStyle w:val="StyleUnderline"/>
        </w:rPr>
        <w:t>they</w:t>
      </w:r>
      <w:proofErr w:type="gramEnd"/>
      <w:r w:rsidRPr="002461B6">
        <w:rPr>
          <w:rStyle w:val="StyleUnderline"/>
        </w:rPr>
        <w:t xml:space="preserve"> are often used as ammunition for political competition.</w:t>
      </w:r>
      <w:r w:rsidRPr="005F5046">
        <w:rPr>
          <w:sz w:val="16"/>
        </w:rPr>
        <w:t xml:space="preserve"> </w:t>
      </w:r>
      <w:r w:rsidRPr="002461B6">
        <w:rPr>
          <w:rStyle w:val="StyleUnderline"/>
        </w:rPr>
        <w:t>Theoretical proliferation, the clash of competing arguments and mutual criticism can neither ensure that the best theories will survive nor prevent major mistakes, but they can avoid errors becoming uncontested truths.</w:t>
      </w:r>
      <w:r w:rsidR="005F5046">
        <w:rPr>
          <w:rStyle w:val="StyleUnderline"/>
        </w:rPr>
        <w:t xml:space="preserve"> </w:t>
      </w:r>
      <w:r w:rsidRPr="002461B6">
        <w:rPr>
          <w:rStyle w:val="StyleUnderline"/>
        </w:rPr>
        <w:t>The positive contribution of IR</w:t>
      </w:r>
      <w:r w:rsidRPr="005F5046">
        <w:rPr>
          <w:sz w:val="16"/>
        </w:rPr>
        <w:t xml:space="preserve">, then, </w:t>
      </w:r>
      <w:r w:rsidRPr="002461B6">
        <w:rPr>
          <w:rStyle w:val="StyleUnderline"/>
        </w:rPr>
        <w:t xml:space="preserve">results not from the intentions and purposes of single political scientists, but rather from the involuntary effects of all scholars’ </w:t>
      </w:r>
      <w:proofErr w:type="spellStart"/>
      <w:r w:rsidRPr="002461B6">
        <w:rPr>
          <w:rStyle w:val="StyleUnderline"/>
        </w:rPr>
        <w:t>contribu-tions</w:t>
      </w:r>
      <w:proofErr w:type="spellEnd"/>
      <w:r w:rsidRPr="002461B6">
        <w:rPr>
          <w:rStyle w:val="StyleUnderline"/>
        </w:rPr>
        <w:t>.</w:t>
      </w:r>
      <w:r w:rsidRPr="005F5046">
        <w:rPr>
          <w:sz w:val="16"/>
        </w:rPr>
        <w:t xml:space="preserve"> Although social scientists are aware of unintended consequences on political real-</w:t>
      </w:r>
      <w:proofErr w:type="spellStart"/>
      <w:r w:rsidRPr="005F5046">
        <w:rPr>
          <w:sz w:val="16"/>
        </w:rPr>
        <w:t>ity</w:t>
      </w:r>
      <w:proofErr w:type="spellEnd"/>
      <w:r w:rsidRPr="005F5046">
        <w:rPr>
          <w:sz w:val="16"/>
        </w:rPr>
        <w:t xml:space="preserve"> (</w:t>
      </w:r>
      <w:proofErr w:type="spellStart"/>
      <w:r w:rsidRPr="005F5046">
        <w:rPr>
          <w:sz w:val="16"/>
        </w:rPr>
        <w:t>Boudon</w:t>
      </w:r>
      <w:proofErr w:type="spellEnd"/>
      <w:r w:rsidRPr="005F5046">
        <w:rPr>
          <w:sz w:val="16"/>
        </w:rPr>
        <w:t xml:space="preserve">, 1977; Merton, 1936), they seem to forget that they are part of the same reality they are studying and that, as social individuals, they produce unintended effects too. The paradox is that the work of scholars plays this ironic role especially when </w:t>
      </w:r>
      <w:proofErr w:type="spellStart"/>
      <w:r w:rsidRPr="005F5046">
        <w:rPr>
          <w:sz w:val="16"/>
        </w:rPr>
        <w:t>theo-rists</w:t>
      </w:r>
      <w:proofErr w:type="spellEnd"/>
      <w:r w:rsidRPr="005F5046">
        <w:rPr>
          <w:sz w:val="16"/>
        </w:rPr>
        <w:t xml:space="preserve"> disagree about the decisions to be made (</w:t>
      </w:r>
      <w:proofErr w:type="spellStart"/>
      <w:r w:rsidRPr="005F5046">
        <w:rPr>
          <w:sz w:val="16"/>
        </w:rPr>
        <w:t>Panebianco</w:t>
      </w:r>
      <w:proofErr w:type="spellEnd"/>
      <w:r w:rsidRPr="005F5046">
        <w:rPr>
          <w:sz w:val="16"/>
        </w:rPr>
        <w:t xml:space="preserve">, 1999). As Ralf </w:t>
      </w:r>
      <w:proofErr w:type="spellStart"/>
      <w:r w:rsidRPr="005F5046">
        <w:rPr>
          <w:sz w:val="16"/>
        </w:rPr>
        <w:t>Dahrendorf</w:t>
      </w:r>
      <w:proofErr w:type="spellEnd"/>
      <w:r w:rsidRPr="005F5046">
        <w:rPr>
          <w:sz w:val="16"/>
        </w:rPr>
        <w:t xml:space="preserve"> (1968: 240, 247) maintained, the:</w:t>
      </w:r>
      <w:r w:rsidR="005F5046" w:rsidRPr="005F5046">
        <w:rPr>
          <w:sz w:val="16"/>
        </w:rPr>
        <w:t xml:space="preserve"> </w:t>
      </w:r>
      <w:r w:rsidRPr="005F5046">
        <w:rPr>
          <w:sz w:val="16"/>
        </w:rPr>
        <w:t>only adequate response to the human condition of uncertainty ... is the necessity of maintaining a plurality of decision patterns, and an opportunity for them to interact and compete.... Uncertainty demands variety and competition ... and political conflict, and institutions that provide suitable conditions for this conflict.</w:t>
      </w:r>
      <w:r w:rsidR="005F5046" w:rsidRPr="005F5046">
        <w:rPr>
          <w:sz w:val="16"/>
        </w:rPr>
        <w:t xml:space="preserve"> </w:t>
      </w:r>
      <w:r w:rsidRPr="005F5046">
        <w:rPr>
          <w:sz w:val="16"/>
        </w:rPr>
        <w:t xml:space="preserve">In so doing, </w:t>
      </w:r>
      <w:r w:rsidRPr="002461B6">
        <w:rPr>
          <w:rStyle w:val="Emphasis"/>
        </w:rPr>
        <w:t>different theories enable us to look at present and future conditions in differ-</w:t>
      </w:r>
      <w:proofErr w:type="spellStart"/>
      <w:r w:rsidRPr="002461B6">
        <w:rPr>
          <w:rStyle w:val="Emphasis"/>
        </w:rPr>
        <w:t>ent</w:t>
      </w:r>
      <w:proofErr w:type="spellEnd"/>
      <w:r w:rsidRPr="002461B6">
        <w:rPr>
          <w:rStyle w:val="Emphasis"/>
        </w:rPr>
        <w:t xml:space="preserve"> ways</w:t>
      </w:r>
      <w:r w:rsidRPr="002461B6">
        <w:rPr>
          <w:rStyle w:val="StyleUnderline"/>
        </w:rPr>
        <w:t xml:space="preserve"> in all the three major stages of the policy process</w:t>
      </w:r>
      <w:r w:rsidRPr="005F5046">
        <w:rPr>
          <w:sz w:val="16"/>
        </w:rPr>
        <w:t>: problem recognition, the formation and refining of policy proposals, and politics (</w:t>
      </w:r>
      <w:proofErr w:type="spellStart"/>
      <w:r w:rsidRPr="005F5046">
        <w:rPr>
          <w:sz w:val="16"/>
        </w:rPr>
        <w:t>Kingdon</w:t>
      </w:r>
      <w:proofErr w:type="spellEnd"/>
      <w:r w:rsidRPr="005F5046">
        <w:rPr>
          <w:sz w:val="16"/>
        </w:rPr>
        <w:t>, 1993).</w:t>
      </w:r>
      <w:r w:rsidRPr="002461B6">
        <w:rPr>
          <w:rStyle w:val="Emphasis"/>
        </w:rPr>
        <w:t>The existence of a multitude of contradictory theories in the discipline should be seen not as a problem, but rather as a positive and desirable condition</w:t>
      </w:r>
      <w:r w:rsidRPr="005F5046">
        <w:rPr>
          <w:sz w:val="16"/>
        </w:rPr>
        <w:t xml:space="preserve">. </w:t>
      </w:r>
      <w:r w:rsidRPr="002461B6">
        <w:rPr>
          <w:rStyle w:val="StyleUnderline"/>
        </w:rPr>
        <w:t xml:space="preserve">Although pluralism tends to fragment the IR community, only a scientist conception of political knowledge at </w:t>
      </w:r>
      <w:r w:rsidRPr="006E33D5">
        <w:rPr>
          <w:rStyle w:val="StyleUnderline"/>
        </w:rPr>
        <w:t>can regard theoretical diversity as a hindrance to healthy policymaking</w:t>
      </w:r>
      <w:r w:rsidRPr="005F5046">
        <w:rPr>
          <w:sz w:val="16"/>
        </w:rPr>
        <w:t xml:space="preserve">. Thus, </w:t>
      </w:r>
      <w:r w:rsidRPr="006E33D5">
        <w:rPr>
          <w:rStyle w:val="StyleUnderline"/>
        </w:rPr>
        <w:t>a variety of approaches and methods is beneficial not only for intellectual reasons</w:t>
      </w:r>
      <w:r w:rsidRPr="005F5046">
        <w:rPr>
          <w:sz w:val="16"/>
        </w:rPr>
        <w:t xml:space="preserve"> (Mearsheimer and Walt, 2013; Smith, 2004), </w:t>
      </w:r>
      <w:r w:rsidRPr="006E33D5">
        <w:rPr>
          <w:rStyle w:val="StyleUnderline"/>
        </w:rPr>
        <w:t>but for political reasons as well. Indeed, ‘critical debate is the sole adequate procedure in view of the fundamental limitations on our knowledge’</w:t>
      </w:r>
      <w:r w:rsidRPr="005F5046">
        <w:rPr>
          <w:sz w:val="16"/>
        </w:rPr>
        <w:t xml:space="preserve"> (</w:t>
      </w:r>
      <w:proofErr w:type="spellStart"/>
      <w:r w:rsidRPr="005F5046">
        <w:rPr>
          <w:sz w:val="16"/>
        </w:rPr>
        <w:t>Dahrendorf</w:t>
      </w:r>
      <w:proofErr w:type="spellEnd"/>
      <w:r w:rsidRPr="005F5046">
        <w:rPr>
          <w:sz w:val="16"/>
        </w:rPr>
        <w:t>, 1968: 251).</w:t>
      </w:r>
    </w:p>
    <w:p w14:paraId="3BAD627C" w14:textId="77777777" w:rsidR="00912FAF" w:rsidRPr="00912FAF" w:rsidRDefault="00912FAF" w:rsidP="00912FAF"/>
    <w:p w14:paraId="0370512C" w14:textId="77777777" w:rsidR="005A4DCF" w:rsidRPr="007918AF" w:rsidRDefault="005A4DCF" w:rsidP="005A4DCF">
      <w:pPr>
        <w:pStyle w:val="Heading4"/>
        <w:rPr>
          <w:rStyle w:val="Style13ptBold"/>
          <w:b/>
          <w:bCs w:val="0"/>
        </w:rPr>
      </w:pPr>
      <w:r w:rsidRPr="007918AF">
        <w:rPr>
          <w:rStyle w:val="Style13ptBold"/>
          <w:b/>
          <w:bCs w:val="0"/>
        </w:rPr>
        <w:t>Combination of theories key to avoid dogmatism – allows best pursuit of better IR theory</w:t>
      </w:r>
    </w:p>
    <w:p w14:paraId="5A878C53" w14:textId="3F0610E3" w:rsidR="005A4DCF" w:rsidRPr="005A4DCF" w:rsidRDefault="005A4DCF" w:rsidP="005A4DCF">
      <w:pPr>
        <w:rPr>
          <w:b/>
          <w:bCs/>
          <w:sz w:val="26"/>
        </w:rPr>
      </w:pPr>
      <w:r>
        <w:rPr>
          <w:rStyle w:val="Style13ptBold"/>
        </w:rPr>
        <w:t>Mearsheimer 2013</w:t>
      </w:r>
      <w:r>
        <w:rPr>
          <w:rStyle w:val="Style13ptBold"/>
        </w:rPr>
        <w:t xml:space="preserve"> </w:t>
      </w:r>
      <w:r w:rsidRPr="005A4DCF">
        <w:rPr>
          <w:rStyle w:val="Style13ptBold"/>
          <w:b w:val="0"/>
          <w:bCs w:val="0"/>
        </w:rPr>
        <w:t>[</w:t>
      </w:r>
      <w:r>
        <w:t xml:space="preserve">John J. and Stephen M., </w:t>
      </w:r>
      <w:r>
        <w:t xml:space="preserve">University of Chicago, and Walt, Harvard University, </w:t>
      </w:r>
      <w:r w:rsidR="005F5046">
        <w:t>“</w:t>
      </w:r>
      <w:r w:rsidRPr="00CC0233">
        <w:t>Leaving theory behind: Why simplistic hypothesis testing is bad for International Relations</w:t>
      </w:r>
      <w:r>
        <w:t xml:space="preserve">,” European Journal of International Relations, 2013, </w:t>
      </w:r>
      <w:hyperlink r:id="rId6" w:history="1">
        <w:r w:rsidRPr="003B4077">
          <w:rPr>
            <w:rStyle w:val="Hyperlink"/>
          </w:rPr>
          <w:t>https://mearsheimer.uchicago.edu/pdfs/Leaving%20Theory%20Behind%20EJIR.pdf</w:t>
        </w:r>
      </w:hyperlink>
      <w:r>
        <w:t xml:space="preserve"> accessed 7/14/19 GDI-JEM</w:t>
      </w:r>
      <w:r>
        <w:t>]</w:t>
      </w:r>
    </w:p>
    <w:p w14:paraId="517116E1" w14:textId="626E3FB8" w:rsidR="005A4DCF" w:rsidRDefault="005A4DCF" w:rsidP="005A4DCF">
      <w:pPr>
        <w:rPr>
          <w:rStyle w:val="StyleUnderline"/>
        </w:rPr>
      </w:pPr>
      <w:r w:rsidRPr="00CC0233">
        <w:rPr>
          <w:rStyle w:val="StyleUnderline"/>
        </w:rPr>
        <w:t>The study of IR should be approached with humility. There is no single theory that makes understanding world politics easy, no magic methodological bullet that yields robust results without effort,</w:t>
      </w:r>
      <w:r w:rsidRPr="005F5046">
        <w:rPr>
          <w:sz w:val="16"/>
        </w:rPr>
        <w:t xml:space="preserve"> and no search engine that provides mountains of useful and </w:t>
      </w:r>
      <w:proofErr w:type="spellStart"/>
      <w:r w:rsidRPr="005F5046">
        <w:rPr>
          <w:sz w:val="16"/>
        </w:rPr>
        <w:t>relia-ble</w:t>
      </w:r>
      <w:proofErr w:type="spellEnd"/>
      <w:r w:rsidRPr="005F5046">
        <w:rPr>
          <w:sz w:val="16"/>
        </w:rPr>
        <w:t xml:space="preserve"> data on every question that interests us. </w:t>
      </w:r>
      <w:r w:rsidRPr="00CC0233">
        <w:rPr>
          <w:rStyle w:val="Emphasis"/>
        </w:rPr>
        <w:t>We therefore favor a diverse intellectual community where different theories and research traditions coexist</w:t>
      </w:r>
      <w:r w:rsidRPr="005F5046">
        <w:rPr>
          <w:sz w:val="16"/>
        </w:rPr>
        <w:t xml:space="preserve">. Given how little we know, and how little we know about how to learn more, </w:t>
      </w:r>
      <w:r w:rsidRPr="00CC0233">
        <w:rPr>
          <w:rStyle w:val="StyleUnderline"/>
        </w:rPr>
        <w:t xml:space="preserve">overinvesting in any </w:t>
      </w:r>
      <w:proofErr w:type="gramStart"/>
      <w:r w:rsidRPr="00CC0233">
        <w:rPr>
          <w:rStyle w:val="StyleUnderline"/>
        </w:rPr>
        <w:t>particular approach</w:t>
      </w:r>
      <w:proofErr w:type="gramEnd"/>
      <w:r w:rsidRPr="00CC0233">
        <w:rPr>
          <w:rStyle w:val="StyleUnderline"/>
        </w:rPr>
        <w:t xml:space="preserve"> seems unwise. </w:t>
      </w:r>
      <w:r w:rsidRPr="005F5046">
        <w:rPr>
          <w:sz w:val="16"/>
        </w:rPr>
        <w:t xml:space="preserve">As </w:t>
      </w:r>
      <w:proofErr w:type="spellStart"/>
      <w:r w:rsidRPr="005F5046">
        <w:rPr>
          <w:sz w:val="16"/>
        </w:rPr>
        <w:t>Schrodt</w:t>
      </w:r>
      <w:proofErr w:type="spellEnd"/>
      <w:r w:rsidRPr="005F5046">
        <w:rPr>
          <w:sz w:val="16"/>
        </w:rPr>
        <w:t xml:space="preserve"> (2006: 336) wisely observes</w:t>
      </w:r>
      <w:r w:rsidRPr="00CC0233">
        <w:rPr>
          <w:rStyle w:val="StyleUnderline"/>
        </w:rPr>
        <w:t>, ‘we need all the help we can get to figure out this whacko world.’</w:t>
      </w:r>
      <w:r>
        <w:rPr>
          <w:rStyle w:val="StyleUnderline"/>
        </w:rPr>
        <w:t xml:space="preserve"> </w:t>
      </w:r>
      <w:r w:rsidRPr="005F5046">
        <w:rPr>
          <w:sz w:val="16"/>
        </w:rPr>
        <w:t>What matters most, however, is whether we create more powerful theories to explain key features of IR</w:t>
      </w:r>
      <w:r w:rsidRPr="007918AF">
        <w:rPr>
          <w:rStyle w:val="StyleUnderline"/>
        </w:rPr>
        <w:t>. Without good theories, we cannot trust our empirical findings, whether quantitative or qualitative in nature. Unless we have theories to make sense of them, we cannot even keep track of all the hypotheses that scholars keep piling up. There are many roads to better theory, but that should be our ultimate destination.</w:t>
      </w:r>
    </w:p>
    <w:p w14:paraId="012ED8C5" w14:textId="77777777" w:rsidR="00482C77" w:rsidRPr="00482C77" w:rsidRDefault="00482C77" w:rsidP="00482C77">
      <w:bookmarkStart w:id="0" w:name="_GoBack"/>
      <w:bookmarkEnd w:id="0"/>
    </w:p>
    <w:p w14:paraId="25DF1F52" w14:textId="77777777" w:rsidR="005B2660" w:rsidRPr="00B8040A" w:rsidRDefault="005B2660" w:rsidP="00B8040A"/>
    <w:sectPr w:rsidR="005B2660" w:rsidRPr="00B80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8147912"/>
    <w:docVar w:name="VerbatimVersion" w:val="5.1"/>
  </w:docVars>
  <w:rsids>
    <w:rsidRoot w:val="00B8040A"/>
    <w:rsid w:val="000139A3"/>
    <w:rsid w:val="00037425"/>
    <w:rsid w:val="00071440"/>
    <w:rsid w:val="00072806"/>
    <w:rsid w:val="00100833"/>
    <w:rsid w:val="00104529"/>
    <w:rsid w:val="00105942"/>
    <w:rsid w:val="00107396"/>
    <w:rsid w:val="00144A4C"/>
    <w:rsid w:val="00176AB0"/>
    <w:rsid w:val="00177B7D"/>
    <w:rsid w:val="0018322D"/>
    <w:rsid w:val="001B5776"/>
    <w:rsid w:val="001E527A"/>
    <w:rsid w:val="001F78CE"/>
    <w:rsid w:val="00200DFA"/>
    <w:rsid w:val="00251FC7"/>
    <w:rsid w:val="002855A7"/>
    <w:rsid w:val="002B146A"/>
    <w:rsid w:val="002B5E17"/>
    <w:rsid w:val="00315690"/>
    <w:rsid w:val="00316B75"/>
    <w:rsid w:val="00325646"/>
    <w:rsid w:val="003460F2"/>
    <w:rsid w:val="0038158C"/>
    <w:rsid w:val="003902BA"/>
    <w:rsid w:val="003A09E2"/>
    <w:rsid w:val="00407037"/>
    <w:rsid w:val="00430669"/>
    <w:rsid w:val="00441E9E"/>
    <w:rsid w:val="004605D6"/>
    <w:rsid w:val="00482C77"/>
    <w:rsid w:val="004C60E8"/>
    <w:rsid w:val="004E3579"/>
    <w:rsid w:val="004E728B"/>
    <w:rsid w:val="004F39E0"/>
    <w:rsid w:val="00537BD5"/>
    <w:rsid w:val="00543718"/>
    <w:rsid w:val="0057268A"/>
    <w:rsid w:val="005A4DCF"/>
    <w:rsid w:val="005B2660"/>
    <w:rsid w:val="005D2912"/>
    <w:rsid w:val="005F5046"/>
    <w:rsid w:val="006065BD"/>
    <w:rsid w:val="00645FA9"/>
    <w:rsid w:val="00647866"/>
    <w:rsid w:val="00665003"/>
    <w:rsid w:val="006A2AD0"/>
    <w:rsid w:val="006C2375"/>
    <w:rsid w:val="006D4ECC"/>
    <w:rsid w:val="00710F3F"/>
    <w:rsid w:val="00722258"/>
    <w:rsid w:val="007243E5"/>
    <w:rsid w:val="00766EA0"/>
    <w:rsid w:val="007A2226"/>
    <w:rsid w:val="007A31C0"/>
    <w:rsid w:val="007F5B66"/>
    <w:rsid w:val="00823A1C"/>
    <w:rsid w:val="00845B9D"/>
    <w:rsid w:val="00860984"/>
    <w:rsid w:val="00875574"/>
    <w:rsid w:val="00897274"/>
    <w:rsid w:val="008B3ECB"/>
    <w:rsid w:val="008B4E85"/>
    <w:rsid w:val="008C1B2E"/>
    <w:rsid w:val="008C7FF8"/>
    <w:rsid w:val="00912FAF"/>
    <w:rsid w:val="0091627E"/>
    <w:rsid w:val="0096561B"/>
    <w:rsid w:val="0097032B"/>
    <w:rsid w:val="009D2EAD"/>
    <w:rsid w:val="009D54B2"/>
    <w:rsid w:val="009E1922"/>
    <w:rsid w:val="009F7ED2"/>
    <w:rsid w:val="00A30131"/>
    <w:rsid w:val="00A37810"/>
    <w:rsid w:val="00A50D6F"/>
    <w:rsid w:val="00A566A0"/>
    <w:rsid w:val="00A56B5E"/>
    <w:rsid w:val="00A66330"/>
    <w:rsid w:val="00A93661"/>
    <w:rsid w:val="00A95652"/>
    <w:rsid w:val="00AC0AB8"/>
    <w:rsid w:val="00B14BE4"/>
    <w:rsid w:val="00B33C6D"/>
    <w:rsid w:val="00B4508F"/>
    <w:rsid w:val="00B55AD5"/>
    <w:rsid w:val="00B8040A"/>
    <w:rsid w:val="00B8057C"/>
    <w:rsid w:val="00BD6238"/>
    <w:rsid w:val="00BF593B"/>
    <w:rsid w:val="00BF773A"/>
    <w:rsid w:val="00BF7E81"/>
    <w:rsid w:val="00C13773"/>
    <w:rsid w:val="00C17CC8"/>
    <w:rsid w:val="00C41E4C"/>
    <w:rsid w:val="00C83417"/>
    <w:rsid w:val="00C9604F"/>
    <w:rsid w:val="00CA19AA"/>
    <w:rsid w:val="00CC5298"/>
    <w:rsid w:val="00CD736E"/>
    <w:rsid w:val="00CD798D"/>
    <w:rsid w:val="00CE161E"/>
    <w:rsid w:val="00CF37AE"/>
    <w:rsid w:val="00CF59A8"/>
    <w:rsid w:val="00D325A9"/>
    <w:rsid w:val="00D36A8A"/>
    <w:rsid w:val="00D53672"/>
    <w:rsid w:val="00D61409"/>
    <w:rsid w:val="00D6691E"/>
    <w:rsid w:val="00D71170"/>
    <w:rsid w:val="00DA1C92"/>
    <w:rsid w:val="00DA25D4"/>
    <w:rsid w:val="00DA6538"/>
    <w:rsid w:val="00DD0B45"/>
    <w:rsid w:val="00E04EAE"/>
    <w:rsid w:val="00E15E75"/>
    <w:rsid w:val="00E5262C"/>
    <w:rsid w:val="00E73664"/>
    <w:rsid w:val="00EC16C2"/>
    <w:rsid w:val="00EC7DC4"/>
    <w:rsid w:val="00ED30CF"/>
    <w:rsid w:val="00F176EF"/>
    <w:rsid w:val="00F45E10"/>
    <w:rsid w:val="00F6364A"/>
    <w:rsid w:val="00F8318C"/>
    <w:rsid w:val="00F9113A"/>
    <w:rsid w:val="00FA37E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D522"/>
  <w15:chartTrackingRefBased/>
  <w15:docId w15:val="{203D6F21-A875-4E31-89BC-A92CE10D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1E9E"/>
    <w:rPr>
      <w:rFonts w:ascii="Calibri" w:hAnsi="Calibri"/>
    </w:rPr>
  </w:style>
  <w:style w:type="paragraph" w:styleId="Heading1">
    <w:name w:val="heading 1"/>
    <w:aliases w:val="Pocket"/>
    <w:basedOn w:val="Normal"/>
    <w:next w:val="Normal"/>
    <w:link w:val="Heading1Char"/>
    <w:qFormat/>
    <w:rsid w:val="00441E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1E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1E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1E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1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E9E"/>
  </w:style>
  <w:style w:type="character" w:customStyle="1" w:styleId="Heading1Char">
    <w:name w:val="Heading 1 Char"/>
    <w:aliases w:val="Pocket Char"/>
    <w:basedOn w:val="DefaultParagraphFont"/>
    <w:link w:val="Heading1"/>
    <w:rsid w:val="00441E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1E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1E9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41E9E"/>
    <w:rPr>
      <w:rFonts w:ascii="Calibri" w:eastAsiaTheme="majorEastAsia" w:hAnsi="Calibri" w:cstheme="majorBidi"/>
      <w:b/>
      <w:iCs/>
      <w:sz w:val="26"/>
    </w:rPr>
  </w:style>
  <w:style w:type="character" w:styleId="Emphasis">
    <w:name w:val="Emphasis"/>
    <w:basedOn w:val="DefaultParagraphFont"/>
    <w:uiPriority w:val="7"/>
    <w:qFormat/>
    <w:rsid w:val="00441E9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41E9E"/>
    <w:rPr>
      <w:b/>
      <w:bCs/>
      <w:sz w:val="26"/>
      <w:u w:val="none"/>
    </w:rPr>
  </w:style>
  <w:style w:type="character" w:customStyle="1" w:styleId="StyleUnderline">
    <w:name w:val="Style Underline"/>
    <w:aliases w:val="Underline"/>
    <w:basedOn w:val="DefaultParagraphFont"/>
    <w:uiPriority w:val="6"/>
    <w:qFormat/>
    <w:rsid w:val="00441E9E"/>
    <w:rPr>
      <w:b w:val="0"/>
      <w:sz w:val="22"/>
      <w:u w:val="single"/>
    </w:rPr>
  </w:style>
  <w:style w:type="character" w:styleId="Hyperlink">
    <w:name w:val="Hyperlink"/>
    <w:basedOn w:val="DefaultParagraphFont"/>
    <w:uiPriority w:val="99"/>
    <w:unhideWhenUsed/>
    <w:rsid w:val="00441E9E"/>
    <w:rPr>
      <w:color w:val="auto"/>
      <w:u w:val="none"/>
    </w:rPr>
  </w:style>
  <w:style w:type="character" w:styleId="FollowedHyperlink">
    <w:name w:val="FollowedHyperlink"/>
    <w:basedOn w:val="DefaultParagraphFont"/>
    <w:uiPriority w:val="99"/>
    <w:semiHidden/>
    <w:unhideWhenUsed/>
    <w:rsid w:val="00441E9E"/>
    <w:rPr>
      <w:color w:val="auto"/>
      <w:u w:val="none"/>
    </w:rPr>
  </w:style>
  <w:style w:type="character" w:styleId="UnresolvedMention">
    <w:name w:val="Unresolved Mention"/>
    <w:basedOn w:val="DefaultParagraphFont"/>
    <w:uiPriority w:val="99"/>
    <w:semiHidden/>
    <w:unhideWhenUsed/>
    <w:rsid w:val="00441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arsheimer.uchicago.edu/pdfs/Leaving%20Theory%20Behind%20EJIR.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4C852-45E4-4EE5-9D16-F9EA65079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6890</Words>
  <Characters>38103</Characters>
  <Application>Microsoft Office Word</Application>
  <DocSecurity>0</DocSecurity>
  <Lines>423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2</cp:revision>
  <dcterms:created xsi:type="dcterms:W3CDTF">2019-07-19T18:47:00Z</dcterms:created>
  <dcterms:modified xsi:type="dcterms:W3CDTF">2019-07-19T18:47:00Z</dcterms:modified>
</cp:coreProperties>
</file>