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951A8" w14:textId="208C595A" w:rsidR="005E68BA" w:rsidRDefault="005E68BA" w:rsidP="005E68BA">
      <w:pPr>
        <w:pStyle w:val="Heading2"/>
      </w:pPr>
      <w:r>
        <w:t>Aff Cards</w:t>
      </w:r>
    </w:p>
    <w:p w14:paraId="6BAA62A7" w14:textId="77777777" w:rsidR="005E68BA" w:rsidRDefault="005E68BA" w:rsidP="005E68BA">
      <w:pPr>
        <w:pStyle w:val="Heading3"/>
      </w:pPr>
      <w:r>
        <w:lastRenderedPageBreak/>
        <w:t>No Link – Discourse doesn’t shape reality</w:t>
      </w:r>
    </w:p>
    <w:p w14:paraId="029797F5" w14:textId="77777777" w:rsidR="005E68BA" w:rsidRDefault="005E68BA" w:rsidP="005E68BA">
      <w:pPr>
        <w:pStyle w:val="Heading4"/>
      </w:pPr>
      <w:r w:rsidRPr="00A06ACA">
        <w:t>Disc</w:t>
      </w:r>
      <w:r>
        <w:t>ourse can’t shape reality – 4 warrants</w:t>
      </w:r>
    </w:p>
    <w:p w14:paraId="0CAD4C14" w14:textId="77777777" w:rsidR="005E68BA" w:rsidRPr="00694366" w:rsidRDefault="005E68BA" w:rsidP="005E68BA">
      <w:proofErr w:type="spellStart"/>
      <w:r w:rsidRPr="00694366">
        <w:rPr>
          <w:rStyle w:val="Style13ptBold"/>
        </w:rPr>
        <w:t>Roskoski</w:t>
      </w:r>
      <w:proofErr w:type="spellEnd"/>
      <w:r w:rsidRPr="00694366">
        <w:rPr>
          <w:rStyle w:val="Style13ptBold"/>
        </w:rPr>
        <w:t xml:space="preserve"> and Peabody 94</w:t>
      </w:r>
      <w:r>
        <w:t xml:space="preserve"> (Matthew, Joe</w:t>
      </w:r>
      <w:r w:rsidRPr="00694366">
        <w:t xml:space="preserve">, Florida State University, “A Linguistic and Philosophical Critique of Language ‘Arguments’”, </w:t>
      </w:r>
      <w:hyperlink r:id="rId6" w:history="1">
        <w:r w:rsidRPr="00694366">
          <w:rPr>
            <w:rStyle w:val="Hyperlink"/>
          </w:rPr>
          <w:t>http://debate.uvm.edu/Library/DebateTheoryLibrary/Roskoski&amp;Peabody-LangCritiques</w:t>
        </w:r>
      </w:hyperlink>
      <w:r w:rsidRPr="00694366">
        <w:t>)</w:t>
      </w:r>
    </w:p>
    <w:p w14:paraId="6F4C45F9" w14:textId="77777777" w:rsidR="005E68BA" w:rsidRPr="0082226E" w:rsidRDefault="005E68BA" w:rsidP="005E68BA">
      <w:pPr>
        <w:rPr>
          <w:rStyle w:val="Style13ptBold"/>
          <w:b w:val="0"/>
          <w:bCs w:val="0"/>
        </w:rPr>
      </w:pPr>
      <w:r w:rsidRPr="00840C34">
        <w:t>Initially, it is important to note that the Sapir-Whorf hypothesis does not intrinsically deserve presumption, although many authors assume its validity without empirical support. The reason it does not deserve presumption is that "</w:t>
      </w:r>
      <w:r w:rsidRPr="00FE2DD2">
        <w:rPr>
          <w:rStyle w:val="StyleUnderline"/>
        </w:rPr>
        <w:t>on a priori grounds one can contest it by asking how, if we are unable to organize our thinking beyond the limits set by our native language, we could ever become aware of those limits" (</w:t>
      </w:r>
      <w:r w:rsidRPr="00840C34">
        <w:t xml:space="preserve">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w:t>
      </w:r>
      <w:proofErr w:type="spellStart"/>
      <w:r w:rsidRPr="00840C34">
        <w:t>Khosroshahi</w:t>
      </w:r>
      <w:proofErr w:type="spellEnd"/>
      <w:r w:rsidRPr="00840C34">
        <w:t xml:space="preserve"> explains: However, the empirical tests of the hypothesis of linguistic relativity have yielded more equivocal results. </w:t>
      </w:r>
      <w:r w:rsidRPr="00FE2DD2">
        <w:rPr>
          <w:rStyle w:val="StyleUnderline"/>
        </w:rPr>
        <w:t>But independently of its empirical status, Whorf's view is quite widely held. In fact, many social movements have attempted reforms of language and have thus taken Whorf's thesis for granted.</w:t>
      </w:r>
      <w:r w:rsidRPr="00840C34">
        <w:t xml:space="preserve"> (</w:t>
      </w:r>
      <w:proofErr w:type="spellStart"/>
      <w:r w:rsidRPr="00840C34">
        <w:t>Khosroshahi</w:t>
      </w:r>
      <w:proofErr w:type="spellEnd"/>
      <w:r w:rsidRPr="00840C34">
        <w:t xml:space="preserve"> 505). One reason for the hypothesis being taken for granted is that </w:t>
      </w:r>
      <w:proofErr w:type="gramStart"/>
      <w:r w:rsidRPr="00FE2DD2">
        <w:rPr>
          <w:rStyle w:val="StyleUnderline"/>
        </w:rPr>
        <w:t>on first glance it</w:t>
      </w:r>
      <w:proofErr w:type="gramEnd"/>
      <w:r w:rsidRPr="00FE2DD2">
        <w:rPr>
          <w:rStyle w:val="StyleUnderline"/>
        </w:rPr>
        <w:t xml:space="preserve"> seems intuitively valid to some</w:t>
      </w:r>
      <w:r w:rsidRPr="00840C34">
        <w:t xml:space="preserve">. However, </w:t>
      </w:r>
      <w:r w:rsidRPr="00FE2DD2">
        <w:rPr>
          <w:rStyle w:val="StyleUnderline"/>
        </w:rPr>
        <w:t>after research is conducted it becomes clear that this intuition is no longer true</w:t>
      </w:r>
      <w:r w:rsidRPr="00840C34">
        <w:t>. Rosch notes that the hypothesis "</w:t>
      </w:r>
      <w:r w:rsidRPr="00FE2DD2">
        <w:rPr>
          <w:rStyle w:val="StyleUnderline"/>
        </w:rPr>
        <w:t xml:space="preserve">not only does not appear to be empirically true in any major respect, but it no longer </w:t>
      </w:r>
      <w:proofErr w:type="gramStart"/>
      <w:r w:rsidRPr="00FE2DD2">
        <w:rPr>
          <w:rStyle w:val="StyleUnderline"/>
        </w:rPr>
        <w:t>even</w:t>
      </w:r>
      <w:proofErr w:type="gramEnd"/>
      <w:r w:rsidRPr="00FE2DD2">
        <w:rPr>
          <w:rStyle w:val="StyleUnderline"/>
        </w:rPr>
        <w:t xml:space="preserve"> seems profoundly and ineffably true</w:t>
      </w:r>
      <w:r w:rsidRPr="00840C34">
        <w:t xml:space="preserve">" (Rosch 276). </w:t>
      </w:r>
      <w:r w:rsidRPr="00FE2DD2">
        <w:rPr>
          <w:rStyle w:val="Emphasis"/>
        </w:rPr>
        <w:t>The implication for language "arguments" is clear: a debater must do more than simply read cards from feminist or critical scholars that say language creates reality.</w:t>
      </w:r>
      <w:r w:rsidRPr="00840C34">
        <w:t xml:space="preserve"> Instead, the debater must support this claim with empirical studies or other forms of scientifically valid research. </w:t>
      </w:r>
      <w:r w:rsidRPr="00FE2DD2">
        <w:rPr>
          <w:rStyle w:val="StyleUnderline"/>
        </w:rPr>
        <w:t>Mere intuition is not enough, and it is our belief that valid empirical studies do not support the hypothesis</w:t>
      </w:r>
      <w:r w:rsidRPr="00840C34">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t>
      </w:r>
      <w:r w:rsidRPr="00FE2DD2">
        <w:rPr>
          <w:rStyle w:val="StyleUnderline"/>
        </w:rPr>
        <w:t>We additionally will offer four reasons the hypothesis is not valid</w:t>
      </w:r>
      <w:r w:rsidRPr="00840C34">
        <w:t xml:space="preserve">. The first reason is that it </w:t>
      </w:r>
      <w:r w:rsidRPr="00FE2DD2">
        <w:rPr>
          <w:rStyle w:val="StyleUnderline"/>
        </w:rPr>
        <w:t>is impossible to generate empirical validation for the hypothesis</w:t>
      </w:r>
      <w:r w:rsidRPr="00840C34">
        <w:t xml:space="preserve">. Because the hypothesis </w:t>
      </w:r>
      <w:r w:rsidRPr="00FE2DD2">
        <w:rPr>
          <w:rStyle w:val="StyleUnderline"/>
        </w:rPr>
        <w:t>is so metaphysical and because it relies so heavily on intuition it is difficult if not impossible to operationalize</w:t>
      </w:r>
      <w:r w:rsidRPr="00840C34">
        <w:t xml:space="preserv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w:t>
      </w:r>
      <w:r w:rsidRPr="00FE2DD2">
        <w:rPr>
          <w:rStyle w:val="StyleUnderline"/>
        </w:rPr>
        <w:t>The independent variable would be the language used by the subject. The dependent variable would be the subject's subjective reality.</w:t>
      </w:r>
      <w:r w:rsidRPr="00840C34">
        <w:t xml:space="preserve"> </w:t>
      </w:r>
      <w:r w:rsidRPr="00FE2DD2">
        <w:rPr>
          <w:rStyle w:val="StyleUnderline"/>
        </w:rPr>
        <w:t>The problem is that the dependent variable can only be measured through self- reporting, which - naturally - entails the use of language.</w:t>
      </w:r>
      <w:r w:rsidRPr="00840C34">
        <w:t xml:space="preserve"> Hence, it is impossible to separate the dependent and independent variables. In other words, </w:t>
      </w:r>
      <w:r w:rsidRPr="00FE2DD2">
        <w:rPr>
          <w:rStyle w:val="Emphasis"/>
        </w:rPr>
        <w:t>we have no way of knowing if the effects on "reality" are actual or merely artifacts of the language being used as a measuring tool</w:t>
      </w:r>
      <w:r w:rsidRPr="00FE2DD2">
        <w:rPr>
          <w:rStyle w:val="StyleUnderline"/>
        </w:rPr>
        <w:t xml:space="preserve">. The second reason that </w:t>
      </w:r>
      <w:r w:rsidRPr="00FE1624">
        <w:t xml:space="preserve">the hypothesis is flawed is that there are problems with the causal relationship it describes. </w:t>
      </w:r>
      <w:r w:rsidRPr="00840C34">
        <w:t xml:space="preserve">Simply put, </w:t>
      </w:r>
      <w:r w:rsidRPr="00FE1624">
        <w:rPr>
          <w:rStyle w:val="StyleUnderline"/>
        </w:rPr>
        <w:t>it is just as plausibl</w:t>
      </w:r>
      <w:r w:rsidRPr="00840C34">
        <w:t xml:space="preserve">e (in fact infinitely more so) </w:t>
      </w:r>
      <w:r w:rsidRPr="00FE1624">
        <w:rPr>
          <w:rStyle w:val="StyleUnderline"/>
        </w:rPr>
        <w:t>that reality shapes language.</w:t>
      </w:r>
      <w:r w:rsidRPr="00840C34">
        <w:t xml:space="preserve"> </w:t>
      </w:r>
      <w:proofErr w:type="gramStart"/>
      <w:r w:rsidRPr="00840C34">
        <w:t>Again</w:t>
      </w:r>
      <w:proofErr w:type="gramEnd"/>
      <w:r w:rsidRPr="00840C34">
        <w:t xml:space="preserve"> we echo the words of Dr. Rosch, who says: {C}</w:t>
      </w:r>
      <w:proofErr w:type="spellStart"/>
      <w:r w:rsidRPr="00840C34">
        <w:t>ovariation</w:t>
      </w:r>
      <w:proofErr w:type="spellEnd"/>
      <w:r w:rsidRPr="00840C34">
        <w:t xml:space="preserve"> does not determine the direction of causality. On the simplest level, cultures are very likely to have names for physical objects which exist in their culture and not to have names for objects outside of their experience. Where television sets </w:t>
      </w:r>
      <w:proofErr w:type="gramStart"/>
      <w:r w:rsidRPr="00840C34">
        <w:t>exists</w:t>
      </w:r>
      <w:proofErr w:type="gramEnd"/>
      <w:r w:rsidRPr="00840C34">
        <w:t xml:space="preserve">, there are words to refer to them. </w:t>
      </w:r>
      <w:r w:rsidRPr="00840C34">
        <w:lastRenderedPageBreak/>
        <w:t xml:space="preserve">However, it would be difficult to argue that the objects are caused by the words. The same reasoning probably holds in the case of institutions and other, more abstract, entities and their names. (Rosch 264). The color studies reported by Cole &amp; Means tend to support this claim (Cole &amp; Means 75). Even in the </w:t>
      </w:r>
      <w:proofErr w:type="gramStart"/>
      <w:r w:rsidRPr="00840C34">
        <w:t>best case</w:t>
      </w:r>
      <w:proofErr w:type="gramEnd"/>
      <w:r w:rsidRPr="00840C34">
        <w:t xml:space="preserve"> scenario for the </w:t>
      </w:r>
      <w:proofErr w:type="spellStart"/>
      <w:r w:rsidRPr="00840C34">
        <w:t>Whorfians</w:t>
      </w:r>
      <w:proofErr w:type="spellEnd"/>
      <w:r w:rsidRPr="00840C34">
        <w:t xml:space="preserve">,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w:t>
      </w:r>
      <w:r w:rsidRPr="00FE1624">
        <w:rPr>
          <w:rStyle w:val="StyleUnderline"/>
        </w:rPr>
        <w:t>The third objection is that the hypothesis self- implodes</w:t>
      </w:r>
      <w:r w:rsidRPr="00FE1624">
        <w:rPr>
          <w:rStyle w:val="Emphasis"/>
        </w:rPr>
        <w:t>. If language creates reality, then different cultures with different languages would have different realities</w:t>
      </w:r>
      <w:r w:rsidRPr="00840C34">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w:t>
      </w:r>
      <w:proofErr w:type="gramStart"/>
      <w:r w:rsidRPr="00840C34">
        <w:t>156).</w:t>
      </w:r>
      <w:proofErr w:type="gramEnd"/>
      <w:r w:rsidRPr="00840C34">
        <w:t xml:space="preserve"> The fourth and final objection is that the hypothesis cannot account for single words with multiple meanings. For example, as Takano notes, the word "bank" has multiple meanings (Takano 149). If language truly created </w:t>
      </w:r>
      <w:proofErr w:type="gramStart"/>
      <w:r w:rsidRPr="00840C34">
        <w:t>reality</w:t>
      </w:r>
      <w:proofErr w:type="gramEnd"/>
      <w:r w:rsidRPr="00840C34">
        <w:t xml:space="preserve"> then this would not be possible.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 </w:t>
      </w:r>
    </w:p>
    <w:p w14:paraId="434C8CA0" w14:textId="5C2566D2" w:rsidR="005E68BA" w:rsidRDefault="005E68BA" w:rsidP="005E68BA"/>
    <w:p w14:paraId="21E65D48" w14:textId="35C1C95B" w:rsidR="005E68BA" w:rsidRDefault="005E68BA" w:rsidP="005E68BA">
      <w:pPr>
        <w:pStyle w:val="Heading3"/>
      </w:pPr>
      <w:bookmarkStart w:id="0" w:name="_GoBack"/>
      <w:bookmarkEnd w:id="0"/>
      <w:r>
        <w:lastRenderedPageBreak/>
        <w:t>Perm – Terrorism</w:t>
      </w:r>
    </w:p>
    <w:p w14:paraId="66567C33" w14:textId="77777777" w:rsidR="005E68BA" w:rsidRDefault="005E68BA" w:rsidP="005E68BA">
      <w:pPr>
        <w:pStyle w:val="Heading4"/>
      </w:pPr>
      <w:r>
        <w:t>Even their critique cannot escape the power and influence of the state – perm is the best way to apply the removed academia of the K to policy action</w:t>
      </w:r>
    </w:p>
    <w:p w14:paraId="1EE7B00F" w14:textId="77777777" w:rsidR="005E68BA" w:rsidRPr="00C434C5" w:rsidRDefault="005E68BA" w:rsidP="005E68BA">
      <w:pPr>
        <w:rPr>
          <w:rStyle w:val="Style13ptBold"/>
        </w:rPr>
      </w:pPr>
      <w:r w:rsidRPr="00C434C5">
        <w:rPr>
          <w:rStyle w:val="Style13ptBold"/>
        </w:rPr>
        <w:t xml:space="preserve">Smyth et al. 9 </w:t>
      </w:r>
      <w:r w:rsidRPr="00C434C5">
        <w:rPr>
          <w:rStyle w:val="Style13ptBold"/>
          <w:b w:val="0"/>
          <w:sz w:val="16"/>
          <w:szCs w:val="16"/>
        </w:rPr>
        <w:t>[Marie Breen Smyth, Chair of International Politics at University of Surrey; Jeroen Gunning, Reader in Middle East Politics, and Conflict Studies at Durham University’s School of Government and International Affairs; Richard Jackson, Deputy Director at the National Centre for Peace and Conflict Studies; “Critical Terrorism Studies: A New Research Agenda”</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220-221</w:t>
      </w:r>
      <w:r w:rsidRPr="00C434C5">
        <w:rPr>
          <w:rStyle w:val="Style13ptBold"/>
          <w:b w:val="0"/>
          <w:sz w:val="16"/>
          <w:szCs w:val="16"/>
        </w:rPr>
        <w:t>; Routledge; 2009.]</w:t>
      </w:r>
    </w:p>
    <w:p w14:paraId="3959E8C5" w14:textId="77777777" w:rsidR="005E68BA" w:rsidRDefault="005E68BA" w:rsidP="005E68BA">
      <w:pPr>
        <w:rPr>
          <w:sz w:val="16"/>
        </w:rPr>
      </w:pPr>
      <w:r w:rsidRPr="00C434C5">
        <w:rPr>
          <w:sz w:val="16"/>
        </w:rPr>
        <w:t xml:space="preserve">It also has a tendency, dissenters again notwithstanding, to reproduce a number of dominant myths about, among other things, the role of religion in causing terrorism, the threat of the ‘new terrorism’ and WMD terrorism, the non-involvement of Western states in the practice of terrorism, and the efﬁcacy of force-based counterterrorism. </w:t>
      </w:r>
      <w:r w:rsidRPr="00C6196E">
        <w:rPr>
          <w:rStyle w:val="StyleUnderline"/>
        </w:rPr>
        <w:t xml:space="preserve">This widely accepted terrorism ‘knowledge’ provides </w:t>
      </w:r>
      <w:r w:rsidRPr="00C6196E">
        <w:rPr>
          <w:rStyle w:val="Emphasis"/>
        </w:rPr>
        <w:t>a very poor foundation for further research, policymaking, and public debate</w:t>
      </w:r>
      <w:r w:rsidRPr="00C434C5">
        <w:rPr>
          <w:sz w:val="16"/>
        </w:rPr>
        <w:t xml:space="preserve">, and functions ideologically to reify state power and promote </w:t>
      </w:r>
      <w:proofErr w:type="gramStart"/>
      <w:r w:rsidRPr="00C434C5">
        <w:rPr>
          <w:sz w:val="16"/>
        </w:rPr>
        <w:t>particular partisan</w:t>
      </w:r>
      <w:proofErr w:type="gramEnd"/>
      <w:r w:rsidRPr="00C434C5">
        <w:rPr>
          <w:sz w:val="16"/>
        </w:rPr>
        <w:t xml:space="preserve"> projects. In our view, many of the </w:t>
      </w:r>
      <w:r w:rsidRPr="00C6196E">
        <w:rPr>
          <w:rStyle w:val="StyleUnderline"/>
        </w:rPr>
        <w:t>problems described thus far are linked to a general failure by many scholars to adopt a critically reﬂexive attitude which acknowledges the ontological instability of the terrorism label</w:t>
      </w:r>
      <w:r w:rsidRPr="00C434C5">
        <w:rPr>
          <w:sz w:val="16"/>
        </w:rPr>
        <w:t xml:space="preserve">, remains </w:t>
      </w:r>
      <w:proofErr w:type="spellStart"/>
      <w:r w:rsidRPr="00C434C5">
        <w:rPr>
          <w:sz w:val="16"/>
        </w:rPr>
        <w:t>cognisant</w:t>
      </w:r>
      <w:proofErr w:type="spellEnd"/>
      <w:r w:rsidRPr="00C434C5">
        <w:rPr>
          <w:sz w:val="16"/>
        </w:rPr>
        <w:t xml:space="preserve"> of the effects of the cultural context on knowledge production in social science, is sensitive to the politics and consequences of labelling, and </w:t>
      </w:r>
      <w:proofErr w:type="spellStart"/>
      <w:r w:rsidRPr="00C434C5">
        <w:rPr>
          <w:sz w:val="16"/>
        </w:rPr>
        <w:t>recognises</w:t>
      </w:r>
      <w:proofErr w:type="spellEnd"/>
      <w:r w:rsidRPr="00C434C5">
        <w:rPr>
          <w:sz w:val="16"/>
        </w:rPr>
        <w:t xml:space="preserve"> the ethical challenges and consequences of conducting research on political violence. Instead, we ﬁnd that the </w:t>
      </w:r>
      <w:r w:rsidRPr="00C6196E">
        <w:rPr>
          <w:rStyle w:val="StyleUnderline"/>
        </w:rPr>
        <w:t xml:space="preserve">orthodox terrorism studies literature, particularly its international relations-based sections, tends to treat ‘terrorism’ as </w:t>
      </w:r>
      <w:r w:rsidRPr="00C434C5">
        <w:rPr>
          <w:sz w:val="16"/>
        </w:rPr>
        <w:t xml:space="preserve">an </w:t>
      </w:r>
      <w:r w:rsidRPr="00C6196E">
        <w:rPr>
          <w:rStyle w:val="StyleUnderline"/>
        </w:rPr>
        <w:t>objective</w:t>
      </w:r>
      <w:r w:rsidRPr="00C434C5">
        <w:rPr>
          <w:sz w:val="16"/>
        </w:rPr>
        <w:t xml:space="preserve">, ontologically stable phenomenon </w:t>
      </w:r>
      <w:r w:rsidRPr="00C6196E">
        <w:rPr>
          <w:rStyle w:val="StyleUnderline"/>
        </w:rPr>
        <w:t>that can be studied in a politically disinterested and unproblematic manner</w:t>
      </w:r>
      <w:r w:rsidRPr="00C434C5">
        <w:rPr>
          <w:sz w:val="16"/>
        </w:rPr>
        <w:t xml:space="preserve">. In part, this </w:t>
      </w:r>
      <w:proofErr w:type="gramStart"/>
      <w:r w:rsidRPr="00C434C5">
        <w:rPr>
          <w:sz w:val="16"/>
        </w:rPr>
        <w:t>particular criticism</w:t>
      </w:r>
      <w:proofErr w:type="gramEnd"/>
      <w:r w:rsidRPr="00C434C5">
        <w:rPr>
          <w:sz w:val="16"/>
        </w:rPr>
        <w:t xml:space="preserve"> is rooted in an alternative ontology which </w:t>
      </w:r>
      <w:proofErr w:type="spellStart"/>
      <w:r w:rsidRPr="00C434C5">
        <w:rPr>
          <w:sz w:val="16"/>
        </w:rPr>
        <w:t>recognises</w:t>
      </w:r>
      <w:proofErr w:type="spellEnd"/>
      <w:r w:rsidRPr="00C434C5">
        <w:rPr>
          <w:sz w:val="16"/>
        </w:rPr>
        <w:t xml:space="preserve"> the way in which </w:t>
      </w:r>
      <w:r w:rsidRPr="00C6196E">
        <w:rPr>
          <w:rStyle w:val="StyleUnderline"/>
        </w:rPr>
        <w:t xml:space="preserve">‘terrorism’ is constructed as a subject through a series of identiﬁable discursive practices which also </w:t>
      </w:r>
      <w:proofErr w:type="spellStart"/>
      <w:r w:rsidRPr="00C6196E">
        <w:rPr>
          <w:rStyle w:val="StyleUnderline"/>
        </w:rPr>
        <w:t>naturalise</w:t>
      </w:r>
      <w:proofErr w:type="spellEnd"/>
      <w:r w:rsidRPr="00C6196E">
        <w:rPr>
          <w:rStyle w:val="StyleUnderline"/>
        </w:rPr>
        <w:t xml:space="preserve"> particular responses to it</w:t>
      </w:r>
      <w:r w:rsidRPr="00C434C5">
        <w:rPr>
          <w:sz w:val="16"/>
        </w:rPr>
        <w:t xml:space="preserve">. But, even if one adopts a positivist ontology, </w:t>
      </w:r>
      <w:r w:rsidRPr="00C6196E">
        <w:rPr>
          <w:rStyle w:val="StyleUnderline"/>
        </w:rPr>
        <w:t>there is</w:t>
      </w:r>
      <w:r w:rsidRPr="00C434C5">
        <w:rPr>
          <w:sz w:val="16"/>
        </w:rPr>
        <w:t xml:space="preserve"> nonetheless </w:t>
      </w:r>
      <w:r w:rsidRPr="00C6196E">
        <w:rPr>
          <w:rStyle w:val="StyleUnderline"/>
        </w:rPr>
        <w:t>a frequent failure of many scholars to</w:t>
      </w:r>
      <w:r w:rsidRPr="00C434C5">
        <w:rPr>
          <w:sz w:val="16"/>
        </w:rPr>
        <w:t xml:space="preserve"> appreciate and </w:t>
      </w:r>
      <w:r w:rsidRPr="00C6196E">
        <w:rPr>
          <w:rStyle w:val="StyleUnderline"/>
        </w:rPr>
        <w:t>reﬂect</w:t>
      </w:r>
      <w:r w:rsidRPr="00C434C5">
        <w:rPr>
          <w:sz w:val="16"/>
        </w:rPr>
        <w:t xml:space="preserve"> up</w:t>
      </w:r>
      <w:r w:rsidRPr="00C6196E">
        <w:rPr>
          <w:rStyle w:val="StyleUnderline"/>
        </w:rPr>
        <w:t xml:space="preserve">on </w:t>
      </w:r>
      <w:r w:rsidRPr="00C434C5">
        <w:rPr>
          <w:sz w:val="16"/>
        </w:rPr>
        <w:t xml:space="preserve">the observable ‘politics of naming’ with regard to ‘terrorism’, and an insufﬁcient appreciation of the </w:t>
      </w:r>
      <w:r w:rsidRPr="00D313C0">
        <w:rPr>
          <w:rStyle w:val="Emphasis"/>
        </w:rPr>
        <w:t>‘real-world’ consequences</w:t>
      </w:r>
      <w:r w:rsidRPr="00C6196E">
        <w:rPr>
          <w:rStyle w:val="StyleUnderline"/>
        </w:rPr>
        <w:t xml:space="preserve"> of different modes of representation and deﬁnition. A related weakness</w:t>
      </w:r>
      <w:r w:rsidRPr="00C434C5">
        <w:rPr>
          <w:sz w:val="16"/>
        </w:rPr>
        <w:t xml:space="preserve"> in the ﬁeld </w:t>
      </w:r>
      <w:r w:rsidRPr="00C6196E">
        <w:rPr>
          <w:rStyle w:val="StyleUnderline"/>
        </w:rPr>
        <w:t>is</w:t>
      </w:r>
      <w:r w:rsidRPr="00C434C5">
        <w:rPr>
          <w:sz w:val="16"/>
        </w:rPr>
        <w:t xml:space="preserve"> the dominance of what can be called </w:t>
      </w:r>
      <w:r w:rsidRPr="00C6196E">
        <w:rPr>
          <w:rStyle w:val="StyleUnderline"/>
        </w:rPr>
        <w:t>‘</w:t>
      </w:r>
      <w:proofErr w:type="spellStart"/>
      <w:r w:rsidRPr="00C6196E">
        <w:rPr>
          <w:rStyle w:val="StyleUnderline"/>
        </w:rPr>
        <w:t>problemsolving</w:t>
      </w:r>
      <w:proofErr w:type="spellEnd"/>
      <w:r w:rsidRPr="00C6196E">
        <w:rPr>
          <w:rStyle w:val="StyleUnderline"/>
        </w:rPr>
        <w:t>’ approaches to the study of political terror which fail to interrogate the role of the status quo and existing power structures</w:t>
      </w:r>
      <w:r w:rsidRPr="00C434C5">
        <w:rPr>
          <w:sz w:val="16"/>
        </w:rPr>
        <w:t xml:space="preserve"> in perpetuating insecurity and violence (Gunning, 2007a). The adoption of </w:t>
      </w:r>
      <w:r w:rsidRPr="00C6196E">
        <w:rPr>
          <w:rStyle w:val="StyleUnderline"/>
        </w:rPr>
        <w:t>a problem-solving approach is in part a consequence of the frequently compromising ethical-political relationships between states and their security agencies</w:t>
      </w:r>
      <w:r w:rsidRPr="00C434C5">
        <w:rPr>
          <w:sz w:val="16"/>
        </w:rPr>
        <w:t>, and some scholars and analysts engaged in the study of non-state terrorism (</w:t>
      </w:r>
      <w:proofErr w:type="spellStart"/>
      <w:r w:rsidRPr="00C434C5">
        <w:rPr>
          <w:sz w:val="16"/>
        </w:rPr>
        <w:t>Ranstorp</w:t>
      </w:r>
      <w:proofErr w:type="spellEnd"/>
      <w:r w:rsidRPr="00C434C5">
        <w:rPr>
          <w:sz w:val="16"/>
        </w:rPr>
        <w:t xml:space="preserve">, Raphael, this volume). This is the so-called ‘embedded experts’ or ‘organic intellectuals’ problem, whereby the </w:t>
      </w:r>
      <w:r w:rsidRPr="00C6196E">
        <w:rPr>
          <w:rStyle w:val="StyleUnderline"/>
        </w:rPr>
        <w:t>leading scholars constitute an inﬂuential epistemic community directly linked to state power</w:t>
      </w:r>
      <w:r w:rsidRPr="00C434C5">
        <w:rPr>
          <w:sz w:val="16"/>
        </w:rPr>
        <w:t xml:space="preserve"> (see Burnett and Whyte, 2005; Jackson, 2007f). The dominance of this intellectual network is in part maintained through the operation of closed, static, and </w:t>
      </w:r>
      <w:proofErr w:type="spellStart"/>
      <w:r w:rsidRPr="00C434C5">
        <w:rPr>
          <w:sz w:val="16"/>
        </w:rPr>
        <w:t>selfreferential</w:t>
      </w:r>
      <w:proofErr w:type="spellEnd"/>
      <w:r w:rsidRPr="00C434C5">
        <w:rPr>
          <w:sz w:val="16"/>
        </w:rPr>
        <w:t xml:space="preserve"> systems of knowledge production which function to exclude scholars with dissenting or counter-hegemonic views (see Reid, 1993). But it is also a function of the dominance of state-centric, realist perspectives among the leading scholars within the ﬁeld. A particularly deleterious consequence of adopting a problem-solving perspective is the </w:t>
      </w:r>
      <w:proofErr w:type="spellStart"/>
      <w:r w:rsidRPr="00C434C5">
        <w:rPr>
          <w:sz w:val="16"/>
        </w:rPr>
        <w:t>prioritisation</w:t>
      </w:r>
      <w:proofErr w:type="spellEnd"/>
      <w:r w:rsidRPr="00C434C5">
        <w:rPr>
          <w:sz w:val="16"/>
        </w:rPr>
        <w:t xml:space="preserve"> of topics tailored to the demands of policymakers for practically useful knowledge in the ﬁght against terrorism, or, the </w:t>
      </w:r>
      <w:proofErr w:type="spellStart"/>
      <w:r w:rsidRPr="00C434C5">
        <w:rPr>
          <w:sz w:val="16"/>
        </w:rPr>
        <w:t>securitisation</w:t>
      </w:r>
      <w:proofErr w:type="spellEnd"/>
      <w:r w:rsidRPr="00C434C5">
        <w:rPr>
          <w:sz w:val="16"/>
        </w:rPr>
        <w:t xml:space="preserve"> of research.</w:t>
      </w:r>
    </w:p>
    <w:p w14:paraId="7462324B" w14:textId="77777777" w:rsidR="005E68BA" w:rsidRPr="005E68BA" w:rsidRDefault="005E68BA" w:rsidP="005E68BA"/>
    <w:p w14:paraId="3CA2206C" w14:textId="7D3BCA35" w:rsidR="005E68BA" w:rsidRDefault="005E68BA" w:rsidP="005E68BA">
      <w:pPr>
        <w:pStyle w:val="Heading2"/>
      </w:pPr>
      <w:r>
        <w:lastRenderedPageBreak/>
        <w:t>Neg Cards</w:t>
      </w:r>
    </w:p>
    <w:p w14:paraId="4EE972B1" w14:textId="72F85A03" w:rsidR="00D92E9F" w:rsidRPr="00D92E9F" w:rsidRDefault="00D92E9F" w:rsidP="00D92E9F">
      <w:pPr>
        <w:pStyle w:val="Heading4"/>
      </w:pPr>
      <w:r w:rsidRPr="00D92E9F">
        <w:t>Security, when conceived as a battle of external factors and with a hyper focus on the military, is useless and always fails to address causes of regional conflict rooted in personal insecurity</w:t>
      </w:r>
    </w:p>
    <w:p w14:paraId="6CE1E171" w14:textId="77777777" w:rsidR="00D92E9F" w:rsidRPr="00D92E9F" w:rsidRDefault="00D92E9F" w:rsidP="00D92E9F">
      <w:bookmarkStart w:id="1" w:name="_Toc141639065"/>
      <w:proofErr w:type="spellStart"/>
      <w:r w:rsidRPr="00D92E9F">
        <w:rPr>
          <w:rStyle w:val="Style13ptBold"/>
        </w:rPr>
        <w:t>Bilgin</w:t>
      </w:r>
      <w:proofErr w:type="spellEnd"/>
      <w:r w:rsidRPr="00D92E9F">
        <w:rPr>
          <w:rStyle w:val="Style13ptBold"/>
        </w:rPr>
        <w:t xml:space="preserve">, </w:t>
      </w:r>
      <w:proofErr w:type="spellStart"/>
      <w:r w:rsidRPr="00D92E9F">
        <w:rPr>
          <w:rStyle w:val="Style13ptBold"/>
        </w:rPr>
        <w:t>Bilkent</w:t>
      </w:r>
      <w:proofErr w:type="spellEnd"/>
      <w:r w:rsidRPr="00D92E9F">
        <w:rPr>
          <w:rStyle w:val="Style13ptBold"/>
        </w:rPr>
        <w:t xml:space="preserve"> University International Relations Professor, 5</w:t>
      </w:r>
      <w:r w:rsidRPr="00D92E9F">
        <w:t xml:space="preserve"> (Pinar, Regional Security in the Middle East, p. 125)</w:t>
      </w:r>
      <w:bookmarkEnd w:id="1"/>
    </w:p>
    <w:p w14:paraId="30929088" w14:textId="77777777" w:rsidR="00D92E9F" w:rsidRPr="00D92E9F" w:rsidRDefault="00D92E9F" w:rsidP="00D92E9F">
      <w:r w:rsidRPr="00D92E9F">
        <w:t xml:space="preserve">Throughout the twentieth century, </w:t>
      </w:r>
      <w:r w:rsidRPr="00D92E9F">
        <w:rPr>
          <w:rStyle w:val="StyleUnderline"/>
        </w:rPr>
        <w:t xml:space="preserve">the Middle East remained as an arena of incessant conflict attracting global attention. As the recent developments in Israel/Palestine and the US-led war on Iraq have showed, it is difficult to exaggerate the </w:t>
      </w:r>
      <w:proofErr w:type="spellStart"/>
      <w:r w:rsidRPr="00D92E9F">
        <w:rPr>
          <w:rStyle w:val="StyleUnderline"/>
        </w:rPr>
        <w:t>signifcance</w:t>
      </w:r>
      <w:proofErr w:type="spellEnd"/>
      <w:r w:rsidRPr="00D92E9F">
        <w:rPr>
          <w:rStyle w:val="StyleUnderline"/>
        </w:rPr>
        <w:t xml:space="preserve"> of Middle Eastern insecurities for world politics.</w:t>
      </w:r>
      <w:r w:rsidRPr="00D92E9F">
        <w:t xml:space="preserve"> By adopting a </w:t>
      </w:r>
      <w:r w:rsidRPr="00D92E9F">
        <w:rPr>
          <w:rStyle w:val="StyleUnderline"/>
        </w:rPr>
        <w:t>critical approach to re-think security in the Middle East, this study addresses an issue that continues to attract the attention of students of world politics</w:t>
      </w:r>
      <w:r w:rsidRPr="00D92E9F">
        <w:t xml:space="preserve">. Focusing on the </w:t>
      </w:r>
      <w:r w:rsidRPr="00D92E9F">
        <w:rPr>
          <w:rStyle w:val="StyleUnderline"/>
        </w:rPr>
        <w:t>constitutive relationship between (inventing) regions, and (conceptions and practices of) security,</w:t>
      </w:r>
      <w:r w:rsidRPr="00D92E9F">
        <w:t xml:space="preserve"> the study argues that </w:t>
      </w:r>
      <w:r w:rsidRPr="00D92E9F">
        <w:rPr>
          <w:rStyle w:val="StyleUnderline"/>
        </w:rPr>
        <w:t>the current state of 'regional security' - often a euphemism for regional insecurities - has its roots in practices that have throughout history been shaped by its various representations - the geopolitical inventions of security.</w:t>
      </w:r>
      <w:r w:rsidRPr="00D92E9F">
        <w:t xml:space="preserve"> In doing this, it lays out the contours of a framework for thinking differently about regional security in the Middle East. </w:t>
      </w:r>
      <w:r w:rsidRPr="00D92E9F">
        <w:rPr>
          <w:rStyle w:val="StyleUnderline"/>
        </w:rPr>
        <w:t>Prevailing approaches to regional security have had their origins in the security concerns and interests of Western states, mainly the United States.</w:t>
      </w:r>
      <w:r w:rsidRPr="00D92E9F">
        <w:t xml:space="preserve"> The implication of this </w:t>
      </w:r>
      <w:r w:rsidRPr="00D92E9F">
        <w:rPr>
          <w:rStyle w:val="StyleUnderline"/>
        </w:rPr>
        <w:t xml:space="preserve">Western bias in security thinking within the Middle Eastern context has been that much of the thinking done on regional security in the Middle East has been based on Western conceptions of 'security'. </w:t>
      </w:r>
      <w:r w:rsidRPr="00D92E9F">
        <w:t xml:space="preserve">During the Cold War what was meant by </w:t>
      </w:r>
      <w:r w:rsidRPr="00D92E9F">
        <w:rPr>
          <w:rStyle w:val="StyleUnderline"/>
        </w:rPr>
        <w:t xml:space="preserve">'security in the Middle East' was maintaining the security of Western (mostly US) interests in this part of the world and its military </w:t>
      </w:r>
      <w:proofErr w:type="spellStart"/>
      <w:r w:rsidRPr="00D92E9F">
        <w:rPr>
          <w:rStyle w:val="StyleUnderline"/>
        </w:rPr>
        <w:t>defence</w:t>
      </w:r>
      <w:proofErr w:type="spellEnd"/>
      <w:r w:rsidRPr="00D92E9F">
        <w:rPr>
          <w:rStyle w:val="StyleUnderline"/>
        </w:rPr>
        <w:t xml:space="preserve"> against other external actors (such as the Soviet Union that could </w:t>
      </w:r>
      <w:proofErr w:type="spellStart"/>
      <w:r w:rsidRPr="00D92E9F">
        <w:rPr>
          <w:rStyle w:val="StyleUnderline"/>
        </w:rPr>
        <w:t>jeopardise</w:t>
      </w:r>
      <w:proofErr w:type="spellEnd"/>
      <w:r w:rsidRPr="00D92E9F">
        <w:rPr>
          <w:rStyle w:val="StyleUnderline"/>
        </w:rPr>
        <w:t xml:space="preserve"> the regional and/or global status quo).</w:t>
      </w:r>
      <w:r w:rsidRPr="00D92E9F">
        <w:t xml:space="preserve"> Western security interests in the Middle East during the Cold War era could be summed up as the unhindered flow of oil at reasonable prices, the cessation of the Arab-Israeli conflict, the prevention of the emergence of any regional hegemon, and the maintenance of 'friendly' regimes that were sensitive to these concerns. </w:t>
      </w:r>
      <w:r w:rsidRPr="00D92E9F">
        <w:rPr>
          <w:rStyle w:val="StyleUnderline"/>
        </w:rPr>
        <w:t>This</w:t>
      </w:r>
      <w:r w:rsidRPr="00D92E9F">
        <w:t xml:space="preserve"> was (and still </w:t>
      </w:r>
      <w:r w:rsidRPr="00D92E9F">
        <w:rPr>
          <w:rStyle w:val="StyleUnderline"/>
        </w:rPr>
        <w:t>is) a top-down conception of security that was military-focused, directed outwards and privileged the maintenance of stability</w:t>
      </w:r>
      <w:r w:rsidRPr="00D92E9F">
        <w:t xml:space="preserve">. Let us take a brief look at these characteristics. The Cold War approach to regional security in the Middle East was top-down because </w:t>
      </w:r>
      <w:r w:rsidRPr="00D92E9F">
        <w:rPr>
          <w:rStyle w:val="StyleUnderline"/>
        </w:rPr>
        <w:t>threats to security were defined largely from the perspective of external powers rather than regional states or peoples.</w:t>
      </w:r>
      <w:r w:rsidRPr="00D92E9F">
        <w:t xml:space="preserve"> In the eyes of British and US </w:t>
      </w:r>
      <w:proofErr w:type="spellStart"/>
      <w:r w:rsidRPr="00D92E9F">
        <w:t>defence</w:t>
      </w:r>
      <w:proofErr w:type="spellEnd"/>
      <w:r w:rsidRPr="00D92E9F">
        <w:t xml:space="preserve"> planners, </w:t>
      </w:r>
      <w:r w:rsidRPr="00D92E9F">
        <w:rPr>
          <w:rStyle w:val="StyleUnderline"/>
        </w:rPr>
        <w:t>communist infiltration and Soviet intervention constituted the greatest threats to security in the Middle East during the Cold War</w:t>
      </w:r>
      <w:r w:rsidRPr="00D92E9F">
        <w:t xml:space="preserve">. The way to enhance regional security, they argued, was for regional states to </w:t>
      </w:r>
      <w:proofErr w:type="gramStart"/>
      <w:r w:rsidRPr="00D92E9F">
        <w:t>enter into</w:t>
      </w:r>
      <w:proofErr w:type="gramEnd"/>
      <w:r w:rsidRPr="00D92E9F">
        <w:t xml:space="preserve"> alliances with the West. </w:t>
      </w:r>
      <w:r w:rsidRPr="00D92E9F">
        <w:rPr>
          <w:rStyle w:val="StyleUnderline"/>
        </w:rPr>
        <w:t xml:space="preserve">Two security umbrella schemes, the Middle East </w:t>
      </w:r>
      <w:proofErr w:type="spellStart"/>
      <w:r w:rsidRPr="00D92E9F">
        <w:rPr>
          <w:rStyle w:val="StyleUnderline"/>
        </w:rPr>
        <w:t>Defence</w:t>
      </w:r>
      <w:proofErr w:type="spellEnd"/>
      <w:r w:rsidRPr="00D92E9F">
        <w:rPr>
          <w:rStyle w:val="StyleUnderline"/>
        </w:rPr>
        <w:t xml:space="preserve"> </w:t>
      </w:r>
      <w:proofErr w:type="spellStart"/>
      <w:r w:rsidRPr="00D92E9F">
        <w:rPr>
          <w:rStyle w:val="StyleUnderline"/>
        </w:rPr>
        <w:t>Organisation</w:t>
      </w:r>
      <w:proofErr w:type="spellEnd"/>
      <w:r w:rsidRPr="00D92E9F">
        <w:rPr>
          <w:rStyle w:val="StyleUnderline"/>
        </w:rPr>
        <w:t xml:space="preserve"> (1951) and the Baghdad Pact (1955), were designed for this purpose</w:t>
      </w:r>
      <w:r w:rsidRPr="00D92E9F">
        <w:t xml:space="preserve">. Although there were regional states such as Iraq (until the 1958 coup), Iran (until the 1978-79 revolution), Saudi Arabia, Israel and Turkey that shared this perception of security to a certain extent, many Arab policy-makers begged to differ. </w:t>
      </w:r>
      <w:r w:rsidRPr="00D92E9F">
        <w:rPr>
          <w:rStyle w:val="StyleUnderline"/>
        </w:rPr>
        <w:t>Traces of this top-down thinking are still prevalent in the US approach to security in the 'Middle East'. During the 1990s, in following a policy of dual containment US policy-makers presented Iran and Iraq as the main threats to regional security largely due to their military capabilities and the revisionist character of their regimes that were not subservient to US interests</w:t>
      </w:r>
      <w:r w:rsidRPr="00D92E9F">
        <w:t xml:space="preserve">. In the aftermath of the events of September 11 US policy-makers have focused on </w:t>
      </w:r>
      <w:r w:rsidRPr="00D92E9F">
        <w:rPr>
          <w:rStyle w:val="StyleUnderline"/>
        </w:rPr>
        <w:t xml:space="preserve">'terrorism' as a major threat to security in the Middle East and elsewhere. Yet, US policy so far has been one of 'confronting the symptoms rather than the cause' </w:t>
      </w:r>
      <w:r w:rsidRPr="00D92E9F">
        <w:t xml:space="preserve">(Zunes 2002:237) </w:t>
      </w:r>
      <w:r w:rsidRPr="00D92E9F">
        <w:rPr>
          <w:rStyle w:val="StyleUnderline"/>
        </w:rPr>
        <w:t xml:space="preserve">as it </w:t>
      </w:r>
      <w:r w:rsidRPr="00D92E9F">
        <w:rPr>
          <w:rStyle w:val="StyleUnderline"/>
        </w:rPr>
        <w:lastRenderedPageBreak/>
        <w:t>has focused on the military dimension of security (to the neglect of the socio-economic one) and relied on military tools (as with the war on Iraq) in addressing these threats.</w:t>
      </w:r>
      <w:r w:rsidRPr="00D92E9F">
        <w:t xml:space="preserve"> This is not to underestimate the threat posed by weapons of mass destruction or terrorism to global and regional security. Rather, </w:t>
      </w:r>
      <w:r w:rsidRPr="00D92E9F">
        <w:rPr>
          <w:rStyle w:val="StyleUnderline"/>
        </w:rPr>
        <w:t xml:space="preserve">the point is that these top-down perspectives, while revealing certain aspects of regional insecurity at the same time hinder others. </w:t>
      </w:r>
      <w:r w:rsidRPr="00D92E9F">
        <w:t xml:space="preserve">For example, </w:t>
      </w:r>
      <w:r w:rsidRPr="00D92E9F">
        <w:rPr>
          <w:rStyle w:val="StyleUnderline"/>
        </w:rPr>
        <w:t>societal and environmental problems caused by resource scarcity do not only threaten the security of individual human beings but also exacerbate existing conflicts</w:t>
      </w:r>
      <w:r w:rsidRPr="00D92E9F">
        <w:t xml:space="preserve"> (as with the struggle over water resources in Israel/Palestine; see </w:t>
      </w:r>
      <w:proofErr w:type="spellStart"/>
      <w:r w:rsidRPr="00D92E9F">
        <w:t>Sosland</w:t>
      </w:r>
      <w:proofErr w:type="spellEnd"/>
      <w:r w:rsidRPr="00D92E9F">
        <w:t xml:space="preserve"> 2002). Besides, </w:t>
      </w:r>
      <w:r w:rsidRPr="00D92E9F">
        <w:rPr>
          <w:rStyle w:val="StyleUnderline"/>
        </w:rPr>
        <w:t>the lives of women in Kuwait and Saudi Arabia were made insecure not only by the threat caused by Iraq's military capabilities, but also because of the conservative character of their own regimes that restrict women's rights under the cloak of religious tradition</w:t>
      </w:r>
      <w:r w:rsidRPr="00D92E9F">
        <w:t xml:space="preserve">. For, it is </w:t>
      </w:r>
      <w:r w:rsidRPr="00D92E9F">
        <w:rPr>
          <w:rStyle w:val="StyleUnderline"/>
        </w:rPr>
        <w:t xml:space="preserve">women who suffer disproportionately as a result of militarism and the </w:t>
      </w:r>
      <w:proofErr w:type="spellStart"/>
      <w:r w:rsidRPr="00D92E9F">
        <w:rPr>
          <w:rStyle w:val="StyleUnderline"/>
        </w:rPr>
        <w:t>channelling</w:t>
      </w:r>
      <w:proofErr w:type="spellEnd"/>
      <w:r w:rsidRPr="00D92E9F">
        <w:rPr>
          <w:rStyle w:val="StyleUnderline"/>
        </w:rPr>
        <w:t xml:space="preserve"> of valuable resources into </w:t>
      </w:r>
      <w:proofErr w:type="spellStart"/>
      <w:r w:rsidRPr="00D92E9F">
        <w:rPr>
          <w:rStyle w:val="StyleUnderline"/>
        </w:rPr>
        <w:t>defence</w:t>
      </w:r>
      <w:proofErr w:type="spellEnd"/>
      <w:r w:rsidRPr="00D92E9F">
        <w:rPr>
          <w:rStyle w:val="StyleUnderline"/>
        </w:rPr>
        <w:t xml:space="preserve"> budgets instead of education and health </w:t>
      </w:r>
      <w:r w:rsidRPr="00D92E9F">
        <w:t xml:space="preserve">(see </w:t>
      </w:r>
      <w:proofErr w:type="spellStart"/>
      <w:r w:rsidRPr="00D92E9F">
        <w:t>Mernissi</w:t>
      </w:r>
      <w:proofErr w:type="spellEnd"/>
      <w:r w:rsidRPr="00D92E9F">
        <w:t xml:space="preserve"> 1993). What is more, the </w:t>
      </w:r>
      <w:r w:rsidRPr="00D92E9F">
        <w:rPr>
          <w:rStyle w:val="StyleUnderline"/>
        </w:rPr>
        <w:t>measures that are adopted to meet such military threats sometimes constitute threats to the security of individuals and social groups</w:t>
      </w:r>
      <w:r w:rsidRPr="00D92E9F">
        <w:t xml:space="preserve">. The sanctions regime adopted to rid Iraq of weapons of mass destruction has caused a problem of food insecurity for Iraqi people during the 1990s. In the aftermath of the US-led war on Iraq, </w:t>
      </w:r>
      <w:r w:rsidRPr="00D92E9F">
        <w:rPr>
          <w:rStyle w:val="StyleUnderline"/>
        </w:rPr>
        <w:t>Iraqi people are still far from meeting their daily needs</w:t>
      </w:r>
      <w:r w:rsidRPr="00D92E9F">
        <w:t xml:space="preserve">. Indeed, it is estimated that if it were not for the monthly basket distributed as part of the United Nations' 'Oil for Food' </w:t>
      </w:r>
      <w:proofErr w:type="spellStart"/>
      <w:r w:rsidRPr="00D92E9F">
        <w:t>programme</w:t>
      </w:r>
      <w:proofErr w:type="spellEnd"/>
      <w:r w:rsidRPr="00D92E9F">
        <w:t xml:space="preserve">, </w:t>
      </w:r>
      <w:r w:rsidRPr="00D92E9F">
        <w:rPr>
          <w:rStyle w:val="StyleUnderline"/>
        </w:rPr>
        <w:t>'approximately 80 percent of the Iraqi population would become vulnerable to food insecurity'</w:t>
      </w:r>
      <w:r w:rsidRPr="00D92E9F">
        <w:t xml:space="preserve"> (Hurd 2003). Such concerns rarely make it into analyses on regional security in the Middle East.</w:t>
      </w:r>
    </w:p>
    <w:p w14:paraId="01BF7B37" w14:textId="77777777" w:rsidR="00D92E9F" w:rsidRPr="00D92E9F" w:rsidRDefault="00D92E9F" w:rsidP="00D92E9F"/>
    <w:p w14:paraId="29E69D3C" w14:textId="77777777" w:rsidR="00D92E9F" w:rsidRPr="00D92E9F" w:rsidRDefault="00D92E9F" w:rsidP="00D92E9F">
      <w:pPr>
        <w:pStyle w:val="Heading4"/>
      </w:pPr>
      <w:r w:rsidRPr="00D92E9F">
        <w:t>Security discourse in the homeland constructs threats - the hyperreal notion of a threat incentivizes securitization, which creates actual threats</w:t>
      </w:r>
    </w:p>
    <w:p w14:paraId="0F2ADFBE" w14:textId="77777777" w:rsidR="00D92E9F" w:rsidRPr="00D92E9F" w:rsidRDefault="00D92E9F" w:rsidP="00D92E9F">
      <w:pPr>
        <w:pStyle w:val="card"/>
        <w:ind w:left="0"/>
      </w:pPr>
      <w:proofErr w:type="spellStart"/>
      <w:r w:rsidRPr="00D92E9F">
        <w:rPr>
          <w:rStyle w:val="Heading4Char"/>
        </w:rPr>
        <w:t>Lipschutz</w:t>
      </w:r>
      <w:proofErr w:type="spellEnd"/>
      <w:r w:rsidRPr="00D92E9F">
        <w:rPr>
          <w:rStyle w:val="Heading4Char"/>
        </w:rPr>
        <w:t>, UC Santa Cruz Politics Professor 98</w:t>
      </w:r>
      <w:r w:rsidRPr="00D92E9F">
        <w:t xml:space="preserve"> (</w:t>
      </w:r>
      <w:r w:rsidRPr="00D92E9F">
        <w:rPr>
          <w:i/>
        </w:rPr>
        <w:t>On Security</w:t>
      </w:r>
      <w:r w:rsidRPr="00D92E9F">
        <w:t xml:space="preserve">, Assistant Professor of Politics, Director of the Adlai Stevenson Program on Global Security, University of California, Santa Cruz Ronnie D. </w:t>
      </w:r>
      <w:proofErr w:type="spellStart"/>
      <w:r w:rsidRPr="00D92E9F">
        <w:t>Lipschutz</w:t>
      </w:r>
      <w:proofErr w:type="spellEnd"/>
      <w:r w:rsidRPr="00D92E9F">
        <w:t>, editor)</w:t>
      </w:r>
    </w:p>
    <w:p w14:paraId="7AD63770" w14:textId="77777777" w:rsidR="00D92E9F" w:rsidRPr="00D92E9F" w:rsidRDefault="00D92E9F" w:rsidP="00D92E9F">
      <w:pPr>
        <w:rPr>
          <w:rStyle w:val="StyleUnderline"/>
        </w:rPr>
      </w:pPr>
      <w:r w:rsidRPr="00D92E9F">
        <w:t xml:space="preserve">How do such discourses begin? In his investigation of the historical origins of the concept, James Der </w:t>
      </w:r>
      <w:proofErr w:type="spellStart"/>
      <w:r w:rsidRPr="00D92E9F">
        <w:t>Derian</w:t>
      </w:r>
      <w:proofErr w:type="spellEnd"/>
      <w:r w:rsidRPr="00D92E9F">
        <w:t xml:space="preserve"> (Chapter 2: "The Value of Security: Hobbes, Marx, Nietzsche and Baudrillard") points out that, </w:t>
      </w:r>
      <w:r w:rsidRPr="00D92E9F">
        <w:rPr>
          <w:rStyle w:val="StyleUnderline"/>
        </w:rPr>
        <w:t>in the past, security has been invoked not only to connote protection from threats, along the lines of the conventional definition, but also to describe hubristic overconfidence as well as a bond or pledge provided in a financial transaction. To secure oneself is, therefore, a sort of trap, for one can never leave a secure place without incurring risks</w:t>
      </w:r>
      <w:r w:rsidRPr="00D92E9F">
        <w:t xml:space="preserve">. (Elsewhere, Barry Buzan has pointed out that "There is a cruel irony in [one] meaning of secure which is `unable to escape.' " </w:t>
      </w:r>
      <w:proofErr w:type="gramStart"/>
      <w:r w:rsidRPr="00D92E9F">
        <w:t>16 )</w:t>
      </w:r>
      <w:proofErr w:type="gramEnd"/>
      <w:r w:rsidRPr="00D92E9F">
        <w:t xml:space="preserve"> </w:t>
      </w:r>
      <w:r w:rsidRPr="00D92E9F">
        <w:rPr>
          <w:rStyle w:val="StyleUnderline"/>
        </w:rPr>
        <w:t>Security</w:t>
      </w:r>
      <w:r w:rsidRPr="00D92E9F">
        <w:t xml:space="preserve">, moreover, </w:t>
      </w:r>
      <w:r w:rsidRPr="00D92E9F">
        <w:rPr>
          <w:rStyle w:val="StyleUnderline"/>
        </w:rPr>
        <w:t>is meaningless without an "other" to help specify the conditions of insecurity.</w:t>
      </w:r>
      <w:r w:rsidRPr="00D92E9F">
        <w:t xml:space="preserve"> Der </w:t>
      </w:r>
      <w:proofErr w:type="spellStart"/>
      <w:r w:rsidRPr="00D92E9F">
        <w:t>Derian</w:t>
      </w:r>
      <w:proofErr w:type="spellEnd"/>
      <w:r w:rsidRPr="00D92E9F">
        <w:t xml:space="preserve">, citing Nietzsche, points out that </w:t>
      </w:r>
      <w:r w:rsidRPr="00D92E9F">
        <w:rPr>
          <w:rStyle w:val="StyleUnderline"/>
        </w:rPr>
        <w:t>this "other" is made manifest through differences that create terror and collective resentment of difference--the state of fear--rather than a preferable coming to terms with the positive potentials of difference.</w:t>
      </w:r>
      <w:r w:rsidRPr="00D92E9F">
        <w:t xml:space="preserve">  As these differences become less than convincing, however, </w:t>
      </w:r>
      <w:r w:rsidRPr="00D92E9F">
        <w:rPr>
          <w:rStyle w:val="StyleUnderline"/>
        </w:rPr>
        <w:t>their power to create fear and terror diminish, and so it becomes necessary to create ever more menacing threats to reestablish difference.</w:t>
      </w:r>
      <w:r w:rsidRPr="00D92E9F">
        <w:t xml:space="preserve"> For this purpose, Der </w:t>
      </w:r>
      <w:proofErr w:type="spellStart"/>
      <w:r w:rsidRPr="00D92E9F">
        <w:t>Derian</w:t>
      </w:r>
      <w:proofErr w:type="spellEnd"/>
      <w:r w:rsidRPr="00D92E9F">
        <w:t xml:space="preserve"> argues, </w:t>
      </w:r>
      <w:r w:rsidRPr="00D92E9F">
        <w:rPr>
          <w:rStyle w:val="StyleUnderline"/>
        </w:rPr>
        <w:t xml:space="preserve">reality is no longer </w:t>
      </w:r>
      <w:proofErr w:type="gramStart"/>
      <w:r w:rsidRPr="00D92E9F">
        <w:rPr>
          <w:rStyle w:val="StyleUnderline"/>
        </w:rPr>
        <w:t>sufficient</w:t>
      </w:r>
      <w:proofErr w:type="gramEnd"/>
      <w:r w:rsidRPr="00D92E9F">
        <w:rPr>
          <w:rStyle w:val="StyleUnderline"/>
        </w:rPr>
        <w:t>; only the creation of a "hyperreal" world of computer and media-imaged and -imagined threats will do.</w:t>
      </w:r>
      <w:r w:rsidRPr="00D92E9F">
        <w:t xml:space="preserve"> Or, to cite Baudrillard, as Der </w:t>
      </w:r>
      <w:proofErr w:type="spellStart"/>
      <w:r w:rsidRPr="00D92E9F">
        <w:t>Derian</w:t>
      </w:r>
      <w:proofErr w:type="spellEnd"/>
      <w:r w:rsidRPr="00D92E9F">
        <w:t xml:space="preserve"> does: "</w:t>
      </w:r>
      <w:r w:rsidRPr="00D92E9F">
        <w:rPr>
          <w:rStyle w:val="StyleUnderline"/>
        </w:rPr>
        <w:t xml:space="preserve">It is no longer a question of a false representation of reality (ideology), but of concealing the fact that the real is no longer real." </w:t>
      </w:r>
      <w:r w:rsidRPr="00D92E9F">
        <w:rPr>
          <w:rStyle w:val="Emphasis"/>
        </w:rPr>
        <w:t>It is the imagined, unnamed party, with the clandestinely assembled and crude atomic device, and not the thousands of reliable, high-yield warheads mounted on missiles poised to launch at a moment's notice, that creates fear, terror, and</w:t>
      </w:r>
      <w:r w:rsidRPr="00D92E9F">
        <w:rPr>
          <w:rStyle w:val="StyleUnderline"/>
        </w:rPr>
        <w:t xml:space="preserve"> </w:t>
      </w:r>
      <w:r w:rsidRPr="00D92E9F">
        <w:rPr>
          <w:rStyle w:val="Emphasis"/>
        </w:rPr>
        <w:lastRenderedPageBreak/>
        <w:t>calls for greater surveillance and enforcement.</w:t>
      </w:r>
      <w:r w:rsidRPr="00D92E9F">
        <w:rPr>
          <w:rStyle w:val="StyleUnderline"/>
        </w:rPr>
        <w:t xml:space="preserve"> </w:t>
      </w:r>
      <w:r w:rsidRPr="00D92E9F">
        <w:t xml:space="preserve"> Yet, according to Der </w:t>
      </w:r>
      <w:proofErr w:type="spellStart"/>
      <w:r w:rsidRPr="00D92E9F">
        <w:t>Derian</w:t>
      </w:r>
      <w:proofErr w:type="spellEnd"/>
      <w:r w:rsidRPr="00D92E9F">
        <w:t xml:space="preserve">, describing how the solitary computer wargaming of the Iraqi and American militaries were literally joined together in battle on the deserts of the Persian Gulf littoral, </w:t>
      </w:r>
      <w:r w:rsidRPr="00D92E9F">
        <w:rPr>
          <w:rStyle w:val="StyleUnderline"/>
        </w:rPr>
        <w:t>hyperreal threats do sometimes have an odd way of becoming material</w:t>
      </w:r>
      <w:r w:rsidRPr="00D92E9F">
        <w:t xml:space="preserve">. The </w:t>
      </w:r>
      <w:r w:rsidRPr="00D92E9F">
        <w:rPr>
          <w:rStyle w:val="StyleUnderline"/>
        </w:rPr>
        <w:t>Gulf War created a "real" simulation, broadcast to the watching billions, that was later found out to have been a less-than-accurate representation</w:t>
      </w:r>
      <w:r w:rsidRPr="00D92E9F">
        <w:t xml:space="preserve">. This does not mean that those who died suffered simulated deaths. </w:t>
      </w:r>
      <w:r w:rsidRPr="00D92E9F">
        <w:rPr>
          <w:rStyle w:val="StyleUnderline"/>
        </w:rPr>
        <w:t>Simulated threats may be imagined, but their ultimate consequences are all too real</w:t>
      </w:r>
      <w:r w:rsidRPr="00D92E9F">
        <w:t xml:space="preserve">.  What this process suggests is that </w:t>
      </w:r>
      <w:r w:rsidRPr="00D92E9F">
        <w:rPr>
          <w:rStyle w:val="StyleUnderline"/>
        </w:rPr>
        <w:t xml:space="preserve">concepts of security arise, to a great degree, out of discursive practices </w:t>
      </w:r>
      <w:proofErr w:type="gramStart"/>
      <w:r w:rsidRPr="00D92E9F">
        <w:rPr>
          <w:rStyle w:val="StyleUnderline"/>
        </w:rPr>
        <w:t>within  states</w:t>
      </w:r>
      <w:proofErr w:type="gramEnd"/>
      <w:r w:rsidRPr="00D92E9F">
        <w:rPr>
          <w:rStyle w:val="StyleUnderline"/>
        </w:rPr>
        <w:t xml:space="preserve"> and, only secondarily, among  states</w:t>
      </w:r>
      <w:r w:rsidRPr="00D92E9F">
        <w:t xml:space="preserve">. 17 Ole </w:t>
      </w:r>
      <w:proofErr w:type="spellStart"/>
      <w:r w:rsidRPr="00D92E9F">
        <w:t>Wæver</w:t>
      </w:r>
      <w:proofErr w:type="spellEnd"/>
      <w:r w:rsidRPr="00D92E9F">
        <w:t xml:space="preserve"> (Chapter 3: "Securitization and </w:t>
      </w:r>
      <w:proofErr w:type="spellStart"/>
      <w:r w:rsidRPr="00D92E9F">
        <w:t>Desecuritization</w:t>
      </w:r>
      <w:proofErr w:type="spellEnd"/>
      <w:r w:rsidRPr="00D92E9F">
        <w:t xml:space="preserve">") illuminates this aspect of </w:t>
      </w:r>
      <w:r w:rsidRPr="00D92E9F">
        <w:rPr>
          <w:rStyle w:val="StyleUnderline"/>
        </w:rPr>
        <w:t>security</w:t>
      </w:r>
      <w:r w:rsidRPr="00D92E9F">
        <w:t xml:space="preserve">, framing it </w:t>
      </w:r>
      <w:r w:rsidRPr="00D92E9F">
        <w:rPr>
          <w:rStyle w:val="StyleUnderline"/>
        </w:rPr>
        <w:t>not as an objective or material condition, but as a "speech act," enunciated by elites in order to securitize issues or "fields," thereby helping to reproduce the hierarchical conditions that characterize security practices.</w:t>
      </w:r>
      <w:r w:rsidRPr="00D92E9F">
        <w:t xml:space="preserve"> Thus, according to </w:t>
      </w:r>
      <w:proofErr w:type="spellStart"/>
      <w:r w:rsidRPr="00D92E9F">
        <w:t>Wæver</w:t>
      </w:r>
      <w:proofErr w:type="spellEnd"/>
      <w:r w:rsidRPr="00D92E9F">
        <w:t xml:space="preserve">, much of the agenda of "redefining security" is a process of bringing into  the field of security those things that, perhaps, should remain outside (but this struggle to redefine a concept can also be seen as an effort by heretofore-excluded elites to enter the security discourse). He warns, therefore, that </w:t>
      </w:r>
      <w:r w:rsidRPr="00D92E9F">
        <w:rPr>
          <w:rStyle w:val="StyleUnderline"/>
        </w:rPr>
        <w:t>redefining security in a conventional sense, either to encompass new sources of threat or specify new referent objects, risks applying the traditional logic of military behavior to nonmilitary problems</w:t>
      </w:r>
      <w:r w:rsidRPr="00D92E9F">
        <w:t xml:space="preserve">. This process can also expand the jurisdiction of already-expansive states as well. As </w:t>
      </w:r>
      <w:proofErr w:type="spellStart"/>
      <w:r w:rsidRPr="00D92E9F">
        <w:t>Wæver</w:t>
      </w:r>
      <w:proofErr w:type="spellEnd"/>
      <w:r w:rsidRPr="00D92E9F">
        <w:t xml:space="preserve"> puts it, "</w:t>
      </w:r>
      <w:r w:rsidRPr="00D92E9F">
        <w:rPr>
          <w:rStyle w:val="StyleUnderline"/>
        </w:rPr>
        <w:t>By naming a certain development a security problem, the `state' [claims] . . . a special right [to intervene].</w:t>
      </w:r>
      <w:r w:rsidRPr="00D92E9F">
        <w:t xml:space="preserve">" In intervening, the tools applied by the state would look very much like those used during the wars the state might launch if it chose to do so. This </w:t>
      </w:r>
      <w:r w:rsidRPr="00D92E9F">
        <w:rPr>
          <w:rStyle w:val="StyleUnderline"/>
        </w:rPr>
        <w:t xml:space="preserve">contradiction was apparent in the initial landing of U.S. Marines in Somalia </w:t>
      </w:r>
      <w:r w:rsidRPr="00D92E9F">
        <w:t xml:space="preserve">in </w:t>
      </w:r>
      <w:proofErr w:type="gramStart"/>
      <w:r w:rsidRPr="00D92E9F">
        <w:t>December,</w:t>
      </w:r>
      <w:proofErr w:type="gramEnd"/>
      <w:r w:rsidRPr="00D92E9F">
        <w:t xml:space="preserve"> 1992. Demonstrably, </w:t>
      </w:r>
      <w:r w:rsidRPr="00D92E9F">
        <w:rPr>
          <w:rStyle w:val="StyleUnderline"/>
        </w:rPr>
        <w:t xml:space="preserve">there was a question of matching force to force in this case, but the ostensible goal of humanitarian assistance took on the appearance of a military invasion </w:t>
      </w:r>
      <w:r w:rsidRPr="00D92E9F">
        <w:t xml:space="preserve">(with the added hyperreality of resistance offered only by the mass(ed) media waiting on shore). This does not mean that </w:t>
      </w:r>
      <w:proofErr w:type="spellStart"/>
      <w:r w:rsidRPr="00D92E9F">
        <w:t>Wæver</w:t>
      </w:r>
      <w:proofErr w:type="spellEnd"/>
      <w:r w:rsidRPr="00D92E9F">
        <w:t xml:space="preserve"> thinks that "security as a speech act" should not be applied to anything at all; only that it is necessary to consider with care what is implied or involved if we are indiscriminate in doing so</w:t>
      </w:r>
      <w:r w:rsidRPr="00D92E9F">
        <w:rPr>
          <w:rStyle w:val="StyleUnderline"/>
        </w:rPr>
        <w:t>.  Security is</w:t>
      </w:r>
      <w:r w:rsidRPr="00D92E9F">
        <w:t xml:space="preserve">, to put </w:t>
      </w:r>
      <w:proofErr w:type="spellStart"/>
      <w:r w:rsidRPr="00D92E9F">
        <w:t>Wæver's</w:t>
      </w:r>
      <w:proofErr w:type="spellEnd"/>
      <w:r w:rsidRPr="00D92E9F">
        <w:t xml:space="preserve"> argument in other words, </w:t>
      </w:r>
      <w:r w:rsidRPr="00D92E9F">
        <w:rPr>
          <w:rStyle w:val="StyleUnderline"/>
        </w:rPr>
        <w:t>a socially constructed concept: It has a specific meaning only within a specific social context</w:t>
      </w:r>
      <w:r w:rsidRPr="00D92E9F">
        <w:t xml:space="preserve">. 18 It emerges and changes as a result of discourses and discursive actions intended to reproduce historical structures and subjects within states and among them. 19 To be sure, </w:t>
      </w:r>
      <w:r w:rsidRPr="00D92E9F">
        <w:rPr>
          <w:rStyle w:val="StyleUnderline"/>
        </w:rPr>
        <w:t>policymakers define security on the basis of a set of assumptions regarding vital interests, plausible enemies, and possible scenarios, all of which grow, to a not-insignificant extent, out of the specific historical and social context of a particular country and some understanding of what is "out there."</w:t>
      </w:r>
      <w:r w:rsidRPr="00D92E9F">
        <w:t xml:space="preserve"> 20 But, while these interests, enemies, and scenarios have a material existence and, presumably, a real import for state security, they cannot be regarded simply as having some sort of "objective" reality independent of these constructions. 21 That security is socially constructed does not mean that there are not to be found real, material conditions that help to create </w:t>
      </w:r>
      <w:proofErr w:type="gramStart"/>
      <w:r w:rsidRPr="00D92E9F">
        <w:t>particular interpretations</w:t>
      </w:r>
      <w:proofErr w:type="gramEnd"/>
      <w:r w:rsidRPr="00D92E9F">
        <w:t xml:space="preserve"> of threats, or that such conditions are irrelevant to either the creation or undermining of the assumptions underlying security policy. </w:t>
      </w:r>
      <w:r w:rsidRPr="00D92E9F">
        <w:rPr>
          <w:rStyle w:val="StyleUnderline"/>
        </w:rPr>
        <w:t xml:space="preserve">Enemies, in part, "create" each other, via the projections of their worst fears onto the other; in this respect, their relationship is intersubjective. </w:t>
      </w:r>
      <w:r w:rsidRPr="00D92E9F">
        <w:t xml:space="preserve">To the extent that they act on these projections, threats to each other acquire a material character. </w:t>
      </w:r>
      <w:r w:rsidRPr="00D92E9F">
        <w:rPr>
          <w:rStyle w:val="StyleUnderline"/>
        </w:rPr>
        <w:t xml:space="preserve">In other words, nuclear-tipped ICBMs are not mere figments of our imagination, but their targeting is a function of what we imagine the possessors of other missiles might do to us with </w:t>
      </w:r>
      <w:proofErr w:type="gramStart"/>
      <w:r w:rsidRPr="00D92E9F">
        <w:rPr>
          <w:rStyle w:val="StyleUnderline"/>
        </w:rPr>
        <w:t>theirs .</w:t>
      </w:r>
      <w:proofErr w:type="gramEnd"/>
      <w:r w:rsidRPr="00D92E9F">
        <w:t xml:space="preserve"> 22</w:t>
      </w:r>
      <w:r w:rsidRPr="00D92E9F">
        <w:rPr>
          <w:rStyle w:val="StyleUnderline"/>
        </w:rPr>
        <w:t xml:space="preserve"> </w:t>
      </w:r>
    </w:p>
    <w:p w14:paraId="0719C578" w14:textId="77777777" w:rsidR="00D92E9F" w:rsidRPr="00D92E9F" w:rsidRDefault="00D92E9F" w:rsidP="00D92E9F"/>
    <w:p w14:paraId="02B930CA" w14:textId="77777777" w:rsidR="00D92E9F" w:rsidRPr="00D92E9F" w:rsidRDefault="00D92E9F" w:rsidP="00D92E9F">
      <w:pPr>
        <w:pStyle w:val="Heading4"/>
      </w:pPr>
      <w:r w:rsidRPr="00D92E9F">
        <w:lastRenderedPageBreak/>
        <w:t>Securitization leaves human existence up to flawed calculation, and can uniquely lead to extinction</w:t>
      </w:r>
    </w:p>
    <w:p w14:paraId="15915E99" w14:textId="77777777" w:rsidR="00D92E9F" w:rsidRPr="00D92E9F" w:rsidRDefault="00D92E9F" w:rsidP="00D92E9F">
      <w:r w:rsidRPr="00D92E9F">
        <w:rPr>
          <w:rStyle w:val="Style13ptBold"/>
        </w:rPr>
        <w:t>Dillon, Lancaster University Politics and International Relations Professor 96</w:t>
      </w:r>
      <w:r w:rsidRPr="00D92E9F">
        <w:rPr>
          <w:rStyle w:val="cite"/>
        </w:rPr>
        <w:t xml:space="preserve"> </w:t>
      </w:r>
      <w:r w:rsidRPr="00D92E9F">
        <w:t>(Michael, “Politics of Security: Towards a Political Philosophy of Continental Thought, http://www.questia.com/read/103092657?title=Politics%20of%20Security:%20Towards%20a%20Political%20Philosophy%20of%20Continental%20Thought#, AD: 7/10/9) CR</w:t>
      </w:r>
    </w:p>
    <w:p w14:paraId="04E6C351" w14:textId="77777777" w:rsidR="00D92E9F" w:rsidRPr="00D92E9F" w:rsidRDefault="00D92E9F" w:rsidP="00D92E9F">
      <w:pPr>
        <w:rPr>
          <w:rStyle w:val="StyleUnderline"/>
        </w:rPr>
      </w:pPr>
      <w:r w:rsidRPr="00D92E9F">
        <w:t xml:space="preserve">The way of sharpening and focusing this thought into a precise question is first provided, however, by </w:t>
      </w:r>
      <w:proofErr w:type="gramStart"/>
      <w:r w:rsidRPr="00D92E9F">
        <w:t>referring back</w:t>
      </w:r>
      <w:proofErr w:type="gramEnd"/>
      <w:r w:rsidRPr="00D92E9F">
        <w:t xml:space="preserve"> to Foucault; for whom Heidegger was the philosopher. Of all recent thinkers, Foucault was amongst the most committed to the task of writing the history of the present in the light of the history of philosophy as metaphysics. 4 That is why, </w:t>
      </w:r>
      <w:r w:rsidRPr="00D92E9F">
        <w:rPr>
          <w:rStyle w:val="StyleUnderline"/>
        </w:rPr>
        <w:t>when first thinking about the prominence of security in modern politics, I first found Foucault’s mode of questioning so stimulating.</w:t>
      </w:r>
      <w:r w:rsidRPr="00D92E9F">
        <w:t xml:space="preserve"> There was, it seemed to me</w:t>
      </w:r>
      <w:r w:rsidRPr="00D92E9F">
        <w:rPr>
          <w:rStyle w:val="StyleUnderline"/>
        </w:rPr>
        <w:t>, a parallel to be drawn between what he saw the technology of disciplinary power/knowledge doing to the body and what the principle of security does to politics.</w:t>
      </w:r>
    </w:p>
    <w:p w14:paraId="23DFB998" w14:textId="77777777" w:rsidR="00D92E9F" w:rsidRDefault="00D92E9F" w:rsidP="00D92E9F">
      <w:r w:rsidRPr="00D92E9F">
        <w:t xml:space="preserve">What truths about the human condition, he therefore prompted me to ask, are thought to be secreted in security? </w:t>
      </w:r>
      <w:r w:rsidRPr="00D92E9F">
        <w:rPr>
          <w:rStyle w:val="StyleUnderline"/>
        </w:rPr>
        <w:t xml:space="preserve">What work does </w:t>
      </w:r>
      <w:proofErr w:type="gramStart"/>
      <w:r w:rsidRPr="00D92E9F">
        <w:rPr>
          <w:rStyle w:val="StyleUnderline"/>
        </w:rPr>
        <w:t>securing</w:t>
      </w:r>
      <w:proofErr w:type="gramEnd"/>
      <w:r w:rsidRPr="00D92E9F">
        <w:rPr>
          <w:rStyle w:val="StyleUnderline"/>
        </w:rPr>
        <w:t xml:space="preserve"> security do for and upon us? What power-effects issue out of the regimes of truth of security? If the truth of security compels us to secure security, why, how and where is that grounding compulsion grounded? How was it that seeking security became such an insistent and relentless (inter)national preoccupation for humankind? What sort of project is the pursuit of security, and how does it relate to other modern human concerns and enterprises, such as seeking freedom and knowledge through representative-calculative thought, technology and subjectification?</w:t>
      </w:r>
      <w:r w:rsidRPr="00D92E9F">
        <w:t xml:space="preserve"> Above all, how are we to account—amongst all the manifest </w:t>
      </w:r>
      <w:r w:rsidRPr="00D92E9F">
        <w:rPr>
          <w:rStyle w:val="StyleUnderline"/>
        </w:rPr>
        <w:t>contradictions of our current (inter)national systems of security: which incarcerate rather than liberate; radically endanger rather than make safe; and engender fear rather than create assurance</w:t>
      </w:r>
      <w:r w:rsidRPr="00D92E9F">
        <w:t xml:space="preserve">—for that terminal paradox of our modern (inter)national politics of security which Foucault captured so well in the quotation that heads this chapter. 5 </w:t>
      </w:r>
      <w:r w:rsidRPr="00D92E9F">
        <w:rPr>
          <w:rStyle w:val="StyleUnderline"/>
        </w:rPr>
        <w:t xml:space="preserve">A terminal paradox which not only subverts its own predicate of security, most spectacularly by rendering the future of terrestrial existence conditional on the strategies and calculations of its hybrid regime of sovereignty and governmentality, but which also seems to furnish a new predicate of global life, a new experience in the context of which the political has to be recovered and to which it must then address itself: the </w:t>
      </w:r>
      <w:proofErr w:type="spellStart"/>
      <w:r w:rsidRPr="00D92E9F">
        <w:rPr>
          <w:rStyle w:val="StyleUnderline"/>
        </w:rPr>
        <w:t>globalisation</w:t>
      </w:r>
      <w:proofErr w:type="spellEnd"/>
      <w:r w:rsidRPr="00D92E9F">
        <w:rPr>
          <w:rStyle w:val="StyleUnderline"/>
        </w:rPr>
        <w:t xml:space="preserve"> of politics of security in the global extension of nihilism and technology, and the advent of the real prospect of human species extinction</w:t>
      </w:r>
      <w:r w:rsidRPr="00D92E9F">
        <w:t>.</w:t>
      </w:r>
    </w:p>
    <w:p w14:paraId="58DFB46A" w14:textId="77777777" w:rsidR="00A95652" w:rsidRPr="00D92E9F" w:rsidRDefault="00A95652" w:rsidP="00B55AD5">
      <w:pPr>
        <w:rPr>
          <w:rStyle w:val="Style13ptBold"/>
        </w:rPr>
      </w:pPr>
    </w:p>
    <w:sectPr w:rsidR="00A95652" w:rsidRPr="00D92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onathan Crowley"/>
    <w:docVar w:name="RibbonPointer" w:val="267799288"/>
    <w:docVar w:name="VerbatimVersion" w:val="5.1"/>
  </w:docVars>
  <w:rsids>
    <w:rsidRoot w:val="00D92E9F"/>
    <w:rsid w:val="000139A3"/>
    <w:rsid w:val="000E548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003C"/>
    <w:rsid w:val="0038158C"/>
    <w:rsid w:val="003902BA"/>
    <w:rsid w:val="003A09E2"/>
    <w:rsid w:val="00407037"/>
    <w:rsid w:val="004605D6"/>
    <w:rsid w:val="004C60E8"/>
    <w:rsid w:val="004E3579"/>
    <w:rsid w:val="004E728B"/>
    <w:rsid w:val="004F39E0"/>
    <w:rsid w:val="00537BD5"/>
    <w:rsid w:val="0057268A"/>
    <w:rsid w:val="005D2912"/>
    <w:rsid w:val="005E68BA"/>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20A4A"/>
    <w:rsid w:val="0097032B"/>
    <w:rsid w:val="009A7ACC"/>
    <w:rsid w:val="009D2EAD"/>
    <w:rsid w:val="009D54B2"/>
    <w:rsid w:val="009E1922"/>
    <w:rsid w:val="009F7ED2"/>
    <w:rsid w:val="00A4623C"/>
    <w:rsid w:val="00A93661"/>
    <w:rsid w:val="00A95652"/>
    <w:rsid w:val="00AC0AB8"/>
    <w:rsid w:val="00AF7B1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2E9F"/>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6DA"/>
  <w15:chartTrackingRefBased/>
  <w15:docId w15:val="{05318A12-C63D-4C11-963B-BD1F3763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E68BA"/>
    <w:rPr>
      <w:rFonts w:ascii="Calibri" w:hAnsi="Calibri"/>
    </w:rPr>
  </w:style>
  <w:style w:type="paragraph" w:styleId="Heading1">
    <w:name w:val="heading 1"/>
    <w:aliases w:val="Pocket"/>
    <w:basedOn w:val="Normal"/>
    <w:next w:val="Normal"/>
    <w:link w:val="Heading1Char"/>
    <w:qFormat/>
    <w:rsid w:val="005E68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68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 Char Char, Char Char Char Char Char Char Char,Char, Char,Char1,Heading 3 Char3,Heading 3 Char4 Char Char,Heading 3 Char3 Char Char Char"/>
    <w:basedOn w:val="Normal"/>
    <w:next w:val="Normal"/>
    <w:link w:val="Heading3Char"/>
    <w:uiPriority w:val="2"/>
    <w:unhideWhenUsed/>
    <w:qFormat/>
    <w:rsid w:val="005E68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5E68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68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68BA"/>
  </w:style>
  <w:style w:type="character" w:customStyle="1" w:styleId="Heading1Char">
    <w:name w:val="Heading 1 Char"/>
    <w:aliases w:val="Pocket Char"/>
    <w:basedOn w:val="DefaultParagraphFont"/>
    <w:link w:val="Heading1"/>
    <w:rsid w:val="005E68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68B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Text 7 Char, Char Char Char, Char Char Char Char Char Char Char Char,Char Char1, Char Char1,Char1 Char,Heading 3 Char3 Char"/>
    <w:basedOn w:val="DefaultParagraphFont"/>
    <w:link w:val="Heading3"/>
    <w:uiPriority w:val="2"/>
    <w:rsid w:val="005E68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E68BA"/>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5E68B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E68BA"/>
    <w:rPr>
      <w:b/>
      <w:bCs/>
      <w:sz w:val="26"/>
      <w:u w:val="none"/>
    </w:rPr>
  </w:style>
  <w:style w:type="character" w:customStyle="1" w:styleId="StyleUnderline">
    <w:name w:val="Style Underline"/>
    <w:aliases w:val="Intense Emphasis,Underline,Style Bold Underline,Intense Emphasis11111,apple-style-span + 6 pt,Kern at 16 pt,Bold,Intense Emphasis1,Intense Emphasis2,Underline Char,HHeading 3 + 12 pt,Cards + Font: 12 pt Char,Style,Bold Cite Char,ci,c,Bo"/>
    <w:basedOn w:val="DefaultParagraphFont"/>
    <w:uiPriority w:val="6"/>
    <w:qFormat/>
    <w:rsid w:val="005E68BA"/>
    <w:rPr>
      <w:b w:val="0"/>
      <w:sz w:val="22"/>
      <w:u w:val="single"/>
    </w:rPr>
  </w:style>
  <w:style w:type="character" w:styleId="Hyperlink">
    <w:name w:val="Hyperlink"/>
    <w:aliases w:val="heading 1 (block title),Important,Read,Card Text,Internet Link"/>
    <w:basedOn w:val="DefaultParagraphFont"/>
    <w:uiPriority w:val="99"/>
    <w:unhideWhenUsed/>
    <w:rsid w:val="005E68BA"/>
    <w:rPr>
      <w:color w:val="auto"/>
      <w:u w:val="none"/>
    </w:rPr>
  </w:style>
  <w:style w:type="character" w:styleId="FollowedHyperlink">
    <w:name w:val="FollowedHyperlink"/>
    <w:basedOn w:val="DefaultParagraphFont"/>
    <w:uiPriority w:val="99"/>
    <w:semiHidden/>
    <w:unhideWhenUsed/>
    <w:rsid w:val="005E68BA"/>
    <w:rPr>
      <w:color w:val="auto"/>
      <w:u w:val="none"/>
    </w:rPr>
  </w:style>
  <w:style w:type="character" w:customStyle="1" w:styleId="cite">
    <w:name w:val="cite"/>
    <w:basedOn w:val="DefaultParagraphFont"/>
    <w:rsid w:val="00D92E9F"/>
    <w:rPr>
      <w:rFonts w:ascii="Times New Roman" w:hAnsi="Times New Roman"/>
      <w:b/>
      <w:sz w:val="24"/>
    </w:rPr>
  </w:style>
  <w:style w:type="paragraph" w:customStyle="1" w:styleId="card">
    <w:name w:val="card"/>
    <w:basedOn w:val="Normal"/>
    <w:next w:val="Normal"/>
    <w:link w:val="cardChar"/>
    <w:rsid w:val="00D92E9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92E9F"/>
    <w:rPr>
      <w:rFonts w:ascii="Times New Roman" w:eastAsia="Times New Roman" w:hAnsi="Times New Roman" w:cs="Times New Roman"/>
      <w:sz w:val="20"/>
      <w:szCs w:val="20"/>
    </w:rPr>
  </w:style>
  <w:style w:type="paragraph" w:customStyle="1" w:styleId="textbold">
    <w:name w:val="text bold"/>
    <w:basedOn w:val="Normal"/>
    <w:link w:val="Emphasis"/>
    <w:uiPriority w:val="7"/>
    <w:qFormat/>
    <w:rsid w:val="00D92E9F"/>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uvm.edu/Library/DebateTheoryLibrary/Roskoski&amp;Peabody-LangCritique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49641-0FA6-461C-93A9-FE2C50698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8</Pages>
  <Words>3781</Words>
  <Characters>21555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Crowley</dc:creator>
  <cp:keywords>5.1.1</cp:keywords>
  <dc:description/>
  <cp:lastModifiedBy>Sarah Lundeen</cp:lastModifiedBy>
  <cp:revision>2</cp:revision>
  <dcterms:created xsi:type="dcterms:W3CDTF">2019-07-19T02:11:00Z</dcterms:created>
  <dcterms:modified xsi:type="dcterms:W3CDTF">2019-07-20T05:43:00Z</dcterms:modified>
</cp:coreProperties>
</file>