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27D7" w:rsidRPr="00292257" w:rsidRDefault="002B7D8E" w:rsidP="005027D7">
      <w:pPr>
        <w:pStyle w:val="Heading1"/>
      </w:pPr>
      <w:r w:rsidRPr="00292257">
        <w:t>NEG</w:t>
      </w:r>
    </w:p>
    <w:p w:rsidR="001E2739" w:rsidRPr="00292257" w:rsidRDefault="001E2739" w:rsidP="001E2739">
      <w:pPr>
        <w:pStyle w:val="Heading2"/>
      </w:pPr>
      <w:r w:rsidRPr="00292257">
        <w:lastRenderedPageBreak/>
        <w:t>1NC</w:t>
      </w:r>
    </w:p>
    <w:p w:rsidR="00305313" w:rsidRPr="00292257" w:rsidRDefault="00305313" w:rsidP="00305313">
      <w:pPr>
        <w:pStyle w:val="Heading4"/>
      </w:pPr>
      <w:r w:rsidRPr="00292257">
        <w:t>Restricting and regulating arms trade is an extension of post-</w:t>
      </w:r>
      <w:r w:rsidRPr="00292257">
        <w:t>colonial</w:t>
      </w:r>
      <w:r w:rsidRPr="00292257">
        <w:t xml:space="preserve"> </w:t>
      </w:r>
      <w:r w:rsidRPr="00292257">
        <w:t>governmentality</w:t>
      </w:r>
      <w:r w:rsidRPr="00292257">
        <w:t xml:space="preserve"> – western states have always framed this regulation as a way to strategically further their interests and “civilize” colonial subjects</w:t>
      </w:r>
    </w:p>
    <w:p w:rsidR="00305313" w:rsidRPr="00292257" w:rsidRDefault="00305313" w:rsidP="00305313">
      <w:r w:rsidRPr="00292257">
        <w:rPr>
          <w:rStyle w:val="Style13ptBold"/>
        </w:rPr>
        <w:t>Cooper</w:t>
      </w:r>
      <w:r w:rsidRPr="00292257">
        <w:t xml:space="preserve"> </w:t>
      </w:r>
      <w:r w:rsidRPr="00292257">
        <w:rPr>
          <w:rStyle w:val="Style13ptBold"/>
        </w:rPr>
        <w:t>’18</w:t>
      </w:r>
      <w:r w:rsidRPr="00292257">
        <w:t xml:space="preserve"> (Neil, PhD, Professor of International Relations and Security Studies and Head of Peace Studies &amp; International Development at University of Bradford, Race, Sovereignty, and Free Trade: Arms Trade Regulation and Humanitarian Arms Control in the Age of Empire, Journal of Global Security Studies,  10.1093/jogss/ogy013)CN</w:t>
      </w:r>
    </w:p>
    <w:p w:rsidR="00305313" w:rsidRPr="00292257" w:rsidRDefault="00305313" w:rsidP="005661AA">
      <w:pPr>
        <w:rPr>
          <w:rStyle w:val="Emphasis"/>
        </w:rPr>
      </w:pPr>
      <w:r w:rsidRPr="00292257">
        <w:t xml:space="preserve">However, </w:t>
      </w:r>
      <w:r w:rsidRPr="00292257">
        <w:rPr>
          <w:rStyle w:val="Emphasis"/>
        </w:rPr>
        <w:t>focusing only on the</w:t>
      </w:r>
      <w:r w:rsidRPr="00292257">
        <w:t xml:space="preserve"> operation of </w:t>
      </w:r>
      <w:r w:rsidRPr="00292257">
        <w:rPr>
          <w:rStyle w:val="Emphasis"/>
        </w:rPr>
        <w:t>prohibitory regulatory norms</w:t>
      </w:r>
      <w:r w:rsidRPr="00292257">
        <w:t xml:space="preserve"> </w:t>
      </w:r>
      <w:r w:rsidRPr="00292257">
        <w:rPr>
          <w:rStyle w:val="Emphasis"/>
        </w:rPr>
        <w:t>obscures the way arms trade</w:t>
      </w:r>
      <w:r w:rsidRPr="00292257">
        <w:t xml:space="preserve"> </w:t>
      </w:r>
      <w:r w:rsidRPr="00292257">
        <w:rPr>
          <w:rStyle w:val="Emphasis"/>
        </w:rPr>
        <w:t>regulation also constituted a specific colonial form of arms control as governmentality, whereby mechanisms of prohibition and prescription</w:t>
      </w:r>
      <w:r w:rsidRPr="00292257">
        <w:rPr>
          <w:sz w:val="16"/>
        </w:rPr>
        <w:t xml:space="preserve"> </w:t>
      </w:r>
      <w:r w:rsidRPr="00292257">
        <w:rPr>
          <w:rStyle w:val="Emphasis"/>
        </w:rPr>
        <w:t>were both put to the service of governing which peoples could legitimately use what kinds of arms</w:t>
      </w:r>
      <w:r w:rsidRPr="00292257">
        <w:rPr>
          <w:sz w:val="16"/>
        </w:rPr>
        <w:t xml:space="preserve">. Of course, efforts to manage arms flows to potentially unruly colonial subjects by constantly seeking to balance permission and proscription were neither completely effective nor ever effectively complete. First, efforts at restraint were perennially subject to strategies of evasion undertaken by local actors operating with their own normative and cartographic understandings (Tagliacozzo 2005; Mathew 2016). Second, </w:t>
      </w:r>
      <w:r w:rsidRPr="00292257">
        <w:rPr>
          <w:rStyle w:val="StyleUnderline"/>
        </w:rPr>
        <w:t>arms trade regulation was a contested terrain over which advocates of permission and advocates of restraint often clashed</w:t>
      </w:r>
      <w:r w:rsidRPr="00292257">
        <w:rPr>
          <w:sz w:val="16"/>
        </w:rPr>
        <w:t xml:space="preserve">. For example, </w:t>
      </w:r>
      <w:r w:rsidRPr="00292257">
        <w:rPr>
          <w:rStyle w:val="StyleUnderline"/>
        </w:rPr>
        <w:t>pressures for restraint were offset by pressures to use the provision of arms to secure access</w:t>
      </w:r>
      <w:r w:rsidRPr="00292257">
        <w:rPr>
          <w:sz w:val="16"/>
        </w:rPr>
        <w:t xml:space="preserve"> to </w:t>
      </w:r>
      <w:r w:rsidRPr="00292257">
        <w:rPr>
          <w:rStyle w:val="StyleUnderline"/>
        </w:rPr>
        <w:t>markets</w:t>
      </w:r>
      <w:r w:rsidRPr="00292257">
        <w:rPr>
          <w:sz w:val="16"/>
        </w:rPr>
        <w:t xml:space="preserve"> </w:t>
      </w:r>
      <w:r w:rsidRPr="00292257">
        <w:rPr>
          <w:rStyle w:val="StyleUnderline"/>
        </w:rPr>
        <w:t>and the loyalty</w:t>
      </w:r>
      <w:r w:rsidRPr="00292257">
        <w:rPr>
          <w:sz w:val="16"/>
        </w:rPr>
        <w:t xml:space="preserve"> or security </w:t>
      </w:r>
      <w:r w:rsidRPr="00292257">
        <w:rPr>
          <w:rStyle w:val="StyleUnderline"/>
        </w:rPr>
        <w:t>of allies</w:t>
      </w:r>
      <w:r w:rsidRPr="00292257">
        <w:rPr>
          <w:sz w:val="16"/>
        </w:rPr>
        <w:t xml:space="preserve"> in a context of intra-European competition </w:t>
      </w:r>
      <w:r w:rsidRPr="00292257">
        <w:rPr>
          <w:rStyle w:val="Emphasis"/>
        </w:rPr>
        <w:t>to maintain and expand formal and informal empires</w:t>
      </w:r>
      <w:r w:rsidRPr="00292257">
        <w:rPr>
          <w:sz w:val="16"/>
        </w:rPr>
        <w:t xml:space="preserve"> (Grant 2007; Chew 2012). </w:t>
      </w:r>
      <w:r w:rsidRPr="00292257">
        <w:rPr>
          <w:rStyle w:val="StyleUnderline"/>
        </w:rPr>
        <w:t>Policy on the ground</w:t>
      </w:r>
      <w:r w:rsidRPr="00292257">
        <w:rPr>
          <w:sz w:val="16"/>
        </w:rPr>
        <w:t xml:space="preserve">, therefore, often </w:t>
      </w:r>
      <w:r w:rsidRPr="00292257">
        <w:rPr>
          <w:rStyle w:val="StyleUnderline"/>
        </w:rPr>
        <w:t>appeared contradictory</w:t>
      </w:r>
      <w:r w:rsidRPr="00292257">
        <w:rPr>
          <w:sz w:val="16"/>
        </w:rPr>
        <w:t xml:space="preserve">. </w:t>
      </w:r>
      <w:r w:rsidRPr="00292257">
        <w:rPr>
          <w:rStyle w:val="Emphasis"/>
        </w:rPr>
        <w:t>Nevertheless</w:t>
      </w:r>
      <w:r w:rsidRPr="00292257">
        <w:rPr>
          <w:sz w:val="16"/>
        </w:rPr>
        <w:t xml:space="preserve">, </w:t>
      </w:r>
      <w:r w:rsidRPr="00292257">
        <w:rPr>
          <w:rStyle w:val="Emphasis"/>
        </w:rPr>
        <w:t>proponents of permission and proscription generally agreed on the broad goals of policy—to maintain imperial influence and imperial order</w:t>
      </w:r>
      <w:r w:rsidRPr="00292257">
        <w:rPr>
          <w:sz w:val="16"/>
        </w:rPr>
        <w:t xml:space="preserve">. As will be illustrated below, </w:t>
      </w:r>
      <w:r w:rsidRPr="00292257">
        <w:rPr>
          <w:rStyle w:val="StyleUnderline"/>
        </w:rPr>
        <w:t>they agreed even more</w:t>
      </w:r>
      <w:r w:rsidRPr="00292257">
        <w:rPr>
          <w:sz w:val="16"/>
        </w:rPr>
        <w:t xml:space="preserve"> </w:t>
      </w:r>
      <w:r w:rsidRPr="00292257">
        <w:rPr>
          <w:rStyle w:val="StyleUnderline"/>
        </w:rPr>
        <w:t>on the broader logics in which arguments for permission and proscription were to be located</w:t>
      </w:r>
      <w:r w:rsidRPr="00292257">
        <w:rPr>
          <w:sz w:val="16"/>
        </w:rPr>
        <w:t>—</w:t>
      </w:r>
      <w:r w:rsidRPr="00292257">
        <w:rPr>
          <w:rStyle w:val="Emphasis"/>
        </w:rPr>
        <w:t xml:space="preserve">those governing sovereignty, free trade, development, and the standard of civilization. </w:t>
      </w:r>
      <w:r w:rsidRPr="00292257">
        <w:rPr>
          <w:sz w:val="16"/>
        </w:rPr>
        <w:t xml:space="preserve">For example, the Brussels Act certainly failed to prevent a substantial arms trade into Abyssinia and Somalia where, by 1908, British officials considered the act had “completely broken down”29 largely as a result of French support for a profitable arms trade through French-controlled Djibouti. In this case, </w:t>
      </w:r>
      <w:r w:rsidRPr="00292257">
        <w:rPr>
          <w:rStyle w:val="StyleUnderline"/>
        </w:rPr>
        <w:t>colonial norms of sovereignty provided the regulatory space for proliferation</w:t>
      </w:r>
      <w:r w:rsidRPr="00292257">
        <w:rPr>
          <w:sz w:val="16"/>
        </w:rPr>
        <w:t xml:space="preserve">. The legal legitimacy of this transit trade was enshrined by Article Ten of the Brussels Act, which, somewhat ironically, had been vigorously promoted by the British. </w:t>
      </w:r>
      <w:r w:rsidRPr="00292257">
        <w:rPr>
          <w:rStyle w:val="StyleUnderline"/>
        </w:rPr>
        <w:t xml:space="preserve">This affirmed the right of </w:t>
      </w:r>
      <w:r w:rsidRPr="00292257">
        <w:rPr>
          <w:sz w:val="16"/>
        </w:rPr>
        <w:t xml:space="preserve">inland </w:t>
      </w:r>
      <w:r w:rsidRPr="00292257">
        <w:rPr>
          <w:rStyle w:val="StyleUnderline"/>
        </w:rPr>
        <w:t>territories “under the sovereignty or protectorate” of another signatory power to acquire arms via the territory of a coastal power</w:t>
      </w:r>
      <w:r w:rsidRPr="00292257">
        <w:rPr>
          <w:sz w:val="16"/>
        </w:rPr>
        <w:t xml:space="preserve">, and Italy had previously announced Abyssinia’s adhesion to the agreement. Compounding the irony, at one point in the negotiations the French had suggested the conference had “no power to impose a right of transit on any Sovereign state.”30 Enforcement of both the arms and slave trade regulations of Brussels was also hampered by French refusal to permit searches of sea vessels flying the French flag. Arms smuggling dhow owners operating in both the Red Sea and the Persian Gulf quickly realized the French flag represented “a license to traffic” (Mathew 2016, 35), as it made each dhow an “island of colonial sovereignty” (ibid., 34) and therefore immune to search. This is not to imply sovereignty norms offered an unfettered license to trade. </w:t>
      </w:r>
      <w:r w:rsidRPr="00292257">
        <w:rPr>
          <w:rStyle w:val="Emphasis"/>
        </w:rPr>
        <w:t>The arms provisions of the Brussels Act were ultimately predicated on the fact that European powers exercised “rights of sovereignty</w:t>
      </w:r>
      <w:r w:rsidRPr="00292257">
        <w:rPr>
          <w:sz w:val="16"/>
        </w:rPr>
        <w:t xml:space="preserve">” (Article Nine) </w:t>
      </w:r>
      <w:r w:rsidRPr="00292257">
        <w:rPr>
          <w:rStyle w:val="Emphasis"/>
        </w:rPr>
        <w:t>in their colonial possessions.</w:t>
      </w:r>
      <w:r w:rsidRPr="00292257">
        <w:rPr>
          <w:sz w:val="16"/>
        </w:rPr>
        <w:t xml:space="preserve"> Thus, </w:t>
      </w:r>
      <w:r w:rsidRPr="00292257">
        <w:rPr>
          <w:rStyle w:val="Emphasis"/>
        </w:rPr>
        <w:t>the act and its implementation was suffused with norms of sovereignty</w:t>
      </w:r>
      <w:r w:rsidRPr="00292257">
        <w:rPr>
          <w:sz w:val="16"/>
        </w:rPr>
        <w:t xml:space="preserve"> </w:t>
      </w:r>
      <w:r w:rsidRPr="00292257">
        <w:rPr>
          <w:rStyle w:val="Emphasis"/>
        </w:rPr>
        <w:t>that</w:t>
      </w:r>
      <w:r w:rsidRPr="00292257">
        <w:rPr>
          <w:sz w:val="16"/>
        </w:rPr>
        <w:t xml:space="preserve"> both </w:t>
      </w:r>
      <w:r w:rsidRPr="00292257">
        <w:rPr>
          <w:rStyle w:val="Emphasis"/>
        </w:rPr>
        <w:t>underpinned restrictions on the arms trade and provided the regulatory spaces permitting their circumvention</w:t>
      </w:r>
      <w:r w:rsidRPr="00292257">
        <w:rPr>
          <w:sz w:val="16"/>
        </w:rPr>
        <w:t xml:space="preserve">. Similarly, </w:t>
      </w:r>
      <w:r w:rsidRPr="00292257">
        <w:rPr>
          <w:rStyle w:val="StyleUnderline"/>
        </w:rPr>
        <w:t>both the advocates for free trade in arms in the spaces of empire and the advocates of restriction</w:t>
      </w:r>
      <w:r w:rsidRPr="00292257">
        <w:rPr>
          <w:sz w:val="16"/>
        </w:rPr>
        <w:t xml:space="preserve"> </w:t>
      </w:r>
      <w:r w:rsidRPr="00292257">
        <w:rPr>
          <w:rStyle w:val="StyleUnderline"/>
        </w:rPr>
        <w:t>crafted their arguments by reference to</w:t>
      </w:r>
      <w:r w:rsidRPr="00292257">
        <w:rPr>
          <w:sz w:val="16"/>
        </w:rPr>
        <w:t xml:space="preserve"> the </w:t>
      </w:r>
      <w:r w:rsidRPr="00292257">
        <w:rPr>
          <w:rStyle w:val="StyleUnderline"/>
        </w:rPr>
        <w:t>shared ideational frames of free trade, development, and the standard of civilization—</w:t>
      </w:r>
      <w:r w:rsidRPr="00292257">
        <w:rPr>
          <w:sz w:val="16"/>
        </w:rPr>
        <w:t xml:space="preserve">each heavily imbricated in the other. </w:t>
      </w:r>
      <w:r w:rsidRPr="00292257">
        <w:rPr>
          <w:rStyle w:val="StyleUnderline"/>
        </w:rPr>
        <w:t>In Africa</w:t>
      </w:r>
      <w:r w:rsidRPr="00292257">
        <w:rPr>
          <w:sz w:val="16"/>
        </w:rPr>
        <w:t xml:space="preserve">, for example, free trade advocates argued </w:t>
      </w:r>
      <w:r w:rsidRPr="00292257">
        <w:rPr>
          <w:rStyle w:val="StyleUnderline"/>
        </w:rPr>
        <w:t>the offer of arms was essential for recruiting African laborers</w:t>
      </w:r>
      <w:r w:rsidRPr="00292257">
        <w:rPr>
          <w:sz w:val="16"/>
        </w:rPr>
        <w:t xml:space="preserve"> </w:t>
      </w:r>
      <w:r w:rsidRPr="00292257">
        <w:rPr>
          <w:rStyle w:val="StyleUnderline"/>
        </w:rPr>
        <w:t>and</w:t>
      </w:r>
      <w:r w:rsidRPr="00292257">
        <w:rPr>
          <w:sz w:val="16"/>
        </w:rPr>
        <w:t xml:space="preserve"> </w:t>
      </w:r>
      <w:r w:rsidRPr="00292257">
        <w:rPr>
          <w:rStyle w:val="StyleUnderline"/>
        </w:rPr>
        <w:t xml:space="preserve">that arms proliferation would speed the depopulation of local wildlife, thus hastening the day </w:t>
      </w:r>
      <w:r w:rsidRPr="00292257">
        <w:rPr>
          <w:rStyle w:val="StyleUnderline"/>
        </w:rPr>
        <w:lastRenderedPageBreak/>
        <w:t>when natives switched from hunting and alcohol to legitimate trade</w:t>
      </w:r>
      <w:r w:rsidRPr="00292257">
        <w:rPr>
          <w:sz w:val="16"/>
        </w:rPr>
        <w:t xml:space="preserve"> (Storey 2008, 196). Conversely, </w:t>
      </w:r>
      <w:r w:rsidRPr="00292257">
        <w:rPr>
          <w:rStyle w:val="StyleUnderline"/>
        </w:rPr>
        <w:t>proponents of restriction</w:t>
      </w:r>
      <w:r w:rsidRPr="00292257">
        <w:rPr>
          <w:sz w:val="16"/>
        </w:rPr>
        <w:t xml:space="preserve"> such as Alexander Mackay (1890, 42) of the Church Missionary Society </w:t>
      </w:r>
      <w:r w:rsidRPr="00292257">
        <w:rPr>
          <w:rStyle w:val="StyleUnderline"/>
        </w:rPr>
        <w:t xml:space="preserve">deplored the fact that “in the name of Christianity, free trade and civilization we see </w:t>
      </w:r>
      <w:r w:rsidRPr="00292257">
        <w:rPr>
          <w:sz w:val="16"/>
        </w:rPr>
        <w:t xml:space="preserve">firewater and </w:t>
      </w:r>
      <w:r w:rsidRPr="00292257">
        <w:rPr>
          <w:rStyle w:val="StyleUnderline"/>
        </w:rPr>
        <w:t>firearms pouring in every port</w:t>
      </w:r>
      <w:r w:rsidRPr="00292257">
        <w:rPr>
          <w:sz w:val="16"/>
        </w:rPr>
        <w:t xml:space="preserve"> [in Africa].” However, for Mackay, </w:t>
      </w:r>
      <w:r w:rsidRPr="00292257">
        <w:rPr>
          <w:rStyle w:val="StyleUnderline"/>
        </w:rPr>
        <w:t>the solution lay not only in “forbidding the import of arms</w:t>
      </w:r>
      <w:r w:rsidRPr="00292257">
        <w:rPr>
          <w:sz w:val="16"/>
        </w:rPr>
        <w:t xml:space="preserve"> and ammunition” </w:t>
      </w:r>
      <w:r w:rsidRPr="00292257">
        <w:rPr>
          <w:rStyle w:val="Emphasis"/>
        </w:rPr>
        <w:t>but in promoting legitimate trade amongst Africans,</w:t>
      </w:r>
      <w:r w:rsidRPr="00292257">
        <w:rPr>
          <w:sz w:val="16"/>
        </w:rPr>
        <w:t xml:space="preserve"> </w:t>
      </w:r>
      <w:r w:rsidRPr="00292257">
        <w:rPr>
          <w:rStyle w:val="Emphasis"/>
        </w:rPr>
        <w:t>“developing the resources of the country, and . . . promoting internal peace</w:t>
      </w:r>
      <w:r w:rsidRPr="00292257">
        <w:rPr>
          <w:sz w:val="16"/>
        </w:rPr>
        <w:t>” so “</w:t>
      </w:r>
      <w:r w:rsidRPr="00292257">
        <w:rPr>
          <w:rStyle w:val="Emphasis"/>
        </w:rPr>
        <w:t>the natives will . . . busy themselves with growing whatever they can get a fair price for instead of fighting</w:t>
      </w:r>
      <w:r w:rsidRPr="00292257">
        <w:rPr>
          <w:sz w:val="16"/>
        </w:rPr>
        <w:t xml:space="preserve">” (Letter to The Times, May 8, 1889). In this sense, </w:t>
      </w:r>
      <w:r w:rsidRPr="00292257">
        <w:rPr>
          <w:rStyle w:val="Emphasis"/>
        </w:rPr>
        <w:t>the Brussels Act represented the archetype of regulation in the spaces of empire</w:t>
      </w:r>
      <w:r w:rsidRPr="00292257">
        <w:rPr>
          <w:sz w:val="16"/>
        </w:rPr>
        <w:t xml:space="preserve">, </w:t>
      </w:r>
      <w:r w:rsidRPr="00292257">
        <w:rPr>
          <w:rStyle w:val="Emphasis"/>
        </w:rPr>
        <w:t>combining restrictions on the</w:t>
      </w:r>
      <w:r w:rsidRPr="00292257">
        <w:rPr>
          <w:rStyle w:val="StyleUnderline"/>
        </w:rPr>
        <w:t xml:space="preserve"> </w:t>
      </w:r>
      <w:r w:rsidRPr="00292257">
        <w:rPr>
          <w:rStyle w:val="Emphasis"/>
        </w:rPr>
        <w:t>arms</w:t>
      </w:r>
      <w:r w:rsidRPr="00292257">
        <w:rPr>
          <w:sz w:val="16"/>
        </w:rPr>
        <w:t xml:space="preserve"> and liquor </w:t>
      </w:r>
      <w:r w:rsidRPr="00292257">
        <w:rPr>
          <w:rStyle w:val="Emphasis"/>
        </w:rPr>
        <w:t>trades with calls for</w:t>
      </w:r>
      <w:r w:rsidRPr="00292257">
        <w:rPr>
          <w:sz w:val="16"/>
        </w:rPr>
        <w:t xml:space="preserve"> the </w:t>
      </w:r>
      <w:r w:rsidRPr="00292257">
        <w:rPr>
          <w:rStyle w:val="Emphasis"/>
        </w:rPr>
        <w:t>development</w:t>
      </w:r>
      <w:r w:rsidRPr="00292257">
        <w:rPr>
          <w:sz w:val="16"/>
        </w:rPr>
        <w:t xml:space="preserve"> of “agricultural labour and . . . the industrial arts” amongst native populations (Article Two). At the same time, the precise ways in which these twin processes of grafting and counter-grafting played out varied from region to region and over time. For example, in Singapore, policy from the 1820s onwards oscillated between permission and proscription, as free trade and merchant pressure on the one hand and concerns about the destabilizing impact of the firearms trade on the other hand were weighed in different ways at different times (Tagliacozzo 2005, 270; Chew 2012, 174–79). At Muscat, commercial treaties between the sultan and various powers (particularly the French) enshrining free trade severely hampered Britain’s ability to curtail the trade in the Persian Gulf. This was only finally resolved by the aforementioned 1913 agreement between Britain and France. Thus, free trade norms were constantly exposed to serial processes of grafting and counter-grafting. Nevertheless, </w:t>
      </w:r>
      <w:r w:rsidRPr="00292257">
        <w:rPr>
          <w:rStyle w:val="StyleUnderline"/>
        </w:rPr>
        <w:t>as the nineteenth century merged into the early twentieth century, arms trade regulation in the spaces of empire was increasingly seen as consonant with a dominant imaginary of liberal market norms</w:t>
      </w:r>
      <w:r w:rsidRPr="00292257">
        <w:rPr>
          <w:sz w:val="16"/>
        </w:rPr>
        <w:t xml:space="preserve"> (Mathew 2016). This is not to downplay the pressures for imperial powers to supply arms to local allies, or the way</w:t>
      </w:r>
      <w:r w:rsidRPr="00292257">
        <w:rPr>
          <w:rStyle w:val="Emphasis"/>
        </w:rPr>
        <w:t xml:space="preserve"> broader colonial conceptions of economic and geostrategic interest militated against cooperation to limit the arms traffic </w:t>
      </w:r>
      <w:r w:rsidRPr="00292257">
        <w:rPr>
          <w:sz w:val="16"/>
        </w:rPr>
        <w:t xml:space="preserve">as at Djibouti and Muscat.31 However, </w:t>
      </w:r>
      <w:r w:rsidRPr="00292257">
        <w:rPr>
          <w:rStyle w:val="StyleUnderline"/>
        </w:rPr>
        <w:t>such factors</w:t>
      </w:r>
      <w:r w:rsidRPr="00292257">
        <w:rPr>
          <w:sz w:val="16"/>
        </w:rPr>
        <w:t xml:space="preserve"> ultimately </w:t>
      </w:r>
      <w:r w:rsidRPr="00292257">
        <w:rPr>
          <w:rStyle w:val="StyleUnderline"/>
        </w:rPr>
        <w:t>illustrate the way in which particular</w:t>
      </w:r>
      <w:r w:rsidRPr="00292257">
        <w:rPr>
          <w:sz w:val="16"/>
        </w:rPr>
        <w:t xml:space="preserve"> assemblages of </w:t>
      </w:r>
      <w:r w:rsidRPr="00292257">
        <w:rPr>
          <w:rStyle w:val="StyleUnderline"/>
        </w:rPr>
        <w:t>norms</w:t>
      </w:r>
      <w:r w:rsidRPr="00292257">
        <w:rPr>
          <w:sz w:val="16"/>
        </w:rPr>
        <w:t xml:space="preserve">, formal and informal practices, responses to evasions, and norm-derived conceptions of interest </w:t>
      </w:r>
      <w:r w:rsidRPr="00292257">
        <w:rPr>
          <w:rStyle w:val="StyleUnderline"/>
        </w:rPr>
        <w:t>constituted colonial practices of arms control as governmentality.</w:t>
      </w:r>
      <w:r w:rsidRPr="00292257">
        <w:rPr>
          <w:sz w:val="16"/>
        </w:rPr>
        <w:t xml:space="preserve"> Understood </w:t>
      </w:r>
      <w:r w:rsidRPr="00292257">
        <w:rPr>
          <w:rStyle w:val="Emphasis"/>
        </w:rPr>
        <w:t>in this way, oscillations in policy in the same region or between different spheres of colonial interest reflected the attempt</w:t>
      </w:r>
      <w:r w:rsidRPr="00292257">
        <w:rPr>
          <w:sz w:val="16"/>
        </w:rPr>
        <w:t xml:space="preserve"> (always imperfect) </w:t>
      </w:r>
      <w:r w:rsidRPr="00292257">
        <w:rPr>
          <w:rStyle w:val="Emphasis"/>
        </w:rPr>
        <w:t>to manage arms flows according to where people were placed in the racially inflected triple hierarchies of civilization, loyalty, and utility to imperial power</w:t>
      </w:r>
      <w:r w:rsidRPr="00292257">
        <w:rPr>
          <w:sz w:val="16"/>
        </w:rPr>
        <w:t>—</w:t>
      </w:r>
      <w:r w:rsidRPr="00292257">
        <w:rPr>
          <w:rStyle w:val="StyleUnderline"/>
        </w:rPr>
        <w:t>hierarchies that could be either mutually reinforcing or mutually opposed depending on circumstance</w:t>
      </w:r>
      <w:r w:rsidRPr="00292257">
        <w:rPr>
          <w:sz w:val="16"/>
        </w:rPr>
        <w:t xml:space="preserve">. </w:t>
      </w:r>
      <w:r w:rsidRPr="00292257">
        <w:rPr>
          <w:rStyle w:val="Emphasis"/>
        </w:rPr>
        <w:t xml:space="preserve">Pressures to arm or disarm locals </w:t>
      </w:r>
      <w:r w:rsidRPr="00292257">
        <w:rPr>
          <w:sz w:val="16"/>
        </w:rPr>
        <w:t xml:space="preserve">also </w:t>
      </w:r>
      <w:r w:rsidRPr="00292257">
        <w:rPr>
          <w:rStyle w:val="Emphasis"/>
        </w:rPr>
        <w:t>illustrated how judgements about what constituted</w:t>
      </w:r>
      <w:r w:rsidRPr="00292257">
        <w:rPr>
          <w:sz w:val="16"/>
        </w:rPr>
        <w:t xml:space="preserve"> </w:t>
      </w:r>
      <w:r w:rsidRPr="00292257">
        <w:rPr>
          <w:rStyle w:val="Emphasis"/>
        </w:rPr>
        <w:t>interest were predicated on a particular moral economy in which European norms of racial superiority and imperialism framed the standards of appropriate behavior of the era</w:t>
      </w:r>
      <w:r w:rsidRPr="00292257">
        <w:rPr>
          <w:sz w:val="16"/>
        </w:rPr>
        <w:t xml:space="preserve"> (Finnemore and Sikkink 1998, 892) </w:t>
      </w:r>
      <w:r w:rsidRPr="00292257">
        <w:rPr>
          <w:rStyle w:val="Emphasis"/>
        </w:rPr>
        <w:t>and the fluid but always subordinate identities of the other.</w:t>
      </w:r>
    </w:p>
    <w:p w:rsidR="001E2739" w:rsidRPr="00292257" w:rsidRDefault="00DE6648" w:rsidP="001E2739">
      <w:pPr>
        <w:pStyle w:val="Heading4"/>
      </w:pPr>
      <w:r w:rsidRPr="00292257">
        <w:t xml:space="preserve">The alternative is a decolonial demand, an insurrection against the logic of elimination that drives the clearing of the land and reproduction of colonial relations </w:t>
      </w:r>
      <w:r w:rsidR="00E81E1E" w:rsidRPr="00292257">
        <w:t>in international relations</w:t>
      </w:r>
    </w:p>
    <w:p w:rsidR="00DE6648" w:rsidRPr="00292257" w:rsidRDefault="00DE6648" w:rsidP="001E2739">
      <w:r w:rsidRPr="00292257">
        <w:rPr>
          <w:rStyle w:val="Style13ptBold"/>
        </w:rPr>
        <w:t>Verracini 16</w:t>
      </w:r>
      <w:r w:rsidRPr="00292257">
        <w:t xml:space="preserve"> (Lorenzo Veracini is an associate Professor in History at Swinburne University of Technology in Melbourne, Australia. His research focuses on the comparative history of colonial systems and settler colonialism. (2016) “Afterword: a history of the settler colonial present, Settler Colonial Studies”, 6:2, 174-179, DOI: 10.1080/00048623.2015.1024304//JrH)</w:t>
      </w:r>
      <w:r w:rsidRPr="00292257">
        <w:br/>
        <w:t xml:space="preserve">A type of </w:t>
      </w:r>
      <w:r w:rsidRPr="00292257">
        <w:rPr>
          <w:rStyle w:val="StyleUnderline"/>
        </w:rPr>
        <w:t>possession that systematically disavows</w:t>
      </w:r>
      <w:r w:rsidRPr="00292257">
        <w:t xml:space="preserve"> previous </w:t>
      </w:r>
      <w:r w:rsidRPr="00292257">
        <w:rPr>
          <w:rStyle w:val="StyleUnderline"/>
        </w:rPr>
        <w:t>relationships to the land</w:t>
      </w:r>
      <w:r w:rsidRPr="00292257">
        <w:t xml:space="preserve">, the </w:t>
      </w:r>
      <w:r w:rsidRPr="00292257">
        <w:rPr>
          <w:rStyle w:val="StyleUnderline"/>
        </w:rPr>
        <w:t>pervasive influence of settler colonial geographies</w:t>
      </w:r>
      <w:r w:rsidRPr="00292257">
        <w:t xml:space="preserve">, </w:t>
      </w:r>
      <w:r w:rsidRPr="00292257">
        <w:rPr>
          <w:rStyle w:val="StyleUnderline"/>
        </w:rPr>
        <w:t>projects of elimination</w:t>
      </w:r>
      <w:r w:rsidRPr="00292257">
        <w:t xml:space="preserve"> that target indigenous socio-reprodu</w:t>
      </w:r>
      <w:bookmarkStart w:id="0" w:name="_GoBack"/>
      <w:bookmarkEnd w:id="0"/>
      <w:r w:rsidRPr="00292257">
        <w:t xml:space="preserve">ctive capacities, the pervasive influence of specifically </w:t>
      </w:r>
      <w:r w:rsidRPr="00292257">
        <w:rPr>
          <w:rStyle w:val="StyleUnderline"/>
        </w:rPr>
        <w:t>settler colonial violent attacks against indigenous and exogenous alterities, and</w:t>
      </w:r>
      <w:r w:rsidRPr="00292257">
        <w:t xml:space="preserve"> an old/new type of </w:t>
      </w:r>
      <w:r w:rsidRPr="00292257">
        <w:rPr>
          <w:rStyle w:val="StyleUnderline"/>
        </w:rPr>
        <w:t xml:space="preserve">capitalist accumulation </w:t>
      </w:r>
      <w:r w:rsidRPr="00292257">
        <w:t xml:space="preserve">that ‘indigenises’ colonial subjectivities: </w:t>
      </w:r>
      <w:r w:rsidRPr="00292257">
        <w:rPr>
          <w:rStyle w:val="Emphasis"/>
        </w:rPr>
        <w:t>this is the settler colonial present.</w:t>
      </w:r>
      <w:r w:rsidRPr="00292257">
        <w:t xml:space="preserve"> However, as they critically analyse the settler colonial present, these papers </w:t>
      </w:r>
      <w:r w:rsidRPr="00292257">
        <w:rPr>
          <w:rStyle w:val="StyleUnderline"/>
        </w:rPr>
        <w:t>also</w:t>
      </w:r>
      <w:r w:rsidRPr="00292257">
        <w:t xml:space="preserve"> suggest </w:t>
      </w:r>
      <w:r w:rsidRPr="00292257">
        <w:rPr>
          <w:rStyle w:val="Emphasis"/>
        </w:rPr>
        <w:t xml:space="preserve">ways </w:t>
      </w:r>
      <w:r w:rsidRPr="00292257">
        <w:rPr>
          <w:rStyle w:val="Emphasis"/>
        </w:rPr>
        <w:lastRenderedPageBreak/>
        <w:t>out of the settler colonial relation</w:t>
      </w:r>
      <w:r w:rsidRPr="00292257">
        <w:t xml:space="preserve">. They </w:t>
      </w:r>
      <w:r w:rsidRPr="00292257">
        <w:rPr>
          <w:rStyle w:val="StyleUnderline"/>
        </w:rPr>
        <w:t>identify its specific structures</w:t>
      </w:r>
      <w:r w:rsidRPr="00292257">
        <w:t xml:space="preserve">. They recommend that we </w:t>
      </w:r>
      <w:r w:rsidRPr="00292257">
        <w:rPr>
          <w:rStyle w:val="StyleUnderline"/>
        </w:rPr>
        <w:t>challenge notions of possession that negate the legitimate claims of prior owners</w:t>
      </w:r>
      <w:r w:rsidRPr="00292257">
        <w:t xml:space="preserve">, that sustain indigenous isolation, and that prevent the social reproduction of indigenous communities. They challenge </w:t>
      </w:r>
      <w:r w:rsidRPr="00292257">
        <w:rPr>
          <w:rStyle w:val="StyleUnderline"/>
        </w:rPr>
        <w:t>the ongoing power of</w:t>
      </w:r>
      <w:r w:rsidRPr="00292257">
        <w:t xml:space="preserve"> typically </w:t>
      </w:r>
      <w:r w:rsidRPr="00292257">
        <w:rPr>
          <w:rStyle w:val="StyleUnderline"/>
        </w:rPr>
        <w:t>settler colonial narratives, the permanence of specifically settler colonial modes of violence, and</w:t>
      </w:r>
      <w:r w:rsidRPr="00292257">
        <w:t xml:space="preserve"> ongoing </w:t>
      </w:r>
      <w:r w:rsidRPr="00292257">
        <w:rPr>
          <w:rStyle w:val="StyleUnderline"/>
        </w:rPr>
        <w:t>processes of accumulation by dispossession</w:t>
      </w:r>
      <w:r w:rsidRPr="00292257">
        <w:t xml:space="preserve">. Collectively, the authors contributing to this collection propose </w:t>
      </w:r>
      <w:r w:rsidRPr="00292257">
        <w:rPr>
          <w:rStyle w:val="Emphasis"/>
        </w:rPr>
        <w:t>a decolonial strategy</w:t>
      </w:r>
      <w:r w:rsidRPr="00292257">
        <w:t xml:space="preserve">. As a way to conclude, I want to very briefly add to this strategy. The </w:t>
      </w:r>
      <w:r w:rsidRPr="00292257">
        <w:rPr>
          <w:rStyle w:val="StyleUnderline"/>
        </w:rPr>
        <w:t>decolonisation of settler colonial forms should begin from the appraisal of the settler colonial ‘situation’.</w:t>
      </w:r>
      <w:r w:rsidRPr="00292257">
        <w:t xml:space="preserve"> </w:t>
      </w:r>
      <w:r w:rsidRPr="00292257">
        <w:rPr>
          <w:rStyle w:val="Emphasis"/>
        </w:rPr>
        <w:t>A fundamental and unrelenting demand</w:t>
      </w:r>
      <w:r w:rsidRPr="00292257">
        <w:t xml:space="preserve"> that indigenous people ‘go die’ ultimately envisages a non-relation. Hypothetical settler departure, however, would also constitute a non-relation. </w:t>
      </w:r>
      <w:r w:rsidRPr="00292257">
        <w:rPr>
          <w:rStyle w:val="StyleUnderline"/>
        </w:rPr>
        <w:t>A decolonised post-settler colonial relation must be ongoing</w:t>
      </w:r>
      <w:r w:rsidRPr="00292257">
        <w:t>. If settler colonialism is fundamentally characterised, to use Patrick Wolfe’s terminology and framework, by settlers that ‘come to stay’ and by an unrelenting ‘logic of elimination’, the way out needs to turn the former against the latter</w:t>
      </w:r>
      <w:r w:rsidRPr="00292257">
        <w:rPr>
          <w:rStyle w:val="StyleUnderline"/>
        </w:rPr>
        <w:t>. Settlers must renounce and denounce the logic of elimination</w:t>
      </w:r>
      <w:r w:rsidRPr="00292257">
        <w:t>. For this they need indigenous leadership.</w:t>
      </w:r>
    </w:p>
    <w:p w:rsidR="005027D7" w:rsidRPr="00292257" w:rsidRDefault="005027D7" w:rsidP="005027D7">
      <w:pPr>
        <w:pStyle w:val="Heading2"/>
      </w:pPr>
      <w:r w:rsidRPr="00292257">
        <w:lastRenderedPageBreak/>
        <w:t>Links</w:t>
      </w:r>
    </w:p>
    <w:p w:rsidR="00FA09C8" w:rsidRPr="00292257" w:rsidRDefault="00FA09C8" w:rsidP="005027D7">
      <w:pPr>
        <w:pStyle w:val="Heading3"/>
      </w:pPr>
      <w:r w:rsidRPr="00292257">
        <w:lastRenderedPageBreak/>
        <w:t xml:space="preserve">Ontology </w:t>
      </w:r>
    </w:p>
    <w:p w:rsidR="00FA09C8" w:rsidRPr="00292257" w:rsidRDefault="00FA09C8" w:rsidP="00FA09C8">
      <w:pPr>
        <w:pStyle w:val="Heading4"/>
      </w:pPr>
      <w:r w:rsidRPr="00292257">
        <w:t xml:space="preserve">Settler colonialism is an ongoing project that animates US statecraft and hegemony crushing dissent and guarantees endless war making </w:t>
      </w:r>
    </w:p>
    <w:p w:rsidR="00FA09C8" w:rsidRPr="00292257" w:rsidRDefault="00FA09C8" w:rsidP="00FA09C8">
      <w:r w:rsidRPr="00292257">
        <w:rPr>
          <w:rStyle w:val="Style13ptBold"/>
        </w:rPr>
        <w:t xml:space="preserve">Sangarasivam 17 </w:t>
      </w:r>
      <w:r w:rsidRPr="00292257">
        <w:t>(Yamuna Sangarasivam is Associate Professor of Anthropology at Nazareth College. (2017) “Ecological ontologies of sovereignty and insecurity: settler colonial logics of national security”, Critical Studies on Security, 5:2, 203-206, DOI: 10.1080/21624887.2017.1320880)</w:t>
      </w:r>
    </w:p>
    <w:p w:rsidR="00FA09C8" w:rsidRPr="00292257" w:rsidRDefault="00FA09C8" w:rsidP="00FA09C8">
      <w:r w:rsidRPr="00292257">
        <w:rPr>
          <w:rStyle w:val="StyleUnderline"/>
        </w:rPr>
        <w:t>National security is</w:t>
      </w:r>
      <w:r w:rsidRPr="00292257">
        <w:rPr>
          <w:rFonts w:ascii="Times New Roman" w:hAnsi="Times New Roman" w:cs="Times New Roman"/>
          <w:color w:val="000000"/>
          <w:sz w:val="20"/>
          <w:szCs w:val="20"/>
        </w:rPr>
        <w:t xml:space="preserve"> </w:t>
      </w:r>
      <w:r w:rsidRPr="00292257">
        <w:t>an</w:t>
      </w:r>
      <w:r w:rsidRPr="00292257">
        <w:rPr>
          <w:rFonts w:ascii="Times New Roman" w:hAnsi="Times New Roman" w:cs="Times New Roman"/>
          <w:color w:val="000000"/>
          <w:sz w:val="20"/>
          <w:szCs w:val="20"/>
        </w:rPr>
        <w:t xml:space="preserve"> </w:t>
      </w:r>
      <w:r w:rsidRPr="00292257">
        <w:rPr>
          <w:rStyle w:val="StyleUnderline"/>
        </w:rPr>
        <w:t>ontological and epistemological</w:t>
      </w:r>
      <w:r w:rsidRPr="00292257">
        <w:rPr>
          <w:rFonts w:ascii="Times New Roman" w:hAnsi="Times New Roman" w:cs="Times New Roman"/>
          <w:color w:val="000000"/>
          <w:sz w:val="20"/>
          <w:szCs w:val="20"/>
        </w:rPr>
        <w:t xml:space="preserve"> </w:t>
      </w:r>
      <w:r w:rsidRPr="00292257">
        <w:t>reality</w:t>
      </w:r>
      <w:r w:rsidRPr="00292257">
        <w:rPr>
          <w:rFonts w:ascii="Times New Roman" w:hAnsi="Times New Roman" w:cs="Times New Roman"/>
          <w:color w:val="000000"/>
          <w:sz w:val="20"/>
          <w:szCs w:val="20"/>
        </w:rPr>
        <w:t xml:space="preserve"> </w:t>
      </w:r>
      <w:r w:rsidRPr="00292257">
        <w:rPr>
          <w:rStyle w:val="StyleUnderline"/>
        </w:rPr>
        <w:t>founded on settler colonial logics</w:t>
      </w:r>
      <w:r w:rsidRPr="00292257">
        <w:rPr>
          <w:rFonts w:ascii="Times New Roman" w:hAnsi="Times New Roman" w:cs="Times New Roman"/>
          <w:color w:val="000000"/>
          <w:sz w:val="20"/>
          <w:szCs w:val="20"/>
        </w:rPr>
        <w:t xml:space="preserve">. </w:t>
      </w:r>
      <w:r w:rsidRPr="00292257">
        <w:rPr>
          <w:rStyle w:val="StyleUnderline"/>
        </w:rPr>
        <w:t>Security becomes a state of existence and a way of knowing democracy</w:t>
      </w:r>
      <w:r w:rsidRPr="00292257">
        <w:rPr>
          <w:rFonts w:ascii="Times New Roman" w:hAnsi="Times New Roman" w:cs="Times New Roman"/>
          <w:color w:val="000000"/>
          <w:sz w:val="20"/>
          <w:szCs w:val="20"/>
        </w:rPr>
        <w:t xml:space="preserve"> </w:t>
      </w:r>
      <w:r w:rsidRPr="00292257">
        <w:t>as</w:t>
      </w:r>
      <w:r w:rsidRPr="00292257">
        <w:rPr>
          <w:rFonts w:ascii="Times New Roman" w:hAnsi="Times New Roman" w:cs="Times New Roman"/>
          <w:color w:val="000000"/>
          <w:sz w:val="20"/>
          <w:szCs w:val="20"/>
        </w:rPr>
        <w:t xml:space="preserve"> </w:t>
      </w:r>
      <w:r w:rsidRPr="00292257">
        <w:rPr>
          <w:rStyle w:val="StyleUnderline"/>
        </w:rPr>
        <w:t>predicated on an indefinite sense of insecurity</w:t>
      </w:r>
      <w:r w:rsidRPr="00292257">
        <w:rPr>
          <w:rFonts w:ascii="Times New Roman" w:hAnsi="Times New Roman" w:cs="Times New Roman"/>
          <w:color w:val="000000"/>
          <w:sz w:val="20"/>
          <w:szCs w:val="20"/>
        </w:rPr>
        <w:t xml:space="preserve">, </w:t>
      </w:r>
      <w:r w:rsidRPr="00292257">
        <w:t>which in turn</w:t>
      </w:r>
      <w:r w:rsidRPr="00292257">
        <w:rPr>
          <w:rFonts w:ascii="Times New Roman" w:hAnsi="Times New Roman" w:cs="Times New Roman"/>
          <w:color w:val="000000"/>
          <w:sz w:val="20"/>
          <w:szCs w:val="20"/>
        </w:rPr>
        <w:t xml:space="preserve"> </w:t>
      </w:r>
      <w:r w:rsidRPr="00292257">
        <w:rPr>
          <w:rStyle w:val="StyleUnderline"/>
        </w:rPr>
        <w:t>authorises a monopoly on legitimate violence to preserve and</w:t>
      </w:r>
      <w:r w:rsidRPr="00292257">
        <w:rPr>
          <w:rFonts w:ascii="Times New Roman" w:hAnsi="Times New Roman" w:cs="Times New Roman"/>
          <w:color w:val="000000"/>
          <w:sz w:val="20"/>
          <w:szCs w:val="20"/>
        </w:rPr>
        <w:t xml:space="preserve"> </w:t>
      </w:r>
      <w:r w:rsidRPr="00292257">
        <w:t>persevere in the demonstration of</w:t>
      </w:r>
      <w:r w:rsidRPr="00292257">
        <w:rPr>
          <w:rFonts w:ascii="Times New Roman" w:hAnsi="Times New Roman" w:cs="Times New Roman"/>
          <w:color w:val="000000"/>
          <w:sz w:val="20"/>
          <w:szCs w:val="20"/>
        </w:rPr>
        <w:t xml:space="preserve"> </w:t>
      </w:r>
      <w:r w:rsidRPr="00292257">
        <w:rPr>
          <w:rStyle w:val="StyleUnderline"/>
        </w:rPr>
        <w:t>citizenship and national belonging to white nation</w:t>
      </w:r>
      <w:r w:rsidRPr="00292257">
        <w:rPr>
          <w:rFonts w:ascii="Times New Roman" w:hAnsi="Times New Roman" w:cs="Times New Roman"/>
          <w:color w:val="000000"/>
          <w:sz w:val="20"/>
          <w:szCs w:val="20"/>
        </w:rPr>
        <w:t xml:space="preserve"> states that are </w:t>
      </w:r>
      <w:r w:rsidRPr="00292257">
        <w:rPr>
          <w:rStyle w:val="StyleUnderline"/>
        </w:rPr>
        <w:t xml:space="preserve">forged in histories of colonial invasion, genocide, theft of land, slavery and </w:t>
      </w:r>
      <w:r w:rsidRPr="00292257">
        <w:t xml:space="preserve">the protracted </w:t>
      </w:r>
      <w:r w:rsidRPr="00292257">
        <w:rPr>
          <w:rStyle w:val="StyleUnderline"/>
        </w:rPr>
        <w:t>occupation</w:t>
      </w:r>
      <w:r w:rsidRPr="00292257">
        <w:t xml:space="preserve"> of indigenous territories. What if we observe </w:t>
      </w:r>
      <w:r w:rsidRPr="00292257">
        <w:rPr>
          <w:rStyle w:val="StyleUnderline"/>
        </w:rPr>
        <w:t>national</w:t>
      </w:r>
      <w:r w:rsidRPr="00292257">
        <w:t xml:space="preserve"> </w:t>
      </w:r>
      <w:r w:rsidRPr="00292257">
        <w:rPr>
          <w:rStyle w:val="StyleUnderline"/>
        </w:rPr>
        <w:t>security</w:t>
      </w:r>
      <w:r w:rsidRPr="00292257">
        <w:t xml:space="preserve"> </w:t>
      </w:r>
      <w:r w:rsidRPr="00292257">
        <w:rPr>
          <w:rStyle w:val="StyleUnderline"/>
        </w:rPr>
        <w:t>as</w:t>
      </w:r>
      <w:r w:rsidRPr="00292257">
        <w:t xml:space="preserve"> a collection of stories – as the </w:t>
      </w:r>
      <w:r w:rsidRPr="00292257">
        <w:rPr>
          <w:rStyle w:val="StyleUnderline"/>
        </w:rPr>
        <w:t>mythologies of white nation states</w:t>
      </w:r>
      <w:r w:rsidRPr="00292257">
        <w:t xml:space="preserve"> that </w:t>
      </w:r>
      <w:r w:rsidRPr="00292257">
        <w:rPr>
          <w:rStyle w:val="StyleUnderline"/>
        </w:rPr>
        <w:t>are animating the settler colonial logics of imperialist wars</w:t>
      </w:r>
      <w:r w:rsidRPr="00292257">
        <w:t xml:space="preserve">? </w:t>
      </w:r>
      <w:r w:rsidRPr="00292257">
        <w:rPr>
          <w:rStyle w:val="StyleUnderline"/>
        </w:rPr>
        <w:t>These ‘official mythologies of white nation-states’ are rooted in the settler colonial logics</w:t>
      </w:r>
      <w:r w:rsidRPr="00292257">
        <w:t xml:space="preserve"> that Sherene Razack (2000 , 128– 129) identifies as </w:t>
      </w:r>
      <w:r w:rsidRPr="00292257">
        <w:rPr>
          <w:rStyle w:val="StyleUnderline"/>
        </w:rPr>
        <w:t xml:space="preserve">‘ narratives of innocence’ </w:t>
      </w:r>
      <w:r w:rsidRPr="00292257">
        <w:t xml:space="preserve">: through dint of hard work, the settler conquered the wilderness; the colonizer civilized the natives. In this era of globalization … whites must now contend with the disorder and chaos wrought by natives left to their own devices after decolonization. The chaos spills over from the lands of the South when migrants and refugees ‘invade’ and ‘color’ the spaces of the white North. </w:t>
      </w:r>
      <w:r w:rsidRPr="00292257">
        <w:rPr>
          <w:rStyle w:val="StyleUnderline"/>
        </w:rPr>
        <w:t xml:space="preserve">Establishing white supremacy as the ideological </w:t>
      </w:r>
      <w:r w:rsidRPr="00292257">
        <w:rPr>
          <w:rStyle w:val="Emphasis"/>
        </w:rPr>
        <w:t>foundation</w:t>
      </w:r>
      <w:r w:rsidRPr="00292257">
        <w:rPr>
          <w:rStyle w:val="StyleUnderline"/>
        </w:rPr>
        <w:t xml:space="preserve"> of North American and European national security</w:t>
      </w:r>
      <w:r w:rsidRPr="00292257">
        <w:t xml:space="preserve">, renowned early twentieth-century British-Australian scholar, Gilbert Murray proclaimed (quoted in Sanjek [1994] 1996, 1): There is in the world a hierarchy of races…. [T]hose nations which eat more, claim more, and get higher wages, will direct and rule the others, and the lower work of the world will tend in the long-run to be done by the lower breeds of man. This much we of the ruling colour will no doubt accept as obvious. </w:t>
      </w:r>
      <w:r w:rsidRPr="00292257">
        <w:rPr>
          <w:rStyle w:val="StyleUnderline"/>
        </w:rPr>
        <w:t>As ontological and epistemological realities of settler colonial logics, these mythologies of white supremacy inform national security as a state of existence that becomes an inexorable part of a coloniser’ s identity</w:t>
      </w:r>
      <w:r w:rsidRPr="00292257">
        <w:t xml:space="preserve">. Ethnographic methodologies invite researchers to grapple with these realities and the consequences of critical inquiry that endeavours to understand national security as a method of perception and participation, a method of knowing and being a settler citizen of colonising state regimes. Ethnographic field methods invite us to </w:t>
      </w:r>
      <w:r w:rsidRPr="00292257">
        <w:rPr>
          <w:rStyle w:val="StyleUnderline"/>
        </w:rPr>
        <w:t>witness the politics of knowledge production through an awareness of national security as a state of existence that informs a method of perceiving the experiences of citizenship and national belonging in conjunction with its opposites – indefinite displacement and not belonging through experiences of,</w:t>
      </w:r>
      <w:r w:rsidRPr="00292257">
        <w:t xml:space="preserve"> for example: </w:t>
      </w:r>
      <w:r w:rsidRPr="00292257">
        <w:rPr>
          <w:rStyle w:val="StyleUnderline"/>
        </w:rPr>
        <w:t>racial discrimination, forced migration, extraordinary rendition, torture and incarceration, soldiers’ suicides and suicide bombings, beheadings, drone strikes, and dogs</w:t>
      </w:r>
      <w:r w:rsidRPr="00292257">
        <w:t xml:space="preserve"> </w:t>
      </w:r>
      <w:r w:rsidRPr="00292257">
        <w:rPr>
          <w:rStyle w:val="StyleUnderline"/>
        </w:rPr>
        <w:t>bites</w:t>
      </w:r>
      <w:r w:rsidRPr="00292257">
        <w:t xml:space="preserve"> exposing the flesh and blood of people exercising their first amendment rights to </w:t>
      </w:r>
      <w:r w:rsidRPr="00292257">
        <w:rPr>
          <w:rStyle w:val="StyleUnderline"/>
        </w:rPr>
        <w:t>protest a militarised capitalist enterprise that channels the insatiable desire for fossil fuel to</w:t>
      </w:r>
      <w:r w:rsidRPr="00292257">
        <w:t xml:space="preserve"> be delivered through the Dakota Access Pipeline, which consequently pollutes the waters of the Missouri River that sustains the lives of thousands of Americans. They call themselves water protectors – hundreds of people, including veteran soldiers of the Iraq and Afghanistan wars, who joined in solidarity to become and belong to the Standing Rock nation as protectors of ecological sovereignty and </w:t>
      </w:r>
      <w:r w:rsidRPr="00292257">
        <w:lastRenderedPageBreak/>
        <w:t xml:space="preserve">security against the militarised expansion of the pipeline. </w:t>
      </w:r>
      <w:r w:rsidRPr="00292257">
        <w:rPr>
          <w:rStyle w:val="StyleUnderline"/>
        </w:rPr>
        <w:t>They are perceived as a threat to national security.</w:t>
      </w:r>
      <w:r w:rsidRPr="00292257">
        <w:t xml:space="preserve"> The state situated the protestors as the enemy against which it was required to wage war by deploying local and national law enforcement officers and private security contractors with attack dogs, water hoses in freezing temperatures, rubber bullets, pepper sprays, tear gas and concussion grenades to provide security for the capitalist project of building the pipeline. These techniques deployed to contain and neutralise the resistance of civilian protests to the Pipeline are examples of the normalised, phenomenological features of national security. </w:t>
      </w:r>
    </w:p>
    <w:p w:rsidR="00E06EF0" w:rsidRPr="00292257" w:rsidRDefault="00E06EF0" w:rsidP="00E06EF0">
      <w:pPr>
        <w:pStyle w:val="Heading4"/>
        <w:rPr>
          <w:rStyle w:val="Style13ptBold"/>
          <w:b/>
        </w:rPr>
      </w:pPr>
      <w:r w:rsidRPr="00292257">
        <w:rPr>
          <w:rStyle w:val="Style13ptBold"/>
          <w:b/>
        </w:rPr>
        <w:t xml:space="preserve">Reject settler subjectivity – the affirmative views settlement as </w:t>
      </w:r>
      <w:r w:rsidRPr="00292257">
        <w:rPr>
          <w:rStyle w:val="Style13ptBold"/>
          <w:b/>
        </w:rPr>
        <w:t>one-</w:t>
      </w:r>
      <w:r w:rsidRPr="00292257">
        <w:rPr>
          <w:rStyle w:val="Style13ptBold"/>
          <w:b/>
        </w:rPr>
        <w:t>off event, that trades off with a structural analysis of the ways in which the logic of elimination manifests in the political</w:t>
      </w:r>
    </w:p>
    <w:p w:rsidR="00E06EF0" w:rsidRPr="00292257" w:rsidRDefault="00E06EF0" w:rsidP="00E06EF0">
      <w:pPr>
        <w:rPr>
          <w:rStyle w:val="Style13ptBold"/>
          <w:b w:val="0"/>
        </w:rPr>
      </w:pPr>
      <w:r w:rsidRPr="00292257">
        <w:rPr>
          <w:rStyle w:val="Style13ptBold"/>
        </w:rPr>
        <w:t>Rifkin 14</w:t>
      </w:r>
      <w:r w:rsidRPr="00292257">
        <w:rPr>
          <w:rStyle w:val="Style13ptBold"/>
          <w:b w:val="0"/>
        </w:rPr>
        <w:t xml:space="preserve"> – Associate Professor of English &amp; WGS @ UNC-Greensboro</w:t>
      </w:r>
    </w:p>
    <w:p w:rsidR="00E06EF0" w:rsidRPr="00292257" w:rsidRDefault="00E06EF0" w:rsidP="00E06EF0">
      <w:pPr>
        <w:rPr>
          <w:rStyle w:val="Style13ptBold"/>
          <w:b w:val="0"/>
          <w:i/>
        </w:rPr>
      </w:pPr>
      <w:r w:rsidRPr="00292257">
        <w:rPr>
          <w:rStyle w:val="Style13ptBold"/>
          <w:b w:val="0"/>
        </w:rPr>
        <w:t>(Mark, ‘Settler Common Sense: Queerness and Everyday Colonialism in the American Renaissance,’ pp. 7-10)</w:t>
      </w:r>
    </w:p>
    <w:p w:rsidR="00E06EF0" w:rsidRPr="00292257" w:rsidRDefault="00E06EF0" w:rsidP="00E06EF0">
      <w:pPr>
        <w:rPr>
          <w:sz w:val="16"/>
        </w:rPr>
      </w:pPr>
      <w:r w:rsidRPr="00292257">
        <w:rPr>
          <w:sz w:val="16"/>
        </w:rPr>
        <w:t xml:space="preserve">If nineteenth-century American literary studies tends to focus on the ways Indians enter the narrative frame and the kinds of meanings and associa- tions they bear, </w:t>
      </w:r>
      <w:r w:rsidRPr="00292257">
        <w:rPr>
          <w:rStyle w:val="StyleUnderline"/>
        </w:rPr>
        <w:t xml:space="preserve">recent attempts to theorize settler colonialism have sought to </w:t>
      </w:r>
      <w:r w:rsidRPr="00292257">
        <w:rPr>
          <w:rStyle w:val="Emphasis"/>
        </w:rPr>
        <w:t>shift attention from its effects on Indigenous subjects</w:t>
      </w:r>
      <w:r w:rsidRPr="00292257">
        <w:rPr>
          <w:rStyle w:val="StyleUnderline"/>
        </w:rPr>
        <w:t xml:space="preserve"> to its implications for </w:t>
      </w:r>
      <w:r w:rsidRPr="00292257">
        <w:rPr>
          <w:rStyle w:val="Emphasis"/>
        </w:rPr>
        <w:t>nonnative political attachments, forms of inhabitance, and modes of being</w:t>
      </w:r>
      <w:r w:rsidRPr="00292257">
        <w:rPr>
          <w:sz w:val="16"/>
        </w:rPr>
        <w:t xml:space="preserve">, illuminating and </w:t>
      </w:r>
      <w:r w:rsidRPr="00292257">
        <w:rPr>
          <w:rStyle w:val="StyleUnderline"/>
        </w:rPr>
        <w:t xml:space="preserve">tracking the </w:t>
      </w:r>
      <w:r w:rsidRPr="00292257">
        <w:rPr>
          <w:rStyle w:val="Emphasis"/>
        </w:rPr>
        <w:t>pervasive operation of settlement as a system</w:t>
      </w:r>
      <w:r w:rsidRPr="00292257">
        <w:rPr>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292257">
        <w:rPr>
          <w:rStyle w:val="Emphasis"/>
        </w:rPr>
        <w:t>invasion is a structure not an event</w:t>
      </w:r>
      <w:r w:rsidRPr="00292257">
        <w:rPr>
          <w:sz w:val="16"/>
        </w:rPr>
        <w:t xml:space="preserve">” (2).6 He suggests that </w:t>
      </w:r>
      <w:r w:rsidRPr="00292257">
        <w:rPr>
          <w:rStyle w:val="StyleUnderline"/>
        </w:rPr>
        <w:t>a “logic of elimination” drives settler governance and sociality</w:t>
      </w:r>
      <w:r w:rsidRPr="00292257">
        <w:rPr>
          <w:sz w:val="16"/>
        </w:rPr>
        <w:t>, describing “</w:t>
      </w:r>
      <w:r w:rsidRPr="00292257">
        <w:rPr>
          <w:rStyle w:val="StyleUnderline"/>
        </w:rPr>
        <w:t>the settler-colonial will</w:t>
      </w:r>
      <w:r w:rsidRPr="00292257">
        <w:rPr>
          <w:sz w:val="16"/>
        </w:rPr>
        <w:t xml:space="preserve">” as “a historical force that </w:t>
      </w:r>
      <w:r w:rsidRPr="00292257">
        <w:rPr>
          <w:rStyle w:val="StyleUnderline"/>
        </w:rPr>
        <w:t>ultimately derives from the primal drive to expansion</w:t>
      </w:r>
      <w:r w:rsidRPr="00292257">
        <w:rPr>
          <w:sz w:val="16"/>
        </w:rPr>
        <w:t xml:space="preserve"> that is generally glossed as capitalism” (167), and in “Settler Colonialism and the Elimination of the Native,” he observes that “</w:t>
      </w:r>
      <w:r w:rsidRPr="00292257">
        <w:rPr>
          <w:rStyle w:val="StyleUnderline"/>
        </w:rPr>
        <w:t xml:space="preserve">elimination is an </w:t>
      </w:r>
      <w:r w:rsidRPr="00292257">
        <w:rPr>
          <w:rStyle w:val="Emphasis"/>
        </w:rPr>
        <w:t>organizing principle of settler-colonial society</w:t>
      </w:r>
      <w:r w:rsidRPr="00292257">
        <w:rPr>
          <w:rStyle w:val="StyleUnderline"/>
        </w:rPr>
        <w:t xml:space="preserve"> rather than a one-off (and superceded) occurrence</w:t>
      </w:r>
      <w:r w:rsidRPr="00292257">
        <w:rPr>
          <w:sz w:val="16"/>
        </w:rPr>
        <w:t>” (388). Rather than being superseded after an initial moment/ period of conquest, colonization persists since “</w:t>
      </w:r>
      <w:r w:rsidRPr="00292257">
        <w:rPr>
          <w:rStyle w:val="StyleUnderline"/>
        </w:rPr>
        <w:t xml:space="preserve">the logic of elimination marks a return whereby </w:t>
      </w:r>
      <w:r w:rsidRPr="00292257">
        <w:rPr>
          <w:rStyle w:val="Emphasis"/>
        </w:rPr>
        <w:t>the native repressed continues to structure settler- colonial society</w:t>
      </w:r>
      <w:r w:rsidRPr="00292257">
        <w:rPr>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292257">
        <w:rPr>
          <w:rStyle w:val="Emphasis"/>
        </w:rPr>
        <w:t>At an ontological level the structure of subjective possession</w:t>
      </w:r>
      <w:r w:rsidRPr="00292257">
        <w:rPr>
          <w:rStyle w:val="StyleUnderline"/>
        </w:rPr>
        <w:t xml:space="preserve"> occurs through the imposition of one’s will-to-be on the thing which is perceived to lack will, thus it is </w:t>
      </w:r>
      <w:r w:rsidRPr="00292257">
        <w:rPr>
          <w:rStyle w:val="Emphasis"/>
        </w:rPr>
        <w:t>open to being possessed</w:t>
      </w:r>
      <w:r w:rsidRPr="00292257">
        <w:rPr>
          <w:sz w:val="16"/>
        </w:rPr>
        <w:t>,” such that “</w:t>
      </w:r>
      <w:r w:rsidRPr="00292257">
        <w:rPr>
          <w:rStyle w:val="StyleUnderline"/>
        </w:rPr>
        <w:t>possession . . . forms</w:t>
      </w:r>
      <w:r w:rsidRPr="00292257">
        <w:rPr>
          <w:sz w:val="16"/>
        </w:rPr>
        <w:t xml:space="preserve"> part of</w:t>
      </w:r>
      <w:r w:rsidRPr="00292257">
        <w:rPr>
          <w:rStyle w:val="StyleUnderline"/>
        </w:rPr>
        <w:t xml:space="preserve"> </w:t>
      </w:r>
      <w:r w:rsidRPr="00292257">
        <w:rPr>
          <w:rStyle w:val="Emphasis"/>
        </w:rPr>
        <w:t>the ontological structure of white subjectivity</w:t>
      </w:r>
      <w:r w:rsidRPr="00292257">
        <w:rPr>
          <w:sz w:val="16"/>
        </w:rPr>
        <w:t>” (83–84). For Jodi Byrd, the deployment of Indianness as a mobile figure works as the principal mode of U.S. settler colonialism. She observes that “</w:t>
      </w:r>
      <w:r w:rsidRPr="00292257">
        <w:rPr>
          <w:rStyle w:val="StyleUnderline"/>
        </w:rPr>
        <w:t xml:space="preserve">colonization and racialization . . . have </w:t>
      </w:r>
      <w:r w:rsidRPr="00292257">
        <w:rPr>
          <w:rStyle w:val="Emphasis"/>
        </w:rPr>
        <w:t>often been conflated</w:t>
      </w:r>
      <w:r w:rsidRPr="00292257">
        <w:rPr>
          <w:rStyle w:val="StyleUnderline"/>
        </w:rPr>
        <w:t>,” in ways that</w:t>
      </w:r>
      <w:r w:rsidRPr="00292257">
        <w:rPr>
          <w:sz w:val="16"/>
        </w:rPr>
        <w:t xml:space="preserve"> “tend to be sited along the axis of inclusion/exclusion” and that “</w:t>
      </w:r>
      <w:r w:rsidRPr="00292257">
        <w:rPr>
          <w:rStyle w:val="Emphasis"/>
        </w:rPr>
        <w:t>misdirect and cloud attention from the underlying structures of settler colonialism</w:t>
      </w:r>
      <w:r w:rsidRPr="00292257">
        <w:rPr>
          <w:sz w:val="16"/>
        </w:rPr>
        <w:t xml:space="preserve">” (xxiii, xvii). She argues that </w:t>
      </w:r>
      <w:r w:rsidRPr="00292257">
        <w:rPr>
          <w:rStyle w:val="StyleUnderline"/>
        </w:rPr>
        <w:t>settlement works through the translation of indigeneity as Indianness</w:t>
      </w:r>
      <w:r w:rsidRPr="00292257">
        <w:rPr>
          <w:sz w:val="16"/>
        </w:rPr>
        <w:t>, casting place-based political collec- tivities as (racialized) populations subject to U.S. jurisdiction and manage- ment: “</w:t>
      </w:r>
      <w:r w:rsidRPr="00292257">
        <w:rPr>
          <w:rStyle w:val="StyleUnderline"/>
        </w:rPr>
        <w:t>the Indian is left nowhere and everywhere within the ontological premises through which U.S. empire orients</w:t>
      </w:r>
      <w:r w:rsidRPr="00292257">
        <w:rPr>
          <w:sz w:val="16"/>
        </w:rPr>
        <w:t xml:space="preserve">, imagines, and critiques </w:t>
      </w:r>
      <w:r w:rsidRPr="00292257">
        <w:rPr>
          <w:rStyle w:val="StyleUnderline"/>
        </w:rPr>
        <w:t>itself</w:t>
      </w:r>
      <w:r w:rsidRPr="00292257">
        <w:rPr>
          <w:sz w:val="16"/>
        </w:rPr>
        <w:t xml:space="preserve"> ”; “</w:t>
      </w:r>
      <w:r w:rsidRPr="00292257">
        <w:rPr>
          <w:rStyle w:val="StyleUnderline"/>
        </w:rPr>
        <w:t>ideas of</w:t>
      </w:r>
      <w:r w:rsidRPr="00292257">
        <w:rPr>
          <w:sz w:val="16"/>
        </w:rPr>
        <w:t xml:space="preserve"> Indians and </w:t>
      </w:r>
      <w:r w:rsidRPr="00292257">
        <w:rPr>
          <w:rStyle w:val="StyleUnderline"/>
        </w:rPr>
        <w:t xml:space="preserve">Indianness have served as </w:t>
      </w:r>
      <w:r w:rsidRPr="00292257">
        <w:rPr>
          <w:rStyle w:val="Emphasis"/>
        </w:rPr>
        <w:t xml:space="preserve">the ontological ground through which U.S. settler colonialism enacts itself </w:t>
      </w:r>
      <w:r w:rsidRPr="00292257">
        <w:rPr>
          <w:sz w:val="16"/>
        </w:rPr>
        <w:t>” (xix)</w:t>
      </w:r>
    </w:p>
    <w:p w:rsidR="00BB7302" w:rsidRPr="00292257" w:rsidRDefault="00BB7302" w:rsidP="00BB7302">
      <w:pPr>
        <w:pStyle w:val="Heading4"/>
      </w:pPr>
      <w:r w:rsidRPr="00292257">
        <w:lastRenderedPageBreak/>
        <w:t xml:space="preserve">The affirmative mystifies ongoing </w:t>
      </w:r>
      <w:r w:rsidRPr="00292257">
        <w:rPr>
          <w:u w:val="single"/>
        </w:rPr>
        <w:t>logics of elimation that</w:t>
      </w:r>
      <w:r w:rsidRPr="00292257">
        <w:t xml:space="preserve"> </w:t>
      </w:r>
      <w:r w:rsidRPr="00292257">
        <w:t>render indigenous and black bodies disposable</w:t>
      </w:r>
    </w:p>
    <w:p w:rsidR="00BB7302" w:rsidRPr="00292257" w:rsidRDefault="00BB7302" w:rsidP="00BB7302">
      <w:r w:rsidRPr="00292257">
        <w:rPr>
          <w:b/>
          <w:sz w:val="26"/>
          <w:szCs w:val="26"/>
        </w:rPr>
        <w:t>Paperson 17</w:t>
      </w:r>
      <w:r w:rsidRPr="00292257">
        <w:t xml:space="preserve"> (L</w:t>
      </w:r>
      <w:r w:rsidRPr="00292257">
        <w:t>a, also K. Wayne Yang, an associate professor of ethnic studies at the University of California, San Diego. “A Third University Is Possible” June 2017</w:t>
      </w:r>
      <w:r w:rsidRPr="00292257">
        <w:t>)</w:t>
      </w:r>
    </w:p>
    <w:p w:rsidR="00BB7302" w:rsidRPr="00292257" w:rsidRDefault="00BB7302" w:rsidP="00BB7302">
      <w:pPr>
        <w:rPr>
          <w:sz w:val="16"/>
        </w:rPr>
      </w:pPr>
      <w:r w:rsidRPr="00292257">
        <w:rPr>
          <w:sz w:val="16"/>
        </w:rPr>
        <w:t xml:space="preserve">Settler colonialism is about the land. Yet, </w:t>
      </w:r>
      <w:r w:rsidRPr="00292257">
        <w:rPr>
          <w:rStyle w:val="StyleUnderline"/>
        </w:rPr>
        <w:t>technologies to make land into property also remake Indigenous African bodies. Land is the prime concern of settler colonialism, contexts in which the colonizer comes to a “new” place not only to seize and exploit but to stay, making that “new” place his permanent home.</w:t>
      </w:r>
      <w:r w:rsidRPr="00292257">
        <w:rPr>
          <w:sz w:val="16"/>
        </w:rPr>
        <w:t xml:space="preserve"> Settler colonialism thus complicates the center–periphery model that was classically used to describe colonialism, wherein an imperial center, the “metropole,” dominates distant colonies, the “periphery.” 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 Theories named as “settler colonial studies” had a resurgence beginning around 2006.</w:t>
      </w:r>
      <w:hyperlink r:id="rId11" w:anchor="en23" w:history="1">
        <w:r w:rsidRPr="00292257">
          <w:rPr>
            <w:rStyle w:val="Hyperlink"/>
            <w:sz w:val="16"/>
          </w:rPr>
          <w:t>[2]</w:t>
        </w:r>
      </w:hyperlink>
      <w:r w:rsidRPr="00292257">
        <w:rPr>
          <w:sz w:val="16"/>
        </w:rPr>
        <w:t xml:space="preserve"> However, the analysis of settler colonialism is actually not new, only often ignored within Western critiques of empire.</w:t>
      </w:r>
      <w:hyperlink r:id="rId12" w:anchor="en24" w:history="1">
        <w:r w:rsidRPr="00292257">
          <w:rPr>
            <w:rStyle w:val="Hyperlink"/>
            <w:sz w:val="16"/>
          </w:rPr>
          <w:t>[3]</w:t>
        </w:r>
      </w:hyperlink>
      <w:r w:rsidRPr="00292257">
        <w:rPr>
          <w:sz w:val="16"/>
        </w:rPr>
        <w:t xml:space="preserve"> The critical literatures of the colonized have long positioned the violence of settlement as a prime feature in colonial life as well as in global arrangements of power. We can see this in Franz Fanon’s foundational critiques of colonialism. Whereas Fanon’s work is often generalized for its diagnoses of anti/colonial violence and the racialized psychoses of colonization upon colonized and colonizer, Fanon is also talking about settlement as the particular feature of French colonization in Algeria. For Fanon, the violence of French colonization in Algeria arises from settlement as a spatial immediacy of empire: the geospatial collapse of metropole and colony into the same time and place. On the “selfsame land” are spatialized white immunity and racialized violation, non-Native desires for freedom, Black life, and Indigenous relations.</w:t>
      </w:r>
      <w:hyperlink r:id="rId13" w:anchor="en25" w:history="1">
        <w:r w:rsidRPr="00292257">
          <w:rPr>
            <w:rStyle w:val="Hyperlink"/>
            <w:sz w:val="16"/>
          </w:rPr>
          <w:t>[4]</w:t>
        </w:r>
      </w:hyperlink>
      <w:r w:rsidRPr="00292257">
        <w:rPr>
          <w:sz w:val="16"/>
        </w:rPr>
        <w:t xml:space="preserve"> </w:t>
      </w:r>
      <w:r w:rsidRPr="00292257">
        <w:rPr>
          <w:rStyle w:val="Emphasis"/>
        </w:rPr>
        <w:t>Settler colonialism is too often thought of as “what happened” to Indigenous people. This kind of thinking confines the experiences of Indigenous people, their critiques of settler colonialism, their decolonial imaginations, to an unwarranted historicizing parochialism, as if settler colonialism were a past event that “happened to” Native peoples and not generalizable to non-Natives.Actually, settler colonialism is something that “happened for” settlers.Indeed, it is happening for them/us right now.</w:t>
      </w:r>
      <w:r w:rsidRPr="00292257">
        <w:rPr>
          <w:sz w:val="16"/>
        </w:rPr>
        <w:t xml:space="preserve"> Wa Thiong’o’s question of how instead of why directs us to think of land tenancy laws, debt, and </w:t>
      </w:r>
      <w:r w:rsidRPr="00292257">
        <w:rPr>
          <w:rStyle w:val="StyleUnderline"/>
        </w:rPr>
        <w:t xml:space="preserve">the privatization of land as settler colonial technologies that enable the “eventful” history of plunder and disappearance. Property law is a settler colonial technology. </w:t>
      </w:r>
      <w:r w:rsidRPr="00292257">
        <w:rPr>
          <w:rStyle w:val="Emphasis"/>
        </w:rPr>
        <w:t>The weapons that enforce it, the knowledge institutions that legitimize it, the financial institutions that operationalize it, are also technologies</w:t>
      </w:r>
      <w:r w:rsidRPr="00292257">
        <w:rPr>
          <w:rStyle w:val="StyleUnderline"/>
        </w:rPr>
        <w:t>. Like all technologies, they evolve and spread. Recasting land as property means severing Indigenous peoples from land. This separation, what Hortense Spillers describes as “the loss of Indigenous name/land” for Africans-turned-chattel, recasts Black Indigenous people as black bodies for biopolitical disposal: who will be moved where, who will be murdered how, who will be machinery for what, and who will be made property for whom.</w:t>
      </w:r>
      <w:hyperlink r:id="rId14" w:anchor="en26" w:history="1">
        <w:r w:rsidRPr="00292257">
          <w:rPr>
            <w:rStyle w:val="StyleUnderline"/>
          </w:rPr>
          <w:t>[5]</w:t>
        </w:r>
      </w:hyperlink>
      <w:r w:rsidRPr="00292257">
        <w:rPr>
          <w:rStyle w:val="StyleUnderline"/>
        </w:rPr>
        <w:t xml:space="preserve"> In the alienation of land from life, alienable rights are produced: the right to own (property), the right to law (protection through legitimated violence), the right to govern (supremacist sovereignty), the right to have rights (humanity). </w:t>
      </w:r>
      <w:r w:rsidRPr="00292257">
        <w:rPr>
          <w:rStyle w:val="Emphasis"/>
        </w:rPr>
        <w:t>In a word, what is produced is whiteness.</w:t>
      </w:r>
      <w:r w:rsidRPr="00292257">
        <w:rPr>
          <w:sz w:val="16"/>
        </w:rPr>
        <w:t xml:space="preserve">Moreover, it is not just human beings who are refigured in the schism. </w:t>
      </w:r>
      <w:r w:rsidRPr="00292257">
        <w:rPr>
          <w:rStyle w:val="StyleUnderline"/>
        </w:rPr>
        <w:t>Land and nonhumans become alienable properties, a move that first alienates land from its own sovereign life. Thus we can speak of the various technologies required to create and maintain these separations, these alienations: Black from Indigenous, human from nonhuman, land from life.</w:t>
      </w:r>
      <w:hyperlink r:id="rId15" w:anchor="en27" w:history="1">
        <w:r w:rsidRPr="00292257">
          <w:rPr>
            <w:rStyle w:val="StyleUnderline"/>
          </w:rPr>
          <w:t>[6]</w:t>
        </w:r>
      </w:hyperlink>
      <w:r w:rsidRPr="00292257">
        <w:rPr>
          <w:rStyle w:val="StyleUnderline"/>
        </w:rPr>
        <w:t xml:space="preserve"> </w:t>
      </w:r>
      <w:r w:rsidRPr="00292257">
        <w:rPr>
          <w:sz w:val="16"/>
        </w:rPr>
        <w:t xml:space="preserve">“How?” is a question you ask if you are concerned with the mechanisms, not just the motives, of colonization. </w:t>
      </w:r>
      <w:r w:rsidRPr="00292257">
        <w:rPr>
          <w:rStyle w:val="Emphasis"/>
        </w:rPr>
        <w:t xml:space="preserve">Instead of settler colonialism as an ideology, or as a history, you might consider settler colonialism as a set of technologies—a frame that could help you to forecast colonial next operations and to plot decolonial directions. </w:t>
      </w:r>
      <w:r w:rsidRPr="00292257">
        <w:rPr>
          <w:sz w:val="16"/>
        </w:rPr>
        <w:t xml:space="preserve">This chapter proceeds with the following insights. </w:t>
      </w:r>
      <w:r w:rsidRPr="00292257">
        <w:rPr>
          <w:rStyle w:val="StyleUnderline"/>
        </w:rPr>
        <w:t xml:space="preserve">(1) The settler–native–slave triad does not describe identities. The triad—an analytic mainstay of settler colonial studies—digs a pitfall of identity that not only chills collaborations but also </w:t>
      </w:r>
      <w:r w:rsidRPr="00292257">
        <w:rPr>
          <w:rStyle w:val="StyleUnderline"/>
        </w:rPr>
        <w:lastRenderedPageBreak/>
        <w:t>implies that the racial will be the solution. (2) Technologies are trafficked. Technologies generate patterns of social relations to land. Technologies mutate, and so do these relationships. Colonial technologies travel. In tracing technologies’ past and future trajectories, we can connect how settler colonial and antiblack technologies circulate in transnational arenas. (3) Land—not just people—is the biopolitical target.</w:t>
      </w:r>
      <w:hyperlink r:id="rId16" w:anchor="en28" w:history="1">
        <w:r w:rsidRPr="00292257">
          <w:rPr>
            <w:rStyle w:val="StyleUnderline"/>
          </w:rPr>
          <w:t>[7]</w:t>
        </w:r>
      </w:hyperlink>
      <w:r w:rsidRPr="00292257">
        <w:rPr>
          <w:rStyle w:val="StyleUnderline"/>
        </w:rPr>
        <w:t xml:space="preserve"> The examples are many: fracking, biopiracy, damming of rivers and flooding of valleys,</w:t>
      </w:r>
      <w:r w:rsidRPr="00292257">
        <w:rPr>
          <w:sz w:val="16"/>
        </w:rPr>
        <w:t xml:space="preserve"> the carcasses of pigs that die from the feed additive ractopamine and are allowable for harvest by the U.S. Food and Drug Administration. The subjugation of land and nonhuman life to deathlike states in order to support “human” life is a “biopolitics” well beyond the Foucauldian conception of biopolitical as governmentality or the neoliberal disciplining of modern, bourgeois, “human” subject. (4) (Y)our task is to theorize in the break, that is, to refuse the master narrative that technology is loyal to the master, that (y)our theory has a Eurocentric origin. </w:t>
      </w:r>
      <w:r w:rsidRPr="00292257">
        <w:rPr>
          <w:rStyle w:val="StyleUnderline"/>
        </w:rPr>
        <w:t>Black studies, Indigenous studies, and Other-ed studies have already made their breaks with Foucault (over biopolitics), with Deleuze and Guatarri (over assemblages and machines), and with Marx (over life and primitive accumulation). (5) Even when they are dangerous, understanding technologies provides us some pathways for decolonizing work. We can identify projects of collaboration on decolonial technologies. Colonizing mechanisms are evolving into new forms, and they might be subverted toward decolonizing operations. The Settler–Native–Slave Triad Does Not Describe Identities One of the main interventions of settler colonial studies has been to insist that the patterning of social relations is shaped by colonialism’s thirst for land and thus is shaped to fit modes of empire.</w:t>
      </w:r>
      <w:r w:rsidRPr="00292257">
        <w:rPr>
          <w:sz w:val="16"/>
        </w:rPr>
        <w:t xml:space="preserve"> Because colonialism is a perverted affair, our relationships are also warped into complicitous arrangements of violation, trespass, and collusion with its mechanisms. For Fanon, the psychosis of colonialism arises from the patterning of violence into the binary relationship between the immune humanity of the white settler and the impugned humanity of the native. For Fanon, the supremacist “right” to create settler space that is immune from violence, and the “right” to abuse the body of the Native to maintain white immunity, this is the spatial and fleshy immediacy of settler colonialism. Furthermore</w:t>
      </w:r>
      <w:r w:rsidRPr="00292257">
        <w:rPr>
          <w:rStyle w:val="StyleUnderline"/>
        </w:rPr>
        <w:t>, the “humanity” of the settler is constructed upon his agency over the land and nature. As Maldonado-Torres explains, “I think, therefore I am” is actually an articulation of “I conquer, therefore I am</w:t>
      </w:r>
      <w:r w:rsidRPr="00292257">
        <w:rPr>
          <w:sz w:val="16"/>
        </w:rPr>
        <w:t>,” a sense of identity posited upon the harnessing of nature and its “natural” people.</w:t>
      </w:r>
      <w:hyperlink r:id="rId17" w:anchor="en29" w:history="1">
        <w:r w:rsidRPr="00292257">
          <w:rPr>
            <w:rStyle w:val="Hyperlink"/>
            <w:sz w:val="16"/>
          </w:rPr>
          <w:t>[8]</w:t>
        </w:r>
      </w:hyperlink>
      <w:r w:rsidRPr="00292257">
        <w:rPr>
          <w:sz w:val="16"/>
        </w:rPr>
        <w:t xml:space="preserve"> </w:t>
      </w:r>
      <w:r w:rsidRPr="00292257">
        <w:rPr>
          <w:rStyle w:val="StyleUnderline"/>
        </w:rPr>
        <w:t>This creates a host of post+colonial problems that have come to define modernity. Because the humanity of the settler is predicated on his ability to “write the world,” to make history upon and over the natural world, the colonized is instructed to make her claim to humanity by similarly acting on the world or, more precisely, acting in his</w:t>
      </w:r>
      <w:r w:rsidRPr="00292257">
        <w:rPr>
          <w:sz w:val="16"/>
        </w:rPr>
        <w:t>.</w:t>
      </w:r>
    </w:p>
    <w:p w:rsidR="00BB7302" w:rsidRPr="00292257" w:rsidRDefault="00BB7302" w:rsidP="00BB7302">
      <w:pPr>
        <w:pStyle w:val="Heading4"/>
        <w:rPr>
          <w:sz w:val="16"/>
        </w:rPr>
      </w:pPr>
      <w:r w:rsidRPr="00292257">
        <w:t>We cannot observe Settler Colonialism’s structural invasion via logic of elimination as an event, but rather a matrix of relations and conditions that define life within the settler-state.</w:t>
      </w:r>
      <w:r w:rsidRPr="00292257">
        <w:rPr>
          <w:sz w:val="16"/>
        </w:rPr>
        <w:t xml:space="preserve"> </w:t>
      </w:r>
      <w:r w:rsidRPr="00292257">
        <w:t>Settlement serves as the ontological pre-condition to how bodies are racialized and minoritized on stolen land.</w:t>
      </w:r>
    </w:p>
    <w:p w:rsidR="00BB7302" w:rsidRPr="00292257" w:rsidRDefault="00BB7302" w:rsidP="00BB7302">
      <w:r w:rsidRPr="00292257">
        <w:rPr>
          <w:rStyle w:val="Style13ptBold"/>
        </w:rPr>
        <w:t>Tuck and Rowe 17</w:t>
      </w:r>
      <w:r w:rsidRPr="00292257">
        <w:t xml:space="preserve"> – Eve Tuck is a professor at U</w:t>
      </w:r>
      <w:r w:rsidRPr="00292257">
        <w:t xml:space="preserve"> of Toronto, </w:t>
      </w:r>
      <w:r w:rsidRPr="00292257">
        <w:t xml:space="preserve">Ontario, Canada. </w:t>
      </w:r>
      <w:r w:rsidRPr="00292257">
        <w:t xml:space="preserve">Aimee Carrillo Rowe </w:t>
      </w:r>
      <w:r w:rsidRPr="00292257">
        <w:t>is a professor at</w:t>
      </w:r>
      <w:r w:rsidRPr="00292257">
        <w:t xml:space="preserve"> California State University, Northridge, USA. </w:t>
      </w:r>
      <w:r w:rsidRPr="00292257">
        <w:t>“</w:t>
      </w:r>
      <w:r w:rsidRPr="00292257">
        <w:t>Cultural Studies ↔ Critical Methodologies</w:t>
      </w:r>
      <w:r w:rsidRPr="00292257">
        <w:t>”</w:t>
      </w:r>
      <w:r w:rsidRPr="00292257">
        <w:t xml:space="preserve"> 2017, Vol. 17(1) 3–13 © 2016 SAGE Publications Reprints and permissions: sagepub.com/journalsPermissions.nav DOI: 10.1177/1532708616653693 journals.sagepub.com/home/csc] </w:t>
      </w:r>
    </w:p>
    <w:p w:rsidR="00BB7302" w:rsidRPr="00292257" w:rsidRDefault="00BB7302" w:rsidP="00BB7302">
      <w:pPr>
        <w:jc w:val="both"/>
        <w:rPr>
          <w:sz w:val="14"/>
        </w:rPr>
      </w:pPr>
      <w:r w:rsidRPr="00292257">
        <w:rPr>
          <w:rStyle w:val="StyleUnderline"/>
        </w:rPr>
        <w:t>This special issue on settler colonialism and cultural production seeks to intervene in cultural studies, drawing on Indigenous studies and approaches to analyzing settler colonialism to untangle the cultural and material work of settlement as a foundational solipsism of U.S. and global relations of power and control</w:t>
      </w:r>
      <w:r w:rsidRPr="00292257">
        <w:rPr>
          <w:sz w:val="14"/>
        </w:rPr>
        <w:t xml:space="preserve">. Cultural studies’ </w:t>
      </w:r>
      <w:r w:rsidRPr="00292257">
        <w:rPr>
          <w:rStyle w:val="Emphasis"/>
        </w:rPr>
        <w:t>theorizations of race, space, and colonization have yet to adequately grapple with the politics of settlement on Indigenous land</w:t>
      </w:r>
      <w:r w:rsidRPr="00292257">
        <w:rPr>
          <w:sz w:val="14"/>
        </w:rPr>
        <w:t xml:space="preserve">. </w:t>
      </w:r>
      <w:r w:rsidRPr="00292257">
        <w:rPr>
          <w:rStyle w:val="StyleUnderline"/>
        </w:rPr>
        <w:t xml:space="preserve">Critical </w:t>
      </w:r>
      <w:r w:rsidRPr="00292257">
        <w:rPr>
          <w:rStyle w:val="StyleUnderline"/>
        </w:rPr>
        <w:lastRenderedPageBreak/>
        <w:t xml:space="preserve">cultural studies </w:t>
      </w:r>
      <w:r w:rsidRPr="00292257">
        <w:rPr>
          <w:rStyle w:val="Emphasis"/>
        </w:rPr>
        <w:t>projects are often grounded in assumptions that</w:t>
      </w:r>
      <w:r w:rsidRPr="00292257">
        <w:rPr>
          <w:rStyle w:val="StyleUnderline"/>
        </w:rPr>
        <w:t xml:space="preserve"> presume and </w:t>
      </w:r>
      <w:r w:rsidRPr="00292257">
        <w:rPr>
          <w:rStyle w:val="Emphasis"/>
        </w:rPr>
        <w:t>erase settler colonial epistemologies</w:t>
      </w:r>
      <w:r w:rsidRPr="00292257">
        <w:rPr>
          <w:rStyle w:val="StyleUnderline"/>
        </w:rPr>
        <w:t xml:space="preserve"> so that </w:t>
      </w:r>
      <w:r w:rsidRPr="00292257">
        <w:rPr>
          <w:rStyle w:val="Emphasis"/>
        </w:rPr>
        <w:t>even in our best attempts to challenge systems of exclusion and privilege unwittingly reify the normatively White Enlightenment subject</w:t>
      </w:r>
      <w:r w:rsidRPr="00292257">
        <w:rPr>
          <w:sz w:val="14"/>
        </w:rPr>
        <w:t xml:space="preserve">, and the settler colonial grounds on which it is formed. For Chickasaw theorist, Jodi Byrd, </w:t>
      </w:r>
      <w:r w:rsidRPr="00292257">
        <w:rPr>
          <w:rStyle w:val="StyleUnderline"/>
        </w:rPr>
        <w:t xml:space="preserve">the production of critical projects like cultural studies circulates through the erasure of Indigenous genocide and conquest. </w:t>
      </w:r>
      <w:r w:rsidRPr="00292257">
        <w:rPr>
          <w:sz w:val="14"/>
        </w:rPr>
        <w:t>Byrd’s (2011) careful genealogical critique reveals that “</w:t>
      </w:r>
      <w:r w:rsidRPr="00292257">
        <w:rPr>
          <w:rStyle w:val="Emphasis"/>
        </w:rPr>
        <w:t>prevailing understandings of race and racialization within U.S. post-colonial, area, and queer studies depend upon an historical aphasia of the conquest of indigenous people</w:t>
      </w:r>
      <w:r w:rsidRPr="00292257">
        <w:rPr>
          <w:sz w:val="14"/>
        </w:rPr>
        <w:t>s” (p. 24). The methods culture critics deploy, like genealogy and deconstruction, presume, and participate in the erasure of Indigenous peoples as modern subjects, but rather as “located outside temporality and presence,” which is particularly egregious in the “face of the very present and ongoing colonization of indigenous lands, resources, and lives” (Byrd, 2011, p. 6). Byrd (2011) underscores how “</w:t>
      </w:r>
      <w:r w:rsidRPr="00292257">
        <w:rPr>
          <w:rStyle w:val="Emphasis"/>
        </w:rPr>
        <w:t>the savage and the ‘Indian’ . . . serves as the ground and pre-condition for structuralism and formalism, as well as their posts” and persists as a “an undeconstructable core within critical theories that attempt to dismantle how knowledge, power, and language function”</w:t>
      </w:r>
      <w:r w:rsidRPr="00292257">
        <w:rPr>
          <w:sz w:val="14"/>
        </w:rPr>
        <w:t xml:space="preserve"> (p. 10). The figure of the Native as the “undeconstructable core” within the knowledge/power/language formation of cultural studies circulates as an undigested subtext. </w:t>
      </w:r>
      <w:r w:rsidRPr="00292257">
        <w:rPr>
          <w:rStyle w:val="Emphasis"/>
        </w:rPr>
        <w:t>Our unwitting reproduction of settler logics are foundational to our theorizations of racial, (post)colonial, and material formations as our knowledge production</w:t>
      </w:r>
      <w:r w:rsidRPr="00292257">
        <w:rPr>
          <w:rStyle w:val="StyleUnderline"/>
        </w:rPr>
        <w:t xml:space="preserve"> not only </w:t>
      </w:r>
      <w:r w:rsidRPr="00292257">
        <w:rPr>
          <w:rStyle w:val="Emphasis"/>
        </w:rPr>
        <w:t xml:space="preserve">erases the identities </w:t>
      </w:r>
      <w:r w:rsidRPr="00292257">
        <w:rPr>
          <w:rStyle w:val="StyleUnderline"/>
        </w:rPr>
        <w:t xml:space="preserve">experience </w:t>
      </w:r>
      <w:r w:rsidRPr="00292257">
        <w:rPr>
          <w:rStyle w:val="Emphasis"/>
        </w:rPr>
        <w:t>of first nations peoples</w:t>
      </w:r>
      <w:r w:rsidRPr="00292257">
        <w:rPr>
          <w:rStyle w:val="StyleUnderline"/>
        </w:rPr>
        <w:t xml:space="preserve"> </w:t>
      </w:r>
      <w:r w:rsidRPr="00292257">
        <w:rPr>
          <w:rStyle w:val="Emphasis"/>
        </w:rPr>
        <w:t>but also perpetuates and remains complicit with settler projects: the “disappearance” of Native peoples</w:t>
      </w:r>
      <w:r w:rsidRPr="00292257">
        <w:rPr>
          <w:rStyle w:val="StyleUnderline"/>
        </w:rPr>
        <w:t xml:space="preserve">, </w:t>
      </w:r>
      <w:r w:rsidRPr="00292257">
        <w:rPr>
          <w:rStyle w:val="Emphasis"/>
        </w:rPr>
        <w:t>the theft and privatization of land for profit, and the ongoing genocide of Indigenous people</w:t>
      </w:r>
      <w:r w:rsidRPr="00292257">
        <w:rPr>
          <w:sz w:val="14"/>
        </w:rPr>
        <w:t xml:space="preserve">. In part, then, this special issue aims to offer the field of cultural studies host of theoretical resources and methodological approaches to settler colonial studies as a way to deepen our treatment of settler cultural formations to begin the dirty work of deconstructing the rhetorical and material practices of settler colonialism. For instance, Whiteness must be more fully interrogated as a settler project, especially within U.S. contexts; </w:t>
      </w:r>
      <w:r w:rsidRPr="00292257">
        <w:rPr>
          <w:rStyle w:val="Emphasis"/>
        </w:rPr>
        <w:t>imperialism must be theorized as productive of, but not the same as, settler colonialism;</w:t>
      </w:r>
      <w:r w:rsidRPr="00292257">
        <w:rPr>
          <w:sz w:val="14"/>
        </w:rPr>
        <w:t xml:space="preserve"> popular cultural studies should be radically rethought through a critical examination of pervasive representations that disappear Indigenous peoples. </w:t>
      </w:r>
      <w:r w:rsidRPr="00292257">
        <w:rPr>
          <w:rStyle w:val="Emphasis"/>
        </w:rPr>
        <w:t>Works in settler colonial studies may be at their best when they engage Indigenous theorizations of genocide and survivance, especially in conversation with Black theorizations of antiBlackness and futurity</w:t>
      </w:r>
      <w:r w:rsidRPr="00292257">
        <w:rPr>
          <w:sz w:val="14"/>
        </w:rPr>
        <w:t xml:space="preserve">. As such, </w:t>
      </w:r>
      <w:r w:rsidRPr="00292257">
        <w:rPr>
          <w:rStyle w:val="StyleUnderline"/>
        </w:rPr>
        <w:t xml:space="preserve">settler colonial studies provides a vibrant examination of power relations in its extensive treatment of such topics as sovereignty, nationalism and nation formation; imperial formations, genocide, removal, colonial legacies; the politics of land, landedness, space and place; intersectionality, queer theory, gender studies; race, racialization, White supremacy; affect studies; futurities, materialities, environmentalism, new materialism; and tourism and travel. </w:t>
      </w:r>
      <w:r w:rsidRPr="00292257">
        <w:rPr>
          <w:sz w:val="14"/>
        </w:rPr>
        <w:t xml:space="preserve">New approaches to a variety of the above topics are of urgent importance to cultural studies practitioners. Yet, with the exception of a handful of scholars, </w:t>
      </w:r>
      <w:r w:rsidRPr="00292257">
        <w:rPr>
          <w:rStyle w:val="StyleUnderline"/>
        </w:rPr>
        <w:t>treatments of settler colonialism have largely remained undertheorized in cultural studies, where concepts like “settlers” and “settlement” appear as secondary categories—if they appear at all. For instance, while postcolonial critics have attended to settler colonialism in their theorizations of nation-state and imperial formations, the “post” remains a vexed term in Native studies, where any move to place colonialism in the past risks reifying the myth of the disappearing Indian and the naturalized settler</w:t>
      </w:r>
      <w:r w:rsidRPr="00292257">
        <w:rPr>
          <w:sz w:val="14"/>
        </w:rPr>
        <w:t xml:space="preserve">. While Indigenous studies and postcolonial studies draw on a similar cannon (i.e., Frantz Fanon) and attend to related questions of thinking and imaging beyond the colonial, the fields have yet to build strong ties (Byrd &amp; Rothberg, 2011). In spite of theoretical and political affinities, the conversations between these fields, Jodi Byrd and Michael Rothenberg argue, have “largely been foreclosed” (p. 4). Among other reasons, Indigenous scholars are suspicious of the “post” in relation to “colonial” for “confronting the ongoing colonization of native lands remains at the top of the agenda for indigenous peoples” (Byrd &amp; Rothberg, 2011, p. 4). Indigenous scholars also question the “fit” between “models developed as a response to colonization of Indian subcontinent and Africa” and those that emerge in response to settler state formations (Byrd &amp; Rothberg, 2011, p. 4). Unlike the postcolonial, the project of decolonization is centrally concerned with </w:t>
      </w:r>
      <w:r w:rsidRPr="00292257">
        <w:rPr>
          <w:rStyle w:val="StyleUnderline"/>
        </w:rPr>
        <w:t>the settlement of Indigenous land, which is “rooted in the elimination of Indigenous peoples, polities and relationships from and with the land,” making the field “conceptually distinct from other kinds of communication</w:t>
      </w:r>
      <w:r w:rsidRPr="00292257">
        <w:rPr>
          <w:sz w:val="14"/>
        </w:rPr>
        <w:t>” (Snelgrove et al., 2014, pp. 7-8).</w:t>
      </w:r>
      <w:r w:rsidRPr="00292257">
        <w:rPr>
          <w:rStyle w:val="StyleUnderline"/>
          <w:sz w:val="14"/>
          <w:u w:val="none"/>
        </w:rPr>
        <w:t xml:space="preserve"> </w:t>
      </w:r>
      <w:r w:rsidRPr="00292257">
        <w:rPr>
          <w:rStyle w:val="StyleUnderline"/>
        </w:rPr>
        <w:t>In their essay, “Decolonization Is Not a Metaphor,” Eve Tuck and K. Wayne Yang argue that we must interrogate our treatments of “decolonization” as a noun (decolonization), instead of a verb (decolonize).</w:t>
      </w:r>
      <w:r w:rsidRPr="00292257">
        <w:rPr>
          <w:sz w:val="14"/>
        </w:rPr>
        <w:t xml:space="preserve"> </w:t>
      </w:r>
      <w:r w:rsidRPr="00292257">
        <w:rPr>
          <w:rStyle w:val="Emphasis"/>
        </w:rPr>
        <w:t xml:space="preserve">When we prioritize social justice, civil rights, and equality efforts, it is easy to </w:t>
      </w:r>
      <w:r w:rsidRPr="00292257">
        <w:rPr>
          <w:rStyle w:val="Emphasis"/>
        </w:rPr>
        <w:lastRenderedPageBreak/>
        <w:t>elide the more uncomfortable work of examining questions of landedness, racial categories, and settlement. In the process, we turn “decolonization” into a metaphor</w:t>
      </w:r>
      <w:r w:rsidRPr="00292257">
        <w:rPr>
          <w:sz w:val="14"/>
        </w:rPr>
        <w:t xml:space="preserve">. </w:t>
      </w:r>
      <w:r w:rsidRPr="00292257">
        <w:rPr>
          <w:rStyle w:val="StyleUnderline"/>
        </w:rPr>
        <w:t>By centering settler colonialism,</w:t>
      </w:r>
      <w:r w:rsidRPr="00292257">
        <w:rPr>
          <w:sz w:val="14"/>
        </w:rPr>
        <w:t xml:space="preserve"> Tuck and Yang (2012) rethink racial categories in terms of a “triad structure of settler-Indigenous-chattel slave,” arguing </w:t>
      </w:r>
      <w:r w:rsidRPr="00292257">
        <w:rPr>
          <w:rStyle w:val="Emphasis"/>
        </w:rPr>
        <w:t>“the decolonial desires of white, nonwhite, immigrant, postcolonial, and oppressed people, can similarly be entangled in resettlement, reoccupation, and reinhabitation that actually further settler colonialism</w:t>
      </w:r>
      <w:r w:rsidRPr="00292257">
        <w:rPr>
          <w:sz w:val="14"/>
        </w:rPr>
        <w:t xml:space="preserve">” (p. 2). But this rethinking is not a remaking of racial categories. </w:t>
      </w:r>
      <w:r w:rsidRPr="00292257">
        <w:rPr>
          <w:rStyle w:val="StyleUnderline"/>
        </w:rPr>
        <w:t>The triad, at least in Tuck and Yang’s configuration, is not a closed set; it is not trying to explain everything</w:t>
      </w:r>
      <w:r w:rsidRPr="00292257">
        <w:rPr>
          <w:sz w:val="14"/>
        </w:rPr>
        <w:t xml:space="preserve">. Cramped into a footnote on page 7 and taken up more fully elsewhere (Tuck, Guess, &amp; Sultan, 2014), Tuck and Yang (2012) </w:t>
      </w:r>
      <w:r w:rsidRPr="00292257">
        <w:rPr>
          <w:rStyle w:val="StyleUnderline"/>
        </w:rPr>
        <w:t>caution that settler-Indigenous-chattel slave are not analogues— that is, they are not uniform units that are just a little different from each other</w:t>
      </w:r>
      <w:r w:rsidRPr="00292257">
        <w:rPr>
          <w:sz w:val="14"/>
        </w:rPr>
        <w:t xml:space="preserve">. </w:t>
      </w:r>
      <w:r w:rsidRPr="00292257">
        <w:rPr>
          <w:rStyle w:val="StyleUnderline"/>
        </w:rPr>
        <w:t>Indigeneity precedes and supersedes settler colonialism; chattel slavery is not an identity, not a stand-in for Blackness</w:t>
      </w:r>
      <w:r w:rsidRPr="00292257">
        <w:rPr>
          <w:sz w:val="14"/>
        </w:rPr>
        <w:t xml:space="preserve">. Tiffany Lethabo </w:t>
      </w:r>
      <w:r w:rsidRPr="00292257">
        <w:rPr>
          <w:rStyle w:val="StyleUnderline"/>
        </w:rPr>
        <w:t>King</w:t>
      </w:r>
      <w:r w:rsidRPr="00292257">
        <w:rPr>
          <w:sz w:val="14"/>
        </w:rPr>
        <w:t xml:space="preserve"> (2014) </w:t>
      </w:r>
      <w:r w:rsidRPr="00292257">
        <w:rPr>
          <w:rStyle w:val="StyleUnderline"/>
        </w:rPr>
        <w:t>has rightly pointed out the limits of theorizing Black life as fungible, and the pained logics of cohering Blackness as labor</w:t>
      </w:r>
      <w:r w:rsidRPr="00292257">
        <w:rPr>
          <w:sz w:val="14"/>
        </w:rPr>
        <w:t xml:space="preserve">. King (2014) observes, </w:t>
      </w:r>
      <w:r w:rsidRPr="00292257">
        <w:rPr>
          <w:rStyle w:val="StyleUnderline"/>
        </w:rPr>
        <w:t>While labor as a discourse may work for non-Black and nonNative people of color as a way of interpellating themselves within settler colonial relations, it does not explain Black presence, Black labor or Black use in White settler nationstates</w:t>
      </w:r>
      <w:r w:rsidRPr="00292257">
        <w:rPr>
          <w:sz w:val="14"/>
        </w:rPr>
        <w:t>. Theories that attempt to triangulate Blackness into the Settler/Native antagonism in White settler states do so by positing Blackness as the labor force that helps make the settler landscape possible</w:t>
      </w:r>
      <w:r w:rsidRPr="00292257">
        <w:rPr>
          <w:rStyle w:val="Emphasis"/>
        </w:rPr>
        <w:t>. It is true that Black labor literally tills, fences in and cultivates the settler’s land</w:t>
      </w:r>
      <w:r w:rsidRPr="00292257">
        <w:rPr>
          <w:sz w:val="14"/>
        </w:rPr>
        <w:t xml:space="preserve">. However, this singular analysis both obscures the issue of </w:t>
      </w:r>
      <w:r w:rsidRPr="00292257">
        <w:rPr>
          <w:rStyle w:val="StyleUnderline"/>
        </w:rPr>
        <w:t>Black fungibility and reduces Blackness to a mere tool of settlement rather than a constitutive element of settler colonialism’s conceptual order.</w:t>
      </w:r>
      <w:r w:rsidRPr="00292257">
        <w:rPr>
          <w:sz w:val="14"/>
        </w:rPr>
        <w:t xml:space="preserve"> (n.p.) </w:t>
      </w:r>
      <w:r w:rsidRPr="00292257">
        <w:rPr>
          <w:rStyle w:val="StyleUnderline"/>
        </w:rPr>
        <w:t>Thus, the triad is insufficient to describe anything but a set of relations, a set of antagonisms (Wilderson, 2010). And they are not just a set of relationships to one another but also relationships to place. In attending to these relations, possibilities for practice and politics emerge.</w:t>
      </w:r>
      <w:r w:rsidRPr="00292257">
        <w:rPr>
          <w:sz w:val="14"/>
        </w:rPr>
        <w:t xml:space="preserve"> Possibilities for (contingent) collaborations, (re)interpretations, remixes, and audiences make themselves known. </w:t>
      </w:r>
      <w:r w:rsidRPr="00292257">
        <w:rPr>
          <w:rStyle w:val="Emphasis"/>
        </w:rPr>
        <w:t>Formulations of relationships structured by settler colonialism</w:t>
      </w:r>
      <w:r w:rsidRPr="00292257">
        <w:rPr>
          <w:rStyle w:val="StyleUnderline"/>
        </w:rPr>
        <w:t xml:space="preserve"> </w:t>
      </w:r>
      <w:r w:rsidRPr="00292257">
        <w:rPr>
          <w:rStyle w:val="Emphasis"/>
        </w:rPr>
        <w:t xml:space="preserve">underscore the necessity to move beyond </w:t>
      </w:r>
      <w:r w:rsidRPr="00292257">
        <w:rPr>
          <w:rStyle w:val="StyleUnderline"/>
        </w:rPr>
        <w:t xml:space="preserve">a mantra of gender, race, class, sexuality, and other </w:t>
      </w:r>
      <w:r w:rsidRPr="00292257">
        <w:rPr>
          <w:rStyle w:val="Emphasis"/>
        </w:rPr>
        <w:t>intersections of power</w:t>
      </w:r>
      <w:r w:rsidRPr="00292257">
        <w:rPr>
          <w:rStyle w:val="StyleUnderline"/>
        </w:rPr>
        <w:t xml:space="preserve"> </w:t>
      </w:r>
      <w:r w:rsidRPr="00292257">
        <w:rPr>
          <w:rStyle w:val="Emphasis"/>
        </w:rPr>
        <w:t>to explore how racial categories interact with occupation</w:t>
      </w:r>
      <w:r w:rsidRPr="00292257">
        <w:rPr>
          <w:rStyle w:val="StyleUnderline"/>
        </w:rPr>
        <w:t xml:space="preserve">, the extraction of wealth, </w:t>
      </w:r>
      <w:r w:rsidRPr="00292257">
        <w:rPr>
          <w:rStyle w:val="Emphasis"/>
        </w:rPr>
        <w:t>and the ongoing settlement of land that continues to dispossess Native populations because</w:t>
      </w:r>
      <w:r w:rsidRPr="00292257">
        <w:rPr>
          <w:rStyle w:val="StyleUnderline"/>
        </w:rPr>
        <w:t xml:space="preserve"> “</w:t>
      </w:r>
      <w:r w:rsidRPr="00292257">
        <w:rPr>
          <w:rStyle w:val="Emphasis"/>
        </w:rPr>
        <w:t>colonial subjects who are displaced by external colonialism, as well as racialized and minoritized by internal colonialism, still occupy and settle stolen Indigenous land</w:t>
      </w:r>
      <w:r w:rsidRPr="00292257">
        <w:rPr>
          <w:sz w:val="14"/>
        </w:rPr>
        <w:t>” (Tuck &amp; Yang, 2012, p. 7).</w:t>
      </w:r>
    </w:p>
    <w:p w:rsidR="00BB7302" w:rsidRPr="00292257" w:rsidRDefault="00BB7302" w:rsidP="00E06EF0">
      <w:pPr>
        <w:rPr>
          <w:rStyle w:val="Emphasis"/>
          <w:b w:val="0"/>
          <w:iCs w:val="0"/>
          <w:sz w:val="16"/>
          <w:u w:val="none"/>
        </w:rPr>
      </w:pPr>
    </w:p>
    <w:p w:rsidR="00BB7302" w:rsidRPr="00292257" w:rsidRDefault="00BB7302" w:rsidP="005027D7">
      <w:pPr>
        <w:pStyle w:val="Heading3"/>
      </w:pPr>
      <w:r w:rsidRPr="00292257">
        <w:lastRenderedPageBreak/>
        <w:t>Futurity</w:t>
      </w:r>
    </w:p>
    <w:p w:rsidR="00BB7302" w:rsidRPr="00292257" w:rsidRDefault="00BB7302" w:rsidP="00BB7302">
      <w:pPr>
        <w:pStyle w:val="Heading4"/>
      </w:pPr>
      <w:r w:rsidRPr="00292257">
        <w:t>The aff’s commitments to linear progress obscure Settler Colonialism’s function on horizons of the future by reproducing the notion that “inequality” ie white racism can be modernized away.</w:t>
      </w:r>
    </w:p>
    <w:p w:rsidR="00BB7302" w:rsidRPr="00292257" w:rsidRDefault="00BB7302" w:rsidP="00BB7302">
      <w:r w:rsidRPr="00292257">
        <w:rPr>
          <w:rStyle w:val="Style13ptBold"/>
        </w:rPr>
        <w:t>Tuck &amp; Gaztambide-Fernandez</w:t>
      </w:r>
      <w:r w:rsidRPr="00292257">
        <w:t xml:space="preserve"> </w:t>
      </w:r>
      <w:r w:rsidRPr="00292257">
        <w:rPr>
          <w:rStyle w:val="Style13ptBold"/>
        </w:rPr>
        <w:t>13</w:t>
      </w:r>
      <w:r w:rsidRPr="00292257">
        <w:t xml:space="preserve"> – (Eve Tuck is a professor at </w:t>
      </w:r>
      <w:r w:rsidRPr="00292257">
        <w:t xml:space="preserve">University of New York </w:t>
      </w:r>
      <w:r w:rsidRPr="00292257">
        <w:t>&amp; Ruben Gaztambide is a professor at</w:t>
      </w:r>
      <w:r w:rsidRPr="00292257">
        <w:t xml:space="preserve"> University of Toronto</w:t>
      </w:r>
      <w:r w:rsidRPr="00292257">
        <w:t>. “</w:t>
      </w:r>
      <w:r w:rsidRPr="00292257">
        <w:rPr>
          <w:i/>
        </w:rPr>
        <w:t>Curriculum, Replacement, and Settler Futurity</w:t>
      </w:r>
      <w:r w:rsidRPr="00292257">
        <w:t>, Journal of Curriculum Theorizing</w:t>
      </w:r>
      <w:r w:rsidRPr="00292257">
        <w:t>”</w:t>
      </w:r>
      <w:r w:rsidRPr="00292257">
        <w:t xml:space="preserve">, </w:t>
      </w:r>
      <w:r w:rsidRPr="00292257">
        <w:t>Volume 29, Number 1, 2013)</w:t>
      </w:r>
    </w:p>
    <w:p w:rsidR="00BB7302" w:rsidRPr="00292257" w:rsidRDefault="00BB7302" w:rsidP="00BB7302">
      <w:pPr>
        <w:jc w:val="both"/>
        <w:rPr>
          <w:sz w:val="16"/>
        </w:rPr>
      </w:pPr>
      <w:r w:rsidRPr="00292257">
        <w:rPr>
          <w:rStyle w:val="StyleUnderline"/>
        </w:rPr>
        <w:t>The settler colonial curricular project of replacement is invested in settler futurity</w:t>
      </w:r>
      <w:r w:rsidRPr="00292257">
        <w:rPr>
          <w:sz w:val="16"/>
        </w:rPr>
        <w:t xml:space="preserve">, or what Andrew Baldwin calls the </w:t>
      </w:r>
      <w:r w:rsidRPr="00292257">
        <w:rPr>
          <w:rStyle w:val="StyleUnderline"/>
        </w:rPr>
        <w:t>“permanent virtuality” of the settler on stolen land</w:t>
      </w:r>
      <w:r w:rsidRPr="00292257">
        <w:rPr>
          <w:sz w:val="16"/>
        </w:rPr>
        <w:t xml:space="preserve"> (2012, p. 173).  </w:t>
      </w:r>
      <w:r w:rsidRPr="00292257">
        <w:rPr>
          <w:rStyle w:val="Emphasis"/>
        </w:rPr>
        <w:t>When we locate the present of settler colonialism as only the production of the past, we overlook how settler colonialism is configured in relation to a different temporal horizon: the future.</w:t>
      </w:r>
      <w:r w:rsidRPr="00292257">
        <w:rPr>
          <w:sz w:val="16"/>
        </w:rPr>
        <w:t xml:space="preserve"> To say that something is invested in something else’s </w:t>
      </w:r>
      <w:r w:rsidRPr="00292257">
        <w:rPr>
          <w:rStyle w:val="StyleUnderline"/>
        </w:rPr>
        <w:t>futurity</w:t>
      </w:r>
      <w:r w:rsidRPr="00292257">
        <w:rPr>
          <w:sz w:val="16"/>
        </w:rPr>
        <w:t xml:space="preserve"> </w:t>
      </w:r>
      <w:r w:rsidRPr="00292257">
        <w:rPr>
          <w:rStyle w:val="StyleUnderline"/>
        </w:rPr>
        <w:t>is not the same as</w:t>
      </w:r>
      <w:r w:rsidRPr="00292257">
        <w:rPr>
          <w:sz w:val="16"/>
        </w:rPr>
        <w:t xml:space="preserve"> saying it is invested in something’s </w:t>
      </w:r>
      <w:r w:rsidRPr="00292257">
        <w:rPr>
          <w:rStyle w:val="StyleUnderline"/>
        </w:rPr>
        <w:t>future</w:t>
      </w:r>
      <w:r w:rsidRPr="00292257">
        <w:rPr>
          <w:sz w:val="16"/>
        </w:rPr>
        <w:t xml:space="preserve">, though the replacement project is invested in both settler future and futurity.  </w:t>
      </w:r>
      <w:r w:rsidRPr="00292257">
        <w:rPr>
          <w:rStyle w:val="StyleUnderline"/>
        </w:rPr>
        <w:t>Futurity refers to the ways in which, “the future is rendered knowable</w:t>
      </w:r>
      <w:r w:rsidRPr="00292257">
        <w:rPr>
          <w:sz w:val="16"/>
        </w:rPr>
        <w:t xml:space="preserve"> </w:t>
      </w:r>
      <w:r w:rsidRPr="00292257">
        <w:rPr>
          <w:rStyle w:val="StyleUnderline"/>
        </w:rPr>
        <w:t>through specific practices</w:t>
      </w:r>
      <w:r w:rsidRPr="00292257">
        <w:rPr>
          <w:sz w:val="16"/>
        </w:rPr>
        <w:t xml:space="preserve"> (i.e. calculation, imagination, and performance) </w:t>
      </w:r>
      <w:r w:rsidRPr="00292257">
        <w:rPr>
          <w:rStyle w:val="StyleUnderline"/>
        </w:rPr>
        <w:t>and</w:t>
      </w:r>
      <w:r w:rsidRPr="00292257">
        <w:rPr>
          <w:sz w:val="16"/>
        </w:rPr>
        <w:t xml:space="preserve">, in turn, </w:t>
      </w:r>
      <w:r w:rsidRPr="00292257">
        <w:rPr>
          <w:rStyle w:val="StyleUnderline"/>
        </w:rPr>
        <w:t>intervenes upon the present through three anticipatory logics</w:t>
      </w:r>
      <w:r w:rsidRPr="00292257">
        <w:rPr>
          <w:sz w:val="16"/>
        </w:rPr>
        <w:t xml:space="preserve"> (i.e. </w:t>
      </w:r>
      <w:r w:rsidRPr="00292257">
        <w:rPr>
          <w:rStyle w:val="StyleUnderline"/>
        </w:rPr>
        <w:t>pre-caution, pre-emption and preparedness</w:t>
      </w:r>
      <w:r w:rsidRPr="00292257">
        <w:rPr>
          <w:sz w:val="16"/>
        </w:rPr>
        <w:t xml:space="preserve">)” (p. 173). Considering the significance of futurity for researching whiteness and geography, Baldwin (2012) wonders whether </w:t>
      </w:r>
      <w:r w:rsidRPr="00292257">
        <w:rPr>
          <w:rStyle w:val="Emphasis"/>
        </w:rPr>
        <w:t>a past-oriented approach reproduces the</w:t>
      </w:r>
      <w:r w:rsidRPr="00292257">
        <w:rPr>
          <w:sz w:val="16"/>
        </w:rPr>
        <w:t xml:space="preserve"> (</w:t>
      </w:r>
      <w:r w:rsidRPr="00292257">
        <w:rPr>
          <w:rStyle w:val="Emphasis"/>
        </w:rPr>
        <w:t>false</w:t>
      </w:r>
      <w:r w:rsidRPr="00292257">
        <w:rPr>
          <w:sz w:val="16"/>
        </w:rPr>
        <w:t xml:space="preserve">), </w:t>
      </w:r>
      <w:r w:rsidRPr="00292257">
        <w:rPr>
          <w:rStyle w:val="Emphasis"/>
        </w:rPr>
        <w:t>Teleological assumption that white racism can be modernized away.</w:t>
      </w:r>
      <w:r w:rsidRPr="00292257">
        <w:rPr>
          <w:sz w:val="16"/>
        </w:rPr>
        <w:t xml:space="preserve">  Such </w:t>
      </w:r>
      <w:r w:rsidRPr="00292257">
        <w:rPr>
          <w:rStyle w:val="Emphasis"/>
        </w:rPr>
        <w:t>an assumption privileges an ontology of linear causality in which the past is thought to act on the present and the present is said to be an effect of whatever came before</w:t>
      </w:r>
      <w:r w:rsidRPr="00292257">
        <w:rPr>
          <w:sz w:val="16"/>
        </w:rPr>
        <w:t xml:space="preserve"> [...] </w:t>
      </w:r>
      <w:r w:rsidRPr="00292257">
        <w:rPr>
          <w:rStyle w:val="Emphasis"/>
        </w:rPr>
        <w:t>According to this kind of temporality, the future is the terrain upon or through which white racism will get resolved.  It cleaves the future from the present and, thus, gives the future discrete ontological form.</w:t>
      </w:r>
      <w:r w:rsidRPr="00292257">
        <w:rPr>
          <w:sz w:val="16"/>
        </w:rPr>
        <w:t xml:space="preserve"> (p. 174) Thus, in this historical analysis of the settler colonial curricular project of replacement, we seek to emphasize the ways in which </w:t>
      </w:r>
      <w:r w:rsidRPr="00292257">
        <w:rPr>
          <w:rStyle w:val="StyleUnderline"/>
        </w:rPr>
        <w:t>replacement is entirely concerned with settler futurity, which always indivisibly means the continued and complete eradication of the original inhabitants of contested land.</w:t>
      </w:r>
      <w:r w:rsidRPr="00292257">
        <w:rPr>
          <w:sz w:val="16"/>
        </w:rPr>
        <w:t xml:space="preserve">  </w:t>
      </w:r>
      <w:r w:rsidRPr="00292257">
        <w:rPr>
          <w:rStyle w:val="Emphasis"/>
        </w:rPr>
        <w:t xml:space="preserve">Anything that seeks to recuperate and not interrupt settler colonialism, to reform the settlement and incorporate Indigenous peoples into the multicultural settler colonial nation state is fettered to settler futurity. </w:t>
      </w:r>
      <w:r w:rsidRPr="00292257">
        <w:rPr>
          <w:sz w:val="16"/>
        </w:rPr>
        <w:t xml:space="preserve"> To be clear, our commitments are to what might be called an Indigenous futurity, which does not foreclose the inhabitation of Indigenous land by nonIndigenous peoples, but does foreclose settler colonialism and settler epistemologies.  That is to say that Indigenous futurity does not require the erasure of now-settlers in the ways that settler futurity requires of Indigenous peoples.</w:t>
      </w:r>
    </w:p>
    <w:p w:rsidR="005027D7" w:rsidRPr="00292257" w:rsidRDefault="005027D7" w:rsidP="005027D7">
      <w:pPr>
        <w:pStyle w:val="Heading3"/>
      </w:pPr>
      <w:r w:rsidRPr="00292257">
        <w:lastRenderedPageBreak/>
        <w:t>Arms Sales</w:t>
      </w:r>
    </w:p>
    <w:p w:rsidR="005027D7" w:rsidRPr="00292257" w:rsidRDefault="005027D7" w:rsidP="005027D7">
      <w:pPr>
        <w:pStyle w:val="Heading4"/>
      </w:pPr>
      <w:r w:rsidRPr="00292257">
        <w:t>Restricting and regulating arms trade is an extension of post-colonial governance – western states have always framed this regulation as a way to strategically further their interests and “civilize” colonial subjects</w:t>
      </w:r>
    </w:p>
    <w:p w:rsidR="005027D7" w:rsidRPr="00292257" w:rsidRDefault="005027D7" w:rsidP="005027D7">
      <w:r w:rsidRPr="00292257">
        <w:rPr>
          <w:rStyle w:val="Style13ptBold"/>
        </w:rPr>
        <w:t>Cooper</w:t>
      </w:r>
      <w:r w:rsidRPr="00292257">
        <w:t xml:space="preserve"> </w:t>
      </w:r>
      <w:r w:rsidRPr="00292257">
        <w:rPr>
          <w:rStyle w:val="Style13ptBold"/>
        </w:rPr>
        <w:t>’18</w:t>
      </w:r>
      <w:r w:rsidRPr="00292257">
        <w:t xml:space="preserve"> (Neil, PhD, Professor of International Relations and Security Studies and Head of Peace Studies &amp; International Development at University of Bradford, Race, Sovereignty, and Free Trade: Arms Trade Regulation and Humanitarian Arms Control in the Age of Empire, Journal of Global Security Studies,  10.1093/jogss/ogy013)CN</w:t>
      </w:r>
    </w:p>
    <w:p w:rsidR="005027D7" w:rsidRPr="00292257" w:rsidRDefault="005027D7" w:rsidP="005027D7">
      <w:r w:rsidRPr="00292257">
        <w:t xml:space="preserve">However, </w:t>
      </w:r>
      <w:r w:rsidRPr="00292257">
        <w:rPr>
          <w:rStyle w:val="Emphasis"/>
        </w:rPr>
        <w:t>focusing only on the</w:t>
      </w:r>
      <w:r w:rsidRPr="00292257">
        <w:t xml:space="preserve"> operation of </w:t>
      </w:r>
      <w:r w:rsidRPr="00292257">
        <w:rPr>
          <w:rStyle w:val="Emphasis"/>
        </w:rPr>
        <w:t>prohibitory regulatory norms</w:t>
      </w:r>
      <w:r w:rsidRPr="00292257">
        <w:t xml:space="preserve"> </w:t>
      </w:r>
      <w:r w:rsidRPr="00292257">
        <w:rPr>
          <w:rStyle w:val="Emphasis"/>
        </w:rPr>
        <w:t>obscures the way arms trade</w:t>
      </w:r>
      <w:r w:rsidR="003377F8" w:rsidRPr="00292257">
        <w:t xml:space="preserve"> </w:t>
      </w:r>
      <w:r w:rsidRPr="00292257">
        <w:rPr>
          <w:rStyle w:val="Emphasis"/>
        </w:rPr>
        <w:t>regulation also constituted a specific colonial form of arms control as governmentality, whereby mechanisms of prohibition and prescription</w:t>
      </w:r>
      <w:r w:rsidRPr="00292257">
        <w:rPr>
          <w:sz w:val="16"/>
        </w:rPr>
        <w:t xml:space="preserve"> </w:t>
      </w:r>
      <w:r w:rsidRPr="00292257">
        <w:rPr>
          <w:rStyle w:val="Emphasis"/>
        </w:rPr>
        <w:t>were both put to the service of governing which peoples could legitimately use what kinds of arms</w:t>
      </w:r>
      <w:r w:rsidRPr="00292257">
        <w:rPr>
          <w:sz w:val="16"/>
        </w:rPr>
        <w:t xml:space="preserve">. Of course, efforts to manage arms flows to potentially unruly colonial subjects by constantly seeking to balance permission and proscription were neither completely effective nor ever effectively complete. First, efforts at restraint were perennially subject to strategies of evasion undertaken by local actors operating with their own normative and cartographic understandings (Tagliacozzo 2005; Mathew 2016). Second, </w:t>
      </w:r>
      <w:r w:rsidRPr="00292257">
        <w:rPr>
          <w:rStyle w:val="StyleUnderline"/>
        </w:rPr>
        <w:t>arms trade regulation was a contested terrain over which advocates of permission and advocates of restraint often clashed</w:t>
      </w:r>
      <w:r w:rsidRPr="00292257">
        <w:rPr>
          <w:sz w:val="16"/>
        </w:rPr>
        <w:t xml:space="preserve">. For example, </w:t>
      </w:r>
      <w:r w:rsidRPr="00292257">
        <w:rPr>
          <w:rStyle w:val="StyleUnderline"/>
        </w:rPr>
        <w:t>pressures for restraint were offset by pressures to use the provision of arms to secure access</w:t>
      </w:r>
      <w:r w:rsidRPr="00292257">
        <w:rPr>
          <w:sz w:val="16"/>
        </w:rPr>
        <w:t xml:space="preserve"> to </w:t>
      </w:r>
      <w:r w:rsidRPr="00292257">
        <w:rPr>
          <w:rStyle w:val="StyleUnderline"/>
        </w:rPr>
        <w:t>markets</w:t>
      </w:r>
      <w:r w:rsidRPr="00292257">
        <w:rPr>
          <w:sz w:val="16"/>
        </w:rPr>
        <w:t xml:space="preserve"> </w:t>
      </w:r>
      <w:r w:rsidRPr="00292257">
        <w:rPr>
          <w:rStyle w:val="StyleUnderline"/>
        </w:rPr>
        <w:t>and the loyalty</w:t>
      </w:r>
      <w:r w:rsidRPr="00292257">
        <w:rPr>
          <w:sz w:val="16"/>
        </w:rPr>
        <w:t xml:space="preserve"> or security </w:t>
      </w:r>
      <w:r w:rsidRPr="00292257">
        <w:rPr>
          <w:rStyle w:val="StyleUnderline"/>
        </w:rPr>
        <w:t>of allies</w:t>
      </w:r>
      <w:r w:rsidRPr="00292257">
        <w:rPr>
          <w:sz w:val="16"/>
        </w:rPr>
        <w:t xml:space="preserve"> in a context of intra-European competition </w:t>
      </w:r>
      <w:r w:rsidRPr="00292257">
        <w:rPr>
          <w:rStyle w:val="Emphasis"/>
        </w:rPr>
        <w:t>to maintain and expand formal and informal empires</w:t>
      </w:r>
      <w:r w:rsidRPr="00292257">
        <w:rPr>
          <w:sz w:val="16"/>
        </w:rPr>
        <w:t xml:space="preserve"> (Grant 2007; Chew 2012). </w:t>
      </w:r>
      <w:r w:rsidRPr="00292257">
        <w:rPr>
          <w:rStyle w:val="StyleUnderline"/>
        </w:rPr>
        <w:t>Policy on the ground</w:t>
      </w:r>
      <w:r w:rsidRPr="00292257">
        <w:rPr>
          <w:sz w:val="16"/>
        </w:rPr>
        <w:t xml:space="preserve">, therefore, often </w:t>
      </w:r>
      <w:r w:rsidRPr="00292257">
        <w:rPr>
          <w:rStyle w:val="StyleUnderline"/>
        </w:rPr>
        <w:t>appeared contradictory</w:t>
      </w:r>
      <w:r w:rsidRPr="00292257">
        <w:rPr>
          <w:sz w:val="16"/>
        </w:rPr>
        <w:t xml:space="preserve">. </w:t>
      </w:r>
      <w:r w:rsidRPr="00292257">
        <w:rPr>
          <w:rStyle w:val="Emphasis"/>
        </w:rPr>
        <w:t>Nevertheless</w:t>
      </w:r>
      <w:r w:rsidRPr="00292257">
        <w:rPr>
          <w:sz w:val="16"/>
        </w:rPr>
        <w:t xml:space="preserve">, </w:t>
      </w:r>
      <w:r w:rsidRPr="00292257">
        <w:rPr>
          <w:rStyle w:val="Emphasis"/>
        </w:rPr>
        <w:t>proponents of permission and proscription generally agreed on the broad goals of policy—to maintain imperial influence and imperial order</w:t>
      </w:r>
      <w:r w:rsidRPr="00292257">
        <w:rPr>
          <w:sz w:val="16"/>
        </w:rPr>
        <w:t xml:space="preserve">. As will be illustrated below, </w:t>
      </w:r>
      <w:r w:rsidRPr="00292257">
        <w:rPr>
          <w:rStyle w:val="StyleUnderline"/>
        </w:rPr>
        <w:t>they agreed even more</w:t>
      </w:r>
      <w:r w:rsidRPr="00292257">
        <w:rPr>
          <w:sz w:val="16"/>
        </w:rPr>
        <w:t xml:space="preserve"> </w:t>
      </w:r>
      <w:r w:rsidRPr="00292257">
        <w:rPr>
          <w:rStyle w:val="StyleUnderline"/>
        </w:rPr>
        <w:t>on the broader logics in which arguments for permission and proscription were to be located</w:t>
      </w:r>
      <w:r w:rsidRPr="00292257">
        <w:rPr>
          <w:sz w:val="16"/>
        </w:rPr>
        <w:t>—</w:t>
      </w:r>
      <w:r w:rsidRPr="00292257">
        <w:rPr>
          <w:rStyle w:val="Emphasis"/>
        </w:rPr>
        <w:t xml:space="preserve">those governing sovereignty, free trade, development, and the standard of civilization. </w:t>
      </w:r>
      <w:r w:rsidRPr="00292257">
        <w:rPr>
          <w:sz w:val="16"/>
        </w:rPr>
        <w:t xml:space="preserve">For example, the Brussels Act certainly failed to prevent a substantial arms trade into Abyssinia and Somalia where, by 1908, British officials considered the act had “completely broken down”29 largely as a result of French support for a profitable arms trade through French-controlled Djibouti. In this case, </w:t>
      </w:r>
      <w:r w:rsidRPr="00292257">
        <w:rPr>
          <w:rStyle w:val="StyleUnderline"/>
        </w:rPr>
        <w:t>colonial norms of sovereignty provided the regulatory space for proliferation</w:t>
      </w:r>
      <w:r w:rsidRPr="00292257">
        <w:rPr>
          <w:sz w:val="16"/>
        </w:rPr>
        <w:t xml:space="preserve">. The legal legitimacy of this transit trade was enshrined by Article Ten of the Brussels Act, which, somewhat ironically, had been vigorously promoted by the British. </w:t>
      </w:r>
      <w:r w:rsidRPr="00292257">
        <w:rPr>
          <w:rStyle w:val="StyleUnderline"/>
        </w:rPr>
        <w:t xml:space="preserve">This affirmed the right of </w:t>
      </w:r>
      <w:r w:rsidRPr="00292257">
        <w:rPr>
          <w:sz w:val="16"/>
        </w:rPr>
        <w:t xml:space="preserve">inland </w:t>
      </w:r>
      <w:r w:rsidRPr="00292257">
        <w:rPr>
          <w:rStyle w:val="StyleUnderline"/>
        </w:rPr>
        <w:t>territories “under the sovereignty or protectorate” of another signatory power to acquire arms via the territory of a coastal power</w:t>
      </w:r>
      <w:r w:rsidRPr="00292257">
        <w:rPr>
          <w:sz w:val="16"/>
        </w:rPr>
        <w:t xml:space="preserve">, and Italy had previously announced Abyssinia’s adhesion to the agreement. Compounding the irony, at one point in the negotiations the French had suggested the conference had “no power to impose a right of transit on any Sovereign state.”30 Enforcement of both the arms and slave trade regulations of Brussels was also hampered by French refusal to permit searches of sea vessels flying the French flag. Arms smuggling dhow owners operating in both the Red Sea and the Persian Gulf quickly realized the French flag represented “a license to traffic” (Mathew 2016, 35), as it made each dhow an “island of colonial sovereignty” (ibid., 34) and therefore immune to search. This is not to imply sovereignty norms offered an unfettered license to trade. </w:t>
      </w:r>
      <w:r w:rsidRPr="00292257">
        <w:rPr>
          <w:rStyle w:val="Emphasis"/>
        </w:rPr>
        <w:t>The arms provisions of the Brussels Act were ultimately predicated on the fact that European powers exercised “rights of sovereignty</w:t>
      </w:r>
      <w:r w:rsidRPr="00292257">
        <w:rPr>
          <w:sz w:val="16"/>
        </w:rPr>
        <w:t xml:space="preserve">” (Article Nine) </w:t>
      </w:r>
      <w:r w:rsidRPr="00292257">
        <w:rPr>
          <w:rStyle w:val="Emphasis"/>
        </w:rPr>
        <w:t>in their colonial possessions.</w:t>
      </w:r>
      <w:r w:rsidRPr="00292257">
        <w:rPr>
          <w:sz w:val="16"/>
        </w:rPr>
        <w:t xml:space="preserve"> Thus, </w:t>
      </w:r>
      <w:r w:rsidRPr="00292257">
        <w:rPr>
          <w:rStyle w:val="Emphasis"/>
        </w:rPr>
        <w:t>the act and its implementation was suffused with norms of sovereignty</w:t>
      </w:r>
      <w:r w:rsidRPr="00292257">
        <w:rPr>
          <w:sz w:val="16"/>
        </w:rPr>
        <w:t xml:space="preserve"> </w:t>
      </w:r>
      <w:r w:rsidRPr="00292257">
        <w:rPr>
          <w:rStyle w:val="Emphasis"/>
        </w:rPr>
        <w:t>that</w:t>
      </w:r>
      <w:r w:rsidRPr="00292257">
        <w:rPr>
          <w:sz w:val="16"/>
        </w:rPr>
        <w:t xml:space="preserve"> both </w:t>
      </w:r>
      <w:r w:rsidRPr="00292257">
        <w:rPr>
          <w:rStyle w:val="Emphasis"/>
        </w:rPr>
        <w:t>underpinned restrictions on the arms trade and provided the regulatory spaces permitting their circumvention</w:t>
      </w:r>
      <w:r w:rsidRPr="00292257">
        <w:rPr>
          <w:sz w:val="16"/>
        </w:rPr>
        <w:t xml:space="preserve">. Similarly, </w:t>
      </w:r>
      <w:r w:rsidRPr="00292257">
        <w:rPr>
          <w:rStyle w:val="StyleUnderline"/>
        </w:rPr>
        <w:t>both the advocates for free trade in arms in the spaces of empire and the advocates of restriction</w:t>
      </w:r>
      <w:r w:rsidRPr="00292257">
        <w:rPr>
          <w:sz w:val="16"/>
        </w:rPr>
        <w:t xml:space="preserve"> </w:t>
      </w:r>
      <w:r w:rsidRPr="00292257">
        <w:rPr>
          <w:rStyle w:val="StyleUnderline"/>
        </w:rPr>
        <w:t>crafted their arguments by reference to</w:t>
      </w:r>
      <w:r w:rsidRPr="00292257">
        <w:rPr>
          <w:sz w:val="16"/>
        </w:rPr>
        <w:t xml:space="preserve"> the </w:t>
      </w:r>
      <w:r w:rsidRPr="00292257">
        <w:rPr>
          <w:rStyle w:val="StyleUnderline"/>
        </w:rPr>
        <w:t>shared ideational frames of free trade, development, and the standard of civilization—</w:t>
      </w:r>
      <w:r w:rsidRPr="00292257">
        <w:rPr>
          <w:sz w:val="16"/>
        </w:rPr>
        <w:t xml:space="preserve">each heavily imbricated in the other. </w:t>
      </w:r>
      <w:r w:rsidRPr="00292257">
        <w:rPr>
          <w:rStyle w:val="StyleUnderline"/>
        </w:rPr>
        <w:t>In Africa</w:t>
      </w:r>
      <w:r w:rsidRPr="00292257">
        <w:rPr>
          <w:sz w:val="16"/>
        </w:rPr>
        <w:t xml:space="preserve">, for example, free trade advocates argued </w:t>
      </w:r>
      <w:r w:rsidRPr="00292257">
        <w:rPr>
          <w:rStyle w:val="StyleUnderline"/>
        </w:rPr>
        <w:t>the offer of arms was essential for recruiting African laborers</w:t>
      </w:r>
      <w:r w:rsidRPr="00292257">
        <w:rPr>
          <w:sz w:val="16"/>
        </w:rPr>
        <w:t xml:space="preserve"> </w:t>
      </w:r>
      <w:r w:rsidRPr="00292257">
        <w:rPr>
          <w:rStyle w:val="StyleUnderline"/>
        </w:rPr>
        <w:t>and</w:t>
      </w:r>
      <w:r w:rsidRPr="00292257">
        <w:rPr>
          <w:sz w:val="16"/>
        </w:rPr>
        <w:t xml:space="preserve"> </w:t>
      </w:r>
      <w:r w:rsidRPr="00292257">
        <w:rPr>
          <w:rStyle w:val="StyleUnderline"/>
        </w:rPr>
        <w:t xml:space="preserve">that arms proliferation would speed the depopulation of local wildlife, thus hastening the day </w:t>
      </w:r>
      <w:r w:rsidRPr="00292257">
        <w:rPr>
          <w:rStyle w:val="StyleUnderline"/>
        </w:rPr>
        <w:lastRenderedPageBreak/>
        <w:t>when natives switched from hunting and alcohol to legitimate trade</w:t>
      </w:r>
      <w:r w:rsidRPr="00292257">
        <w:rPr>
          <w:sz w:val="16"/>
        </w:rPr>
        <w:t xml:space="preserve"> (Storey 2008, 196). Conversely, </w:t>
      </w:r>
      <w:r w:rsidRPr="00292257">
        <w:rPr>
          <w:rStyle w:val="StyleUnderline"/>
        </w:rPr>
        <w:t>proponents of restriction</w:t>
      </w:r>
      <w:r w:rsidRPr="00292257">
        <w:rPr>
          <w:sz w:val="16"/>
        </w:rPr>
        <w:t xml:space="preserve"> such as Alexander Mackay (1890, 42) of the Church Missionary Society </w:t>
      </w:r>
      <w:r w:rsidRPr="00292257">
        <w:rPr>
          <w:rStyle w:val="StyleUnderline"/>
        </w:rPr>
        <w:t xml:space="preserve">deplored the fact that “in the name of Christianity, free trade and civilization we see </w:t>
      </w:r>
      <w:r w:rsidRPr="00292257">
        <w:rPr>
          <w:sz w:val="16"/>
        </w:rPr>
        <w:t xml:space="preserve">firewater and </w:t>
      </w:r>
      <w:r w:rsidRPr="00292257">
        <w:rPr>
          <w:rStyle w:val="StyleUnderline"/>
        </w:rPr>
        <w:t>firearms pouring in every port</w:t>
      </w:r>
      <w:r w:rsidRPr="00292257">
        <w:rPr>
          <w:sz w:val="16"/>
        </w:rPr>
        <w:t xml:space="preserve"> [in Africa].” However, for Mackay, </w:t>
      </w:r>
      <w:r w:rsidRPr="00292257">
        <w:rPr>
          <w:rStyle w:val="StyleUnderline"/>
        </w:rPr>
        <w:t>the solution lay not only in “forbidding the import of arms</w:t>
      </w:r>
      <w:r w:rsidRPr="00292257">
        <w:rPr>
          <w:sz w:val="16"/>
        </w:rPr>
        <w:t xml:space="preserve"> and ammunition” </w:t>
      </w:r>
      <w:r w:rsidRPr="00292257">
        <w:rPr>
          <w:rStyle w:val="Emphasis"/>
        </w:rPr>
        <w:t>but in promoting legitimate trade amongst Africans,</w:t>
      </w:r>
      <w:r w:rsidRPr="00292257">
        <w:rPr>
          <w:sz w:val="16"/>
        </w:rPr>
        <w:t xml:space="preserve"> </w:t>
      </w:r>
      <w:r w:rsidRPr="00292257">
        <w:rPr>
          <w:rStyle w:val="Emphasis"/>
        </w:rPr>
        <w:t>“developing the resources of the country, and . . . promoting internal peace</w:t>
      </w:r>
      <w:r w:rsidRPr="00292257">
        <w:rPr>
          <w:sz w:val="16"/>
        </w:rPr>
        <w:t>” so “</w:t>
      </w:r>
      <w:r w:rsidRPr="00292257">
        <w:rPr>
          <w:rStyle w:val="Emphasis"/>
        </w:rPr>
        <w:t>the natives will . . . busy themselves with growing whatever they can get a fair price for instead of fighting</w:t>
      </w:r>
      <w:r w:rsidRPr="00292257">
        <w:rPr>
          <w:sz w:val="16"/>
        </w:rPr>
        <w:t xml:space="preserve">” (Letter to The Times, May 8, 1889). In this sense, </w:t>
      </w:r>
      <w:r w:rsidRPr="00292257">
        <w:rPr>
          <w:rStyle w:val="Emphasis"/>
        </w:rPr>
        <w:t>the Brussels Act represented the archetype of regulation in the spaces of empire</w:t>
      </w:r>
      <w:r w:rsidRPr="00292257">
        <w:rPr>
          <w:sz w:val="16"/>
        </w:rPr>
        <w:t xml:space="preserve">, </w:t>
      </w:r>
      <w:r w:rsidRPr="00292257">
        <w:rPr>
          <w:rStyle w:val="Emphasis"/>
        </w:rPr>
        <w:t>combining restrictions on the</w:t>
      </w:r>
      <w:r w:rsidRPr="00292257">
        <w:rPr>
          <w:rStyle w:val="StyleUnderline"/>
        </w:rPr>
        <w:t xml:space="preserve"> </w:t>
      </w:r>
      <w:r w:rsidRPr="00292257">
        <w:rPr>
          <w:rStyle w:val="Emphasis"/>
        </w:rPr>
        <w:t>arms</w:t>
      </w:r>
      <w:r w:rsidRPr="00292257">
        <w:rPr>
          <w:sz w:val="16"/>
        </w:rPr>
        <w:t xml:space="preserve"> and liquor </w:t>
      </w:r>
      <w:r w:rsidRPr="00292257">
        <w:rPr>
          <w:rStyle w:val="Emphasis"/>
        </w:rPr>
        <w:t>trades with calls for</w:t>
      </w:r>
      <w:r w:rsidRPr="00292257">
        <w:rPr>
          <w:sz w:val="16"/>
        </w:rPr>
        <w:t xml:space="preserve"> the </w:t>
      </w:r>
      <w:r w:rsidRPr="00292257">
        <w:rPr>
          <w:rStyle w:val="Emphasis"/>
        </w:rPr>
        <w:t>development</w:t>
      </w:r>
      <w:r w:rsidRPr="00292257">
        <w:rPr>
          <w:sz w:val="16"/>
        </w:rPr>
        <w:t xml:space="preserve"> of “agricultural labour and . . . the industrial arts” amongst native populations (Article Two). At the same time, the precise ways in which these twin processes of grafting and counter-grafting played out varied from region to region and over time. For example, in Singapore, policy from the 1820s onwards oscillated between permission and proscription, as free trade and merchant pressure on the one hand and concerns about the destabilizing impact of the firearms trade on the other hand were weighed in different ways at different times (Tagliacozzo 2005, 270; Chew 2012, 174–79). At Muscat, commercial treaties between the sultan and various powers (particularly the French) enshrining free trade severely hampered Britain’s ability to curtail the trade in the Persian Gulf. This was only finally resolved by the aforementioned 1913 agreement between Britain and France. Thus, free trade norms were constantly exposed to serial processes of grafting and counter-grafting. Nevertheless, </w:t>
      </w:r>
      <w:r w:rsidRPr="00292257">
        <w:rPr>
          <w:rStyle w:val="StyleUnderline"/>
        </w:rPr>
        <w:t>as the nineteenth century merged into the early twentieth century, arms trade regulation in the spaces of empire was increasingly seen as consonant with a dominant imaginary of liberal market norms</w:t>
      </w:r>
      <w:r w:rsidRPr="00292257">
        <w:rPr>
          <w:sz w:val="16"/>
        </w:rPr>
        <w:t xml:space="preserve"> (Mathew 2016). This is not to downplay the pressures for imperial powers to supply arms to local allies, or the way</w:t>
      </w:r>
      <w:r w:rsidRPr="00292257">
        <w:rPr>
          <w:rStyle w:val="Emphasis"/>
        </w:rPr>
        <w:t xml:space="preserve"> broader colonial conceptions of economic and geostrategic interest militated against cooperation to limit the arms traffic </w:t>
      </w:r>
      <w:r w:rsidRPr="00292257">
        <w:rPr>
          <w:sz w:val="16"/>
        </w:rPr>
        <w:t xml:space="preserve">as at Djibouti and Muscat.31 However, </w:t>
      </w:r>
      <w:r w:rsidRPr="00292257">
        <w:rPr>
          <w:rStyle w:val="StyleUnderline"/>
        </w:rPr>
        <w:t>such factors</w:t>
      </w:r>
      <w:r w:rsidRPr="00292257">
        <w:rPr>
          <w:sz w:val="16"/>
        </w:rPr>
        <w:t xml:space="preserve"> ultimately </w:t>
      </w:r>
      <w:r w:rsidRPr="00292257">
        <w:rPr>
          <w:rStyle w:val="StyleUnderline"/>
        </w:rPr>
        <w:t>illustrate the way in which particular</w:t>
      </w:r>
      <w:r w:rsidRPr="00292257">
        <w:rPr>
          <w:sz w:val="16"/>
        </w:rPr>
        <w:t xml:space="preserve"> assemblages of </w:t>
      </w:r>
      <w:r w:rsidRPr="00292257">
        <w:rPr>
          <w:rStyle w:val="StyleUnderline"/>
        </w:rPr>
        <w:t>norms</w:t>
      </w:r>
      <w:r w:rsidRPr="00292257">
        <w:rPr>
          <w:sz w:val="16"/>
        </w:rPr>
        <w:t xml:space="preserve">, formal and informal practices, responses to evasions, and norm-derived conceptions of interest </w:t>
      </w:r>
      <w:r w:rsidRPr="00292257">
        <w:rPr>
          <w:rStyle w:val="StyleUnderline"/>
        </w:rPr>
        <w:t>constituted colonial practices of arms control as governmentality.</w:t>
      </w:r>
      <w:r w:rsidRPr="00292257">
        <w:rPr>
          <w:sz w:val="16"/>
        </w:rPr>
        <w:t xml:space="preserve"> Understood </w:t>
      </w:r>
      <w:r w:rsidRPr="00292257">
        <w:rPr>
          <w:rStyle w:val="Emphasis"/>
        </w:rPr>
        <w:t>in this way, oscillations in policy in the same region or between different spheres of colonial interest reflected the attempt</w:t>
      </w:r>
      <w:r w:rsidRPr="00292257">
        <w:rPr>
          <w:sz w:val="16"/>
        </w:rPr>
        <w:t xml:space="preserve"> (always imperfect) </w:t>
      </w:r>
      <w:r w:rsidRPr="00292257">
        <w:rPr>
          <w:rStyle w:val="Emphasis"/>
        </w:rPr>
        <w:t>to manage arms flows according to where people were placed in the racially inflected triple hierarchies of civilization, loyalty, and utility to imperial power</w:t>
      </w:r>
      <w:r w:rsidRPr="00292257">
        <w:rPr>
          <w:sz w:val="16"/>
        </w:rPr>
        <w:t>—</w:t>
      </w:r>
      <w:r w:rsidRPr="00292257">
        <w:rPr>
          <w:rStyle w:val="StyleUnderline"/>
        </w:rPr>
        <w:t>hierarchies that could be either mutually reinforcing or mutually opposed depending on circumstance</w:t>
      </w:r>
      <w:r w:rsidRPr="00292257">
        <w:rPr>
          <w:sz w:val="16"/>
        </w:rPr>
        <w:t xml:space="preserve">. </w:t>
      </w:r>
      <w:r w:rsidRPr="00292257">
        <w:rPr>
          <w:rStyle w:val="Emphasis"/>
        </w:rPr>
        <w:t xml:space="preserve">Pressures to arm or disarm locals </w:t>
      </w:r>
      <w:r w:rsidRPr="00292257">
        <w:rPr>
          <w:sz w:val="16"/>
        </w:rPr>
        <w:t xml:space="preserve">also </w:t>
      </w:r>
      <w:r w:rsidRPr="00292257">
        <w:rPr>
          <w:rStyle w:val="Emphasis"/>
        </w:rPr>
        <w:t>illustrated how judgements about what constituted</w:t>
      </w:r>
      <w:r w:rsidRPr="00292257">
        <w:rPr>
          <w:sz w:val="16"/>
        </w:rPr>
        <w:t xml:space="preserve"> </w:t>
      </w:r>
      <w:r w:rsidRPr="00292257">
        <w:rPr>
          <w:rStyle w:val="Emphasis"/>
        </w:rPr>
        <w:t>interest were predicated on a particular moral economy in which European norms of racial superiority and imperialism framed the standards of appropriate behavior of the era</w:t>
      </w:r>
      <w:r w:rsidRPr="00292257">
        <w:rPr>
          <w:sz w:val="16"/>
        </w:rPr>
        <w:t xml:space="preserve"> (Finnemore and Sikkink 1998, 892) </w:t>
      </w:r>
      <w:r w:rsidRPr="00292257">
        <w:rPr>
          <w:rStyle w:val="Emphasis"/>
        </w:rPr>
        <w:t>and the fluid but always subordinate identities of the other.</w:t>
      </w:r>
    </w:p>
    <w:p w:rsidR="005027D7" w:rsidRPr="00292257" w:rsidRDefault="005027D7" w:rsidP="005027D7">
      <w:pPr>
        <w:pStyle w:val="Heading4"/>
      </w:pPr>
      <w:r w:rsidRPr="00292257">
        <w:t>The aff’s attempt to control who can use what weapons in order to solve an impact exemplifies colonial governmentality – it perpetuates the idea that we should regulate the Other in order to further our own interests</w:t>
      </w:r>
    </w:p>
    <w:p w:rsidR="005027D7" w:rsidRPr="00292257" w:rsidRDefault="005027D7" w:rsidP="005027D7">
      <w:r w:rsidRPr="00292257">
        <w:rPr>
          <w:rStyle w:val="Style13ptBold"/>
        </w:rPr>
        <w:t>Cooper</w:t>
      </w:r>
      <w:r w:rsidRPr="00292257">
        <w:t xml:space="preserve"> </w:t>
      </w:r>
      <w:r w:rsidRPr="00292257">
        <w:rPr>
          <w:rStyle w:val="Style13ptBold"/>
        </w:rPr>
        <w:t>’18</w:t>
      </w:r>
      <w:r w:rsidRPr="00292257">
        <w:t xml:space="preserve"> (Neil, PhD, Professor of International Relations and Security Studies and Head of Peace Studies &amp; International Development at University of Bradford, Race, Sovereignty, and Free Trade: Arms Trade Regulation and Humanitarian Arms Control in the Age of Empire, Journal of Global Security Studies,  10.1093/jogss/ogy013)CN</w:t>
      </w:r>
    </w:p>
    <w:p w:rsidR="005027D7" w:rsidRPr="00292257" w:rsidRDefault="005027D7" w:rsidP="005027D7">
      <w:pPr>
        <w:rPr>
          <w:rStyle w:val="Emphasis"/>
        </w:rPr>
      </w:pPr>
      <w:r w:rsidRPr="00292257">
        <w:rPr>
          <w:sz w:val="16"/>
        </w:rPr>
        <w:t xml:space="preserve">However, </w:t>
      </w:r>
      <w:r w:rsidRPr="00292257">
        <w:rPr>
          <w:rStyle w:val="StyleUnderline"/>
        </w:rPr>
        <w:t>the Brussels Act represented</w:t>
      </w:r>
      <w:r w:rsidRPr="00292257">
        <w:rPr>
          <w:sz w:val="16"/>
        </w:rPr>
        <w:t xml:space="preserve"> just </w:t>
      </w:r>
      <w:r w:rsidRPr="00292257">
        <w:rPr>
          <w:rStyle w:val="StyleUnderline"/>
        </w:rPr>
        <w:t>one element in a larger network of regulation aimed at restricting the supply of arms to colonial subjects</w:t>
      </w:r>
      <w:r w:rsidRPr="00292257">
        <w:rPr>
          <w:sz w:val="16"/>
        </w:rPr>
        <w:t xml:space="preserve"> </w:t>
      </w:r>
      <w:r w:rsidRPr="00292257">
        <w:rPr>
          <w:rStyle w:val="StyleUnderline"/>
        </w:rPr>
        <w:t>in</w:t>
      </w:r>
      <w:r w:rsidRPr="00292257">
        <w:rPr>
          <w:sz w:val="16"/>
        </w:rPr>
        <w:t xml:space="preserve"> all the spaces of </w:t>
      </w:r>
      <w:r w:rsidRPr="00292257">
        <w:rPr>
          <w:rStyle w:val="StyleUnderline"/>
        </w:rPr>
        <w:t>empire</w:t>
      </w:r>
      <w:r w:rsidRPr="00292257">
        <w:rPr>
          <w:sz w:val="16"/>
        </w:rPr>
        <w:t xml:space="preserve">. This constituted the second Matryoshka doll of arms trade governance. Thus, rather than being an era of free trade in arms, </w:t>
      </w:r>
      <w:r w:rsidRPr="00292257">
        <w:rPr>
          <w:rStyle w:val="StyleUnderline"/>
        </w:rPr>
        <w:t>the period was</w:t>
      </w:r>
      <w:r w:rsidRPr="00292257">
        <w:rPr>
          <w:sz w:val="16"/>
        </w:rPr>
        <w:t xml:space="preserve"> actually </w:t>
      </w:r>
      <w:r w:rsidRPr="00292257">
        <w:rPr>
          <w:rStyle w:val="StyleUnderline"/>
        </w:rPr>
        <w:t xml:space="preserve">characterized by a dual regime of regulation: the operation of a peacetime liberal export norm for transfers from imperial metropoles </w:t>
      </w:r>
      <w:r w:rsidRPr="00292257">
        <w:rPr>
          <w:rStyle w:val="Emphasis"/>
        </w:rPr>
        <w:t xml:space="preserve">combined with widespread efforts to manage arms </w:t>
      </w:r>
      <w:r w:rsidRPr="00292257">
        <w:rPr>
          <w:rStyle w:val="Emphasis"/>
        </w:rPr>
        <w:lastRenderedPageBreak/>
        <w:t xml:space="preserve">flows into, within, and between the spaces of empire </w:t>
      </w:r>
      <w:r w:rsidRPr="00292257">
        <w:rPr>
          <w:sz w:val="16"/>
        </w:rPr>
        <w:t xml:space="preserve">(using post-export blockades, import controls, internal regulations, and restrictions on transfers between colonial spaces). This contrasts with the contemporary emphasis on producer export controls as a primary (if not exclusive) vehicle for managing the global trade in conventional arms. </w:t>
      </w:r>
      <w:r w:rsidRPr="00292257">
        <w:rPr>
          <w:rStyle w:val="StyleUnderline"/>
        </w:rPr>
        <w:t xml:space="preserve">When located in this broader network of prohibitory regulation, </w:t>
      </w:r>
      <w:r w:rsidRPr="00292257">
        <w:rPr>
          <w:sz w:val="16"/>
        </w:rPr>
        <w:t>the</w:t>
      </w:r>
      <w:r w:rsidRPr="00292257">
        <w:rPr>
          <w:rStyle w:val="StyleUnderline"/>
        </w:rPr>
        <w:t xml:space="preserve"> humanitarian underpinnings </w:t>
      </w:r>
      <w:r w:rsidRPr="00292257">
        <w:rPr>
          <w:sz w:val="16"/>
        </w:rPr>
        <w:t xml:space="preserve">of the Brussels Act </w:t>
      </w:r>
      <w:r w:rsidRPr="00292257">
        <w:rPr>
          <w:rStyle w:val="StyleUnderline"/>
        </w:rPr>
        <w:t>are revealed to be far less significant</w:t>
      </w:r>
      <w:r w:rsidRPr="00292257">
        <w:rPr>
          <w:sz w:val="16"/>
        </w:rPr>
        <w:t xml:space="preserve"> </w:t>
      </w:r>
      <w:r w:rsidRPr="00292257">
        <w:rPr>
          <w:rStyle w:val="Emphasis"/>
        </w:rPr>
        <w:t>than the concerns about the maintenance of colonial</w:t>
      </w:r>
      <w:r w:rsidRPr="00292257">
        <w:rPr>
          <w:sz w:val="16"/>
        </w:rPr>
        <w:t xml:space="preserve"> </w:t>
      </w:r>
      <w:r w:rsidRPr="00292257">
        <w:rPr>
          <w:rStyle w:val="Emphasis"/>
        </w:rPr>
        <w:t>order</w:t>
      </w:r>
      <w:r w:rsidRPr="00292257">
        <w:rPr>
          <w:sz w:val="16"/>
        </w:rPr>
        <w:t xml:space="preserve"> </w:t>
      </w:r>
      <w:r w:rsidRPr="00292257">
        <w:rPr>
          <w:rStyle w:val="Emphasis"/>
        </w:rPr>
        <w:t xml:space="preserve">and qualitative military advantage for imperial powers. </w:t>
      </w:r>
      <w:r w:rsidRPr="00292257">
        <w:rPr>
          <w:sz w:val="16"/>
        </w:rPr>
        <w:t xml:space="preserve">Of course, </w:t>
      </w:r>
      <w:r w:rsidRPr="00292257">
        <w:rPr>
          <w:rStyle w:val="Emphasis"/>
        </w:rPr>
        <w:t>the operation of a free trade in arms philosophy combined with competition for colonies, markets, and influence amongst imperial powers is</w:t>
      </w:r>
      <w:r w:rsidRPr="00292257">
        <w:rPr>
          <w:rStyle w:val="StyleUnderline"/>
        </w:rPr>
        <w:t xml:space="preserve"> </w:t>
      </w:r>
      <w:r w:rsidRPr="00292257">
        <w:rPr>
          <w:sz w:val="16"/>
        </w:rPr>
        <w:t>generally</w:t>
      </w:r>
      <w:r w:rsidRPr="00292257">
        <w:rPr>
          <w:rStyle w:val="StyleUnderline"/>
        </w:rPr>
        <w:t xml:space="preserve"> </w:t>
      </w:r>
      <w:r w:rsidRPr="00292257">
        <w:rPr>
          <w:rStyle w:val="Emphasis"/>
        </w:rPr>
        <w:t>deemed to have trumped</w:t>
      </w:r>
      <w:r w:rsidRPr="00292257">
        <w:rPr>
          <w:rStyle w:val="StyleUnderline"/>
        </w:rPr>
        <w:t xml:space="preserve"> </w:t>
      </w:r>
      <w:r w:rsidRPr="00292257">
        <w:rPr>
          <w:sz w:val="16"/>
        </w:rPr>
        <w:t>substantive</w:t>
      </w:r>
      <w:r w:rsidRPr="00292257">
        <w:rPr>
          <w:rStyle w:val="StyleUnderline"/>
        </w:rPr>
        <w:t xml:space="preserve"> </w:t>
      </w:r>
      <w:r w:rsidRPr="00292257">
        <w:rPr>
          <w:rStyle w:val="Emphasis"/>
        </w:rPr>
        <w:t>efforts at limiting arms flows.</w:t>
      </w:r>
      <w:r w:rsidRPr="00292257">
        <w:rPr>
          <w:sz w:val="16"/>
        </w:rPr>
        <w:t xml:space="preserve"> However, </w:t>
      </w:r>
      <w:r w:rsidRPr="00292257">
        <w:rPr>
          <w:rStyle w:val="Emphasis"/>
        </w:rPr>
        <w:t>practices of proscription and permission were both</w:t>
      </w:r>
      <w:r w:rsidRPr="00292257">
        <w:rPr>
          <w:sz w:val="16"/>
        </w:rPr>
        <w:t xml:space="preserve"> </w:t>
      </w:r>
      <w:r w:rsidRPr="00292257">
        <w:rPr>
          <w:rStyle w:val="Emphasis"/>
        </w:rPr>
        <w:t>part of the attempt to delineate who could legitimately use which gradations of weapons according to where they were located in the triple hierarchies of civilization, loyalty, and utility to empire</w:t>
      </w:r>
      <w:r w:rsidRPr="00292257">
        <w:rPr>
          <w:sz w:val="16"/>
        </w:rPr>
        <w:t xml:space="preserve">. This is not to deny that local actors constantly engaged in strategies of evasion or that imperial policies were perennially reversed or amended. Indeed, both permissive and proscriptive arms trade norms were the site of recurring contestation that played out in the form of competing appeals to transnational constitutive norms such as sovereignty, free trade, colonialism, and the standard of civilization. Nevertheless, the </w:t>
      </w:r>
      <w:r w:rsidRPr="00292257">
        <w:rPr>
          <w:rStyle w:val="StyleUnderline"/>
        </w:rPr>
        <w:t xml:space="preserve">oscillations in policy </w:t>
      </w:r>
      <w:r w:rsidRPr="00292257">
        <w:rPr>
          <w:sz w:val="16"/>
        </w:rPr>
        <w:t xml:space="preserve">this produced </w:t>
      </w:r>
      <w:r w:rsidRPr="00292257">
        <w:rPr>
          <w:rStyle w:val="StyleUnderline"/>
        </w:rPr>
        <w:t>are better understood less as a failure</w:t>
      </w:r>
      <w:r w:rsidRPr="00292257">
        <w:rPr>
          <w:sz w:val="16"/>
        </w:rPr>
        <w:t xml:space="preserve"> of prohibition </w:t>
      </w:r>
      <w:r w:rsidRPr="00292257">
        <w:rPr>
          <w:rStyle w:val="StyleUnderline"/>
        </w:rPr>
        <w:t>and more as constituting the fluid cartography of regulation</w:t>
      </w:r>
      <w:r w:rsidRPr="00292257">
        <w:rPr>
          <w:sz w:val="16"/>
        </w:rPr>
        <w:t xml:space="preserve"> </w:t>
      </w:r>
      <w:r w:rsidRPr="00292257">
        <w:rPr>
          <w:rStyle w:val="StyleUnderline"/>
        </w:rPr>
        <w:t>that</w:t>
      </w:r>
      <w:r w:rsidRPr="00292257">
        <w:rPr>
          <w:sz w:val="16"/>
        </w:rPr>
        <w:t xml:space="preserve"> was (and </w:t>
      </w:r>
      <w:r w:rsidRPr="00292257">
        <w:rPr>
          <w:rStyle w:val="StyleUnderline"/>
        </w:rPr>
        <w:t>is</w:t>
      </w:r>
      <w:r w:rsidRPr="00292257">
        <w:rPr>
          <w:sz w:val="16"/>
        </w:rPr>
        <w:t xml:space="preserve">) </w:t>
      </w:r>
      <w:r w:rsidRPr="00292257">
        <w:rPr>
          <w:rStyle w:val="StyleUnderline"/>
        </w:rPr>
        <w:t>a defining feature of arms control as governmentality</w:t>
      </w:r>
      <w:r w:rsidRPr="00292257">
        <w:rPr>
          <w:sz w:val="16"/>
        </w:rPr>
        <w:t xml:space="preserve">. Moreover, the process of </w:t>
      </w:r>
      <w:r w:rsidRPr="00292257">
        <w:rPr>
          <w:rStyle w:val="Emphasis"/>
        </w:rPr>
        <w:t>serially reinventing the border between legitimate and illegitimate</w:t>
      </w:r>
      <w:r w:rsidRPr="00292257">
        <w:rPr>
          <w:sz w:val="16"/>
        </w:rPr>
        <w:t xml:space="preserve"> </w:t>
      </w:r>
      <w:r w:rsidRPr="00292257">
        <w:rPr>
          <w:rStyle w:val="Emphasis"/>
        </w:rPr>
        <w:t>ownership of,</w:t>
      </w:r>
      <w:r w:rsidRPr="00292257">
        <w:rPr>
          <w:sz w:val="16"/>
        </w:rPr>
        <w:t xml:space="preserve"> </w:t>
      </w:r>
      <w:r w:rsidRPr="00292257">
        <w:rPr>
          <w:rStyle w:val="Emphasis"/>
        </w:rPr>
        <w:t>and trade in</w:t>
      </w:r>
      <w:r w:rsidRPr="00292257">
        <w:rPr>
          <w:sz w:val="16"/>
        </w:rPr>
        <w:t xml:space="preserve">, </w:t>
      </w:r>
      <w:r w:rsidRPr="00292257">
        <w:rPr>
          <w:rStyle w:val="Emphasis"/>
        </w:rPr>
        <w:t>the means of violence represented an important political project in its own right,</w:t>
      </w:r>
      <w:r w:rsidRPr="00292257">
        <w:rPr>
          <w:sz w:val="16"/>
        </w:rPr>
        <w:t xml:space="preserve"> irrespective of the actual material impact on arms flows. Indeed, </w:t>
      </w:r>
      <w:r w:rsidRPr="00292257">
        <w:rPr>
          <w:rStyle w:val="StyleUnderline"/>
        </w:rPr>
        <w:t xml:space="preserve">the understanding of arms trade governance as a Sisyphean endeavor </w:t>
      </w:r>
      <w:r w:rsidRPr="00292257">
        <w:rPr>
          <w:sz w:val="16"/>
        </w:rPr>
        <w:t xml:space="preserve">was (and </w:t>
      </w:r>
      <w:r w:rsidRPr="00292257">
        <w:rPr>
          <w:rStyle w:val="StyleUnderline"/>
        </w:rPr>
        <w:t>remains</w:t>
      </w:r>
      <w:r w:rsidRPr="00292257">
        <w:rPr>
          <w:sz w:val="16"/>
        </w:rPr>
        <w:t xml:space="preserve">) </w:t>
      </w:r>
      <w:r w:rsidRPr="00292257">
        <w:rPr>
          <w:rStyle w:val="StyleUnderline"/>
        </w:rPr>
        <w:t>central to the legitimizing politics of arms control as governmentality</w:t>
      </w:r>
      <w:r w:rsidRPr="00292257">
        <w:rPr>
          <w:sz w:val="16"/>
        </w:rPr>
        <w:t xml:space="preserve">; sanctifying the performative of regulatory and institutional refinement, an á la carte approach to normative frameworks (e.g. humanitarianism, free trade, military necessity) </w:t>
      </w:r>
      <w:r w:rsidRPr="00292257">
        <w:rPr>
          <w:rStyle w:val="StyleUnderline"/>
        </w:rPr>
        <w:t>and their application to specific arms trade policy questions</w:t>
      </w:r>
      <w:r w:rsidRPr="00292257">
        <w:rPr>
          <w:sz w:val="16"/>
        </w:rPr>
        <w:t xml:space="preserve">. Nevertheless, </w:t>
      </w:r>
      <w:r w:rsidRPr="00292257">
        <w:rPr>
          <w:rStyle w:val="StyleUnderline"/>
        </w:rPr>
        <w:t>by the early 1900s colonial powers had developed</w:t>
      </w:r>
      <w:r w:rsidRPr="00292257">
        <w:rPr>
          <w:sz w:val="16"/>
        </w:rPr>
        <w:t xml:space="preserve"> fairly </w:t>
      </w:r>
      <w:r w:rsidRPr="00292257">
        <w:rPr>
          <w:rStyle w:val="StyleUnderline"/>
        </w:rPr>
        <w:t>extensive mechanisms of regulation that</w:t>
      </w:r>
      <w:r w:rsidRPr="00292257">
        <w:rPr>
          <w:sz w:val="16"/>
        </w:rPr>
        <w:t xml:space="preserve">, in general, </w:t>
      </w:r>
      <w:r w:rsidRPr="00292257">
        <w:rPr>
          <w:rStyle w:val="StyleUnderline"/>
        </w:rPr>
        <w:t>were probably as effective as the mechanisms of contemporary arms trade</w:t>
      </w:r>
      <w:r w:rsidRPr="00292257">
        <w:rPr>
          <w:sz w:val="16"/>
        </w:rPr>
        <w:t xml:space="preserve"> </w:t>
      </w:r>
      <w:r w:rsidRPr="00292257">
        <w:rPr>
          <w:rStyle w:val="StyleUnderline"/>
        </w:rPr>
        <w:t xml:space="preserve">regulation heralded by optimists as signaling a shift to a novel form of </w:t>
      </w:r>
      <w:r w:rsidRPr="00292257">
        <w:rPr>
          <w:rStyle w:val="Emphasis"/>
        </w:rPr>
        <w:t>global arms governance.</w:t>
      </w:r>
    </w:p>
    <w:p w:rsidR="005027D7" w:rsidRPr="00292257" w:rsidRDefault="005027D7" w:rsidP="005027D7">
      <w:pPr>
        <w:pStyle w:val="Heading4"/>
      </w:pPr>
      <w:r w:rsidRPr="00292257">
        <w:t>Arms trade</w:t>
      </w:r>
      <w:r w:rsidR="00E74220" w:rsidRPr="00292257">
        <w:t>s drive postcolonial militarism that reinforces hierarchies</w:t>
      </w:r>
      <w:r w:rsidRPr="00292257">
        <w:t xml:space="preserve"> </w:t>
      </w:r>
      <w:r w:rsidR="00E74220" w:rsidRPr="00292257">
        <w:t>between</w:t>
      </w:r>
      <w:r w:rsidRPr="00292257">
        <w:t xml:space="preserve"> the North/ South </w:t>
      </w:r>
    </w:p>
    <w:p w:rsidR="005027D7" w:rsidRPr="00292257" w:rsidRDefault="005027D7" w:rsidP="005027D7">
      <w:r w:rsidRPr="00292257">
        <w:rPr>
          <w:b/>
        </w:rPr>
        <w:t xml:space="preserve">Stavrianakis 2018 </w:t>
      </w:r>
      <w:r w:rsidRPr="00292257">
        <w:t>(Anna Stavrianakis, Senior Lecturer in International Relations at the University of Sussex, Director of Teaching and Learning, School of Global Studies , Peer Review College, Department of International Relations, MA Field Trip Convenor, Department of International Relations, Justice, Violence and Rights Centre Convenor, Associate Tutor convenor, Department of International Relations, Research in Progress convenor, Department of International Relations, University and College Union (UCU) Executive Committee member, "Controlling Weapons Circulation in a Postcolonial Militarised World", July 25, 2018, Review of International Studies, file:///C:/Users/adrik/Downloads/controlling_weapons_circulation_in_a_postcolonial_militarised_world.pdf)</w:t>
      </w:r>
    </w:p>
    <w:p w:rsidR="005027D7" w:rsidRPr="00292257" w:rsidRDefault="005027D7" w:rsidP="005027D7">
      <w:pPr>
        <w:rPr>
          <w:sz w:val="16"/>
        </w:rPr>
      </w:pPr>
      <w:r w:rsidRPr="00292257">
        <w:rPr>
          <w:sz w:val="16"/>
        </w:rPr>
        <w:t xml:space="preserve">The 1994 UNDP Human Development Report, which formalised the human security agenda, was explicit </w:t>
      </w:r>
      <w:r w:rsidRPr="00292257">
        <w:rPr>
          <w:rStyle w:val="StyleUnderline"/>
        </w:rPr>
        <w:t>about the role of ‘</w:t>
      </w:r>
      <w:r w:rsidRPr="00292257">
        <w:rPr>
          <w:rStyle w:val="Emphasis"/>
        </w:rPr>
        <w:t>excessive militarization and the international arms trade’ as a ‘critical source of insecurity’</w:t>
      </w:r>
      <w:r w:rsidRPr="00292257">
        <w:rPr>
          <w:sz w:val="16"/>
        </w:rPr>
        <w:t xml:space="preserve">. 26 </w:t>
      </w:r>
      <w:r w:rsidRPr="00292257">
        <w:rPr>
          <w:rStyle w:val="StyleUnderline"/>
        </w:rPr>
        <w:t>Arising from ‘</w:t>
      </w:r>
      <w:r w:rsidRPr="00292257">
        <w:rPr>
          <w:rStyle w:val="Emphasis"/>
        </w:rPr>
        <w:t>the world’s</w:t>
      </w:r>
      <w:r w:rsidRPr="00292257">
        <w:rPr>
          <w:rStyle w:val="StyleUnderline"/>
        </w:rPr>
        <w:t xml:space="preserve"> previous </w:t>
      </w:r>
      <w:r w:rsidRPr="00292257">
        <w:rPr>
          <w:rStyle w:val="Emphasis"/>
        </w:rPr>
        <w:t>preoccupation with deterrence and territorial security’</w:t>
      </w:r>
      <w:r w:rsidRPr="00292257">
        <w:rPr>
          <w:rStyle w:val="StyleUnderline"/>
        </w:rPr>
        <w:t>, arms transfers, military assistance, proxy wars, excessive military spending, politicised militaries in developing countries, and the military-industrial complex, were all identified as impediments to the realisation of human security</w:t>
      </w:r>
      <w:r w:rsidRPr="00292257">
        <w:rPr>
          <w:sz w:val="16"/>
        </w:rPr>
        <w:t xml:space="preserve">.27 The report identified concrete policy recommendations, including an </w:t>
      </w:r>
      <w:r w:rsidRPr="00292257">
        <w:rPr>
          <w:sz w:val="16"/>
        </w:rPr>
        <w:lastRenderedPageBreak/>
        <w:t xml:space="preserve">international agreement to phase out military assistance; a list of prohibited items for transfer; a strengthened UN Register reporting system; the regulation and elimination of subsidies; and a tax on arms sales to finance peacekeeping.28 Such moves, alongside increased spending on demilitarisation efforts, were envisaged as ‘important step towards achieving human security’. 29 While there was an emphasis on ‘Third World disarmament’, the report was clear that this must be one component of a ‘blueprint for global disarmament’. 30 So </w:t>
      </w:r>
      <w:r w:rsidRPr="00292257">
        <w:rPr>
          <w:rStyle w:val="StyleUnderline"/>
        </w:rPr>
        <w:t xml:space="preserve">here </w:t>
      </w:r>
      <w:r w:rsidRPr="00292257">
        <w:rPr>
          <w:rStyle w:val="Emphasis"/>
        </w:rPr>
        <w:t>we have an agenda for practical action on the weapons trade, challenging militarism to improve human security</w:t>
      </w:r>
      <w:r w:rsidRPr="00292257">
        <w:rPr>
          <w:sz w:val="16"/>
        </w:rPr>
        <w:t xml:space="preserve">. The UNDP report identified the nation-statist ideologies of deterrence and territorial security, as well as the transnational practices of military assistance and proxy wars, as key causes of insecurity. Simultaneously, it reopened the debate about the link between security and development ‘that had been closed since the somewhat sterile polemic around the link between disarmament and development’ of the 1970s and 1980s.31 This earlier, now ostensibly out-dated debate surmised that ‘the North (that is, both sides of the East–West conflict) should disarm, and devote the resources freed up by arms reduction to development in the South’. 32 As part of this shift in debate, </w:t>
      </w:r>
      <w:r w:rsidRPr="00292257">
        <w:rPr>
          <w:rStyle w:val="StyleUnderline"/>
        </w:rPr>
        <w:t xml:space="preserve">the move away from state-centred definitions of security was accompanied by an acknowledgment of the legitimate and crucial role of the state in providing security – especially as security was emphasised as a precondition for development. </w:t>
      </w:r>
      <w:r w:rsidRPr="00292257">
        <w:rPr>
          <w:rStyle w:val="Emphasis"/>
        </w:rPr>
        <w:t>So the anti-militarist call that identified the state as a creator of insecurity was balanced against recognition of the legitimate role of the state in providing security</w:t>
      </w:r>
      <w:r w:rsidRPr="00292257">
        <w:rPr>
          <w:sz w:val="16"/>
        </w:rPr>
        <w:t xml:space="preserve">. There was also a downgrading of military threats as a particular type of threat to human security: military threats do not appear as one of the seven main categories articulated in the report (economic, food, health, environmental, personal, community, political). Rather, threats from war (defined as ‘threats from other states’) are listed under the category of ‘personal security’, alongside threats of physical torture and ethnic tension, as well as crime, rape, domestic violence, and suicide.33 The analytical and political move made in the 1994 UNDP Report </w:t>
      </w:r>
      <w:r w:rsidRPr="00292257">
        <w:rPr>
          <w:rStyle w:val="StyleUnderline"/>
        </w:rPr>
        <w:t>was to equate war with the state and move away from a concern with territorially based definitions of security and inter-state war, which it equates with militarism</w:t>
      </w:r>
      <w:r w:rsidRPr="00292257">
        <w:rPr>
          <w:sz w:val="16"/>
        </w:rPr>
        <w:t xml:space="preserve">. There is a shift in focus to the spectrum of armed violence and non-conflict violence, which are to be remedied in the name of human security, in part through the (re)construction of legitimate coercive apparatuses. </w:t>
      </w:r>
      <w:r w:rsidRPr="00292257">
        <w:rPr>
          <w:rStyle w:val="Emphasis"/>
        </w:rPr>
        <w:t>The shift away from militarism and towards human security claims to acknowledge the changing character of conflict</w:t>
      </w:r>
      <w:r w:rsidRPr="00292257">
        <w:rPr>
          <w:rStyle w:val="StyleUnderline"/>
        </w:rPr>
        <w:t xml:space="preserve"> and the role of the state in monopolising legitimate violence, without privileging it unthinkingly</w:t>
      </w:r>
      <w:r w:rsidRPr="00292257">
        <w:rPr>
          <w:sz w:val="16"/>
        </w:rPr>
        <w:t>. Research in this vein has flourished in the years since the 1994 report, and brings significant advantages to bear over traditional state-centric analyses, such as the ability to account for the 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socioeconomic inequality into discussion about weapons transfers.34 For all these developments, the human security agenda’s take on war, conflict, and armed violence has not been without its critics</w:t>
      </w:r>
      <w:r w:rsidRPr="00292257">
        <w:rPr>
          <w:rStyle w:val="Emphasis"/>
        </w:rPr>
        <w:t>. It has been described as the ‘new orthodoxy’ that is ‘unable to provide the basis for a substantive change of the system of international security’, despite finding ‘the old language of interstate war and conflict … lacking’</w:t>
      </w:r>
      <w:r w:rsidRPr="00292257">
        <w:rPr>
          <w:rStyle w:val="StyleUnderline"/>
        </w:rPr>
        <w:t xml:space="preserve">. 35 Similarly, </w:t>
      </w:r>
      <w:r w:rsidRPr="00292257">
        <w:rPr>
          <w:rStyle w:val="Emphasis"/>
        </w:rPr>
        <w:t>its initiatives such as ‘eliminat[ing] certain types of weapons’ stands accused of failing to adequately examine ‘the pathologies inherent in the structure of the international system’ that generate such challenges</w:t>
      </w:r>
      <w:r w:rsidRPr="00292257">
        <w:rPr>
          <w:sz w:val="16"/>
        </w:rPr>
        <w:t xml:space="preserve">.36 And </w:t>
      </w:r>
      <w:r w:rsidRPr="00292257">
        <w:rPr>
          <w:rStyle w:val="Emphasis"/>
        </w:rPr>
        <w:t>when the ‘human’ in human security is naturalised as masculine, the inclusion of novel threats and new actors leaves the parameters of security untouched</w:t>
      </w:r>
      <w:r w:rsidRPr="00292257">
        <w:rPr>
          <w:rStyle w:val="StyleUnderline"/>
        </w:rPr>
        <w:t>, meaning that ‘state-based, militarised security remains unchallenged’</w:t>
      </w:r>
      <w:r w:rsidRPr="00292257">
        <w:rPr>
          <w:sz w:val="16"/>
        </w:rPr>
        <w:t>. 37 Feminist scholars have critiqued the gendered concepts and practices of war, peace, militarisation, peacekeeping and soldiering, going well beyond the human security framework in the process.</w:t>
      </w:r>
      <w:r w:rsidRPr="00292257">
        <w:rPr>
          <w:rStyle w:val="StyleUnderline"/>
        </w:rPr>
        <w:t xml:space="preserve">38 Feminist critiques that challenge the parameters of human security can usefully be combined with </w:t>
      </w:r>
      <w:r w:rsidRPr="00292257">
        <w:rPr>
          <w:rStyle w:val="Emphasis"/>
        </w:rPr>
        <w:t>postcolonial accounts of IR that emphasise the ways in which the discipline ‘can both deny empire while simultaneously normalizing an imperial perspective on the world’</w:t>
      </w:r>
      <w:r w:rsidRPr="00292257">
        <w:rPr>
          <w:sz w:val="16"/>
        </w:rPr>
        <w:t xml:space="preserve">. 39 Some </w:t>
      </w:r>
      <w:r w:rsidRPr="00292257">
        <w:rPr>
          <w:rStyle w:val="StyleUnderline"/>
        </w:rPr>
        <w:t xml:space="preserve">of the </w:t>
      </w:r>
      <w:r w:rsidRPr="00292257">
        <w:rPr>
          <w:rStyle w:val="Emphasis"/>
        </w:rPr>
        <w:t>main themes of the human security agenda are illustrative of the need for an imperial perspective in how we understand the challenges facing weapons control.</w:t>
      </w:r>
      <w:r w:rsidRPr="00292257">
        <w:rPr>
          <w:sz w:val="16"/>
        </w:rPr>
        <w:t xml:space="preserve"> By this I mean interpreting them with the aid </w:t>
      </w:r>
      <w:r w:rsidRPr="00292257">
        <w:rPr>
          <w:rStyle w:val="Emphasis"/>
        </w:rPr>
        <w:t>of scholarship that challenges methodological nationalism and Eurocentrism</w:t>
      </w:r>
      <w:r w:rsidRPr="00292257">
        <w:rPr>
          <w:rStyle w:val="StyleUnderline"/>
        </w:rPr>
        <w:t xml:space="preserve"> in its analysis, mobilises feminist critiques of militarism, </w:t>
      </w:r>
      <w:r w:rsidRPr="00292257">
        <w:rPr>
          <w:rStyle w:val="Emphasis"/>
        </w:rPr>
        <w:t>and puts the legacy of empire and colonialism</w:t>
      </w:r>
      <w:r w:rsidRPr="00292257">
        <w:rPr>
          <w:rStyle w:val="StyleUnderline"/>
        </w:rPr>
        <w:t xml:space="preserve">, and the racial, gendered, and classed politics of imperial control, </w:t>
      </w:r>
      <w:r w:rsidRPr="00292257">
        <w:rPr>
          <w:rStyle w:val="Emphasis"/>
        </w:rPr>
        <w:t>front and centre</w:t>
      </w:r>
      <w:r w:rsidRPr="00292257">
        <w:rPr>
          <w:rStyle w:val="StyleUnderline"/>
        </w:rPr>
        <w:t xml:space="preserve"> in its assessment of contemporary challenges</w:t>
      </w:r>
      <w:r w:rsidRPr="00292257">
        <w:rPr>
          <w:sz w:val="16"/>
        </w:rPr>
        <w:t>.</w:t>
      </w:r>
      <w:r w:rsidRPr="00292257">
        <w:rPr>
          <w:rStyle w:val="Emphasis"/>
        </w:rPr>
        <w:t>40 Deploying</w:t>
      </w:r>
      <w:r w:rsidRPr="00292257">
        <w:rPr>
          <w:sz w:val="16"/>
        </w:rPr>
        <w:t xml:space="preserve"> such </w:t>
      </w:r>
      <w:r w:rsidRPr="00292257">
        <w:rPr>
          <w:rStyle w:val="Emphasis"/>
        </w:rPr>
        <w:t xml:space="preserve">resources gives us a chance to rethink some of the key assumptions around human security </w:t>
      </w:r>
      <w:r w:rsidRPr="00292257">
        <w:rPr>
          <w:rStyle w:val="Emphasis"/>
        </w:rPr>
        <w:lastRenderedPageBreak/>
        <w:t xml:space="preserve">and </w:t>
      </w:r>
      <w:r w:rsidRPr="00292257">
        <w:rPr>
          <w:sz w:val="16"/>
        </w:rPr>
        <w:t xml:space="preserve">the prospects for </w:t>
      </w:r>
      <w:r w:rsidRPr="00292257">
        <w:rPr>
          <w:rStyle w:val="Emphasis"/>
        </w:rPr>
        <w:t>regulating weapons circulation</w:t>
      </w:r>
      <w:r w:rsidRPr="00292257">
        <w:rPr>
          <w:sz w:val="16"/>
        </w:rPr>
        <w:t xml:space="preserve">. Three core themes of the human security agenda are ripe for an imperial critique. First, the claim that the character of conflict has changed, from inter-state war towards internal conflict, has become axiomatic in much of IR, including the human security literature.41 The greatest threats to human security are deemed to stem from internal conflict and criminal violence, or the state itself, rather than from an external adversary as per the traditional security agenda. As such, ‘international security traditionally defined – territorial integrity – does not necessarily correlate with human security’. 42 Second, the changing character of conflict requires a shift in the referent object of security, according to the human security agenda: away from the state and inter-state war, and towards the individual and the broader range of threats they face. 43 And third, the human security agenda nonetheless emphasises the importance of the state’s monopoly on legitimate violence and role in security provision.44 Yet the circumstances have been transformed with the end of the Cold War. Kaldor attributes a ‘profound restructuring of political authority’ to the new wars, and sees human security as an opportunity for ‘reconstructing political authority in the context of the processes we call globalisation’. 45 Hence the need for security sector reform (SSR), demobilisation, disarmament, and reintegration (DDR) and other reforms of coercive practices and apparatuses. Each of these three themes is premised on the significance of the rupture that occurred with the end of the Cold War. But </w:t>
      </w:r>
      <w:r w:rsidRPr="00292257">
        <w:rPr>
          <w:rStyle w:val="StyleUnderline"/>
        </w:rPr>
        <w:t>understanding the Cold War as predominantly an East–West ideological and geopolitical confrontation marginalises longer historical patterns of North–South power relations and conflict</w:t>
      </w:r>
      <w:r w:rsidRPr="00292257">
        <w:rPr>
          <w:sz w:val="16"/>
        </w:rPr>
        <w:t xml:space="preserve">, and of hot war in the South. And the </w:t>
      </w:r>
      <w:r w:rsidRPr="00292257">
        <w:rPr>
          <w:rStyle w:val="Emphasis"/>
        </w:rPr>
        <w:t>increased focus on internal conflict, while fruitful in terms of changing the scale of analysis, risks disconnecting the micropolitics of violence from broader systems and structures of war preparation</w:t>
      </w:r>
      <w:r w:rsidRPr="00292257">
        <w:rPr>
          <w:rStyle w:val="StyleUnderline"/>
        </w:rPr>
        <w:t xml:space="preserve">, </w:t>
      </w:r>
      <w:r w:rsidRPr="00292257">
        <w:rPr>
          <w:rStyle w:val="Emphasis"/>
        </w:rPr>
        <w:t>ignoring</w:t>
      </w:r>
      <w:r w:rsidRPr="00292257">
        <w:rPr>
          <w:rStyle w:val="StyleUnderline"/>
        </w:rPr>
        <w:t xml:space="preserve"> one of the key lessons of feminist scholarship, which is </w:t>
      </w:r>
      <w:r w:rsidRPr="00292257">
        <w:rPr>
          <w:rStyle w:val="Emphasis"/>
        </w:rPr>
        <w:t>that the scales or so-called levels of analysis are interdependen</w:t>
      </w:r>
      <w:r w:rsidRPr="00292257">
        <w:rPr>
          <w:rStyle w:val="StyleUnderline"/>
        </w:rPr>
        <w:t>t.</w:t>
      </w:r>
      <w:r w:rsidRPr="00292257">
        <w:rPr>
          <w:sz w:val="16"/>
        </w:rPr>
        <w:t xml:space="preserve"> As Laura Sjoberg and Sandra Via put it, ‘absolutely distinguishing between the personal, national and international level of war and militarism lacks conceptual and empirical rigor at best’: feminist attention allows us to understand both the impact of war and militarism on people (especially, but not only, women) as well as the gendered construction of war and militarism.46 </w:t>
      </w:r>
      <w:r w:rsidRPr="00292257">
        <w:rPr>
          <w:rStyle w:val="Emphasis"/>
        </w:rPr>
        <w:t>A longer historical view</w:t>
      </w:r>
      <w:r w:rsidRPr="00292257">
        <w:rPr>
          <w:rStyle w:val="StyleUnderline"/>
        </w:rPr>
        <w:t xml:space="preserve"> that is not hamstrung by a state-centric ontology </w:t>
      </w:r>
      <w:r w:rsidRPr="00292257">
        <w:rPr>
          <w:rStyle w:val="Emphasis"/>
        </w:rPr>
        <w:t>allows us to see that arms transfer practices have long been part of the simultaneously transnational and asymmetrical constitution of force</w:t>
      </w:r>
      <w:r w:rsidRPr="00292257">
        <w:rPr>
          <w:rStyle w:val="StyleUnderline"/>
        </w:rPr>
        <w:t xml:space="preserve">. </w:t>
      </w:r>
      <w:r w:rsidRPr="00292257">
        <w:rPr>
          <w:rStyle w:val="Emphasis"/>
        </w:rPr>
        <w:t>Historical scholarship on the arms trade emphasises the importance of decolonisation as the shift from empire to a system of formally sovereign states in which North– South power asymmetries continue to resonate</w:t>
      </w:r>
      <w:r w:rsidRPr="00292257">
        <w:rPr>
          <w:sz w:val="16"/>
        </w:rPr>
        <w:t xml:space="preserve">. One of the </w:t>
      </w:r>
      <w:r w:rsidRPr="00292257">
        <w:rPr>
          <w:rStyle w:val="Emphasis"/>
        </w:rPr>
        <w:t>key transformations in weapons transfer practices that</w:t>
      </w:r>
      <w:r w:rsidRPr="00292257">
        <w:rPr>
          <w:rStyle w:val="StyleUnderline"/>
        </w:rPr>
        <w:t xml:space="preserve"> </w:t>
      </w:r>
      <w:r w:rsidRPr="00292257">
        <w:rPr>
          <w:rStyle w:val="Emphasis"/>
        </w:rPr>
        <w:t>came with decolonisation</w:t>
      </w:r>
      <w:r w:rsidRPr="00292257">
        <w:rPr>
          <w:rStyle w:val="StyleUnderline"/>
        </w:rPr>
        <w:t xml:space="preserve"> was a shift on the part of the Soviet Union and China from support for national liberation movements, to the defence of sovereignty as a means of resisting US-led domination, in either anti-capitalist or anti-imperialist modes</w:t>
      </w:r>
      <w:r w:rsidRPr="00292257">
        <w:rPr>
          <w:sz w:val="16"/>
        </w:rPr>
        <w:t>.47 The supply of weapons and military training was a common feature of both Soviet and US relations with the Third World: despite their differences, North–South politico-military relations had much in common between the two blocs.48 Ostensibly new or transformed challenges of the post-Cold War era, such as Somali piracy, new wars in Africa, or insurgency and counterinsurgency in Afghanistan, are thus better understood in postcolonial terms, with militarised transnational continuities as well as changes associated with the end of superpower rivalry.49 Amina Mama and Margo Okazawa-Rey emphasise the continuities between colonial and contemporary militarism that not only led them to prefer the terminology of postcolonial conflicts over that of new wars, but also emphasise the fundamentally gendered characteristics of the physical and structural violence at stake.50 And as Cooper argues</w:t>
      </w:r>
      <w:r w:rsidRPr="00292257">
        <w:rPr>
          <w:rStyle w:val="StyleUnderline"/>
        </w:rPr>
        <w:t xml:space="preserve">, </w:t>
      </w:r>
      <w:r w:rsidRPr="00292257">
        <w:rPr>
          <w:rStyle w:val="Emphasis"/>
        </w:rPr>
        <w:t>arms control regimes have long featured both ‘proscription and permission’ operating in tandem</w:t>
      </w:r>
      <w:r w:rsidRPr="00292257">
        <w:rPr>
          <w:sz w:val="16"/>
        </w:rPr>
        <w:t xml:space="preserve">, challenging the optimism of accounts premised on the end of the Cold War as the changed permissive factor that allows humanitarian concerns to be the core objective of weapons control. This emphasis on history and power generates scepticism about the optimism and presentism of most accounts of the emergence of the ATT, and the linear, benevolent account of history found therein.52 A longer historical perspective allows us to see how state security (whether national or imperial) and (what is today called) human security have long been two sides of the same coin. </w:t>
      </w:r>
      <w:r w:rsidRPr="00292257">
        <w:rPr>
          <w:rStyle w:val="Emphasis"/>
        </w:rPr>
        <w:t>There are thus continuities of imperial forms of practice despite the turn to formal sovereignty</w:t>
      </w:r>
      <w:r w:rsidRPr="00292257">
        <w:rPr>
          <w:rStyle w:val="StyleUnderline"/>
        </w:rPr>
        <w:t>.</w:t>
      </w:r>
      <w:r w:rsidRPr="00292257">
        <w:rPr>
          <w:sz w:val="16"/>
        </w:rPr>
        <w:t xml:space="preserve"> A focus on the systematic or organised and North–South character of much armed violence is not to return to Cold War politics or the ‘sterile polemic’ of past debates about weapons issues mentioned earlier. Rather, it is to </w:t>
      </w:r>
      <w:r w:rsidRPr="00292257">
        <w:rPr>
          <w:rStyle w:val="Emphasis"/>
        </w:rPr>
        <w:t>emphasise that historical weapons supply routes and power relations continue to resonate;</w:t>
      </w:r>
      <w:r w:rsidRPr="00292257">
        <w:rPr>
          <w:rStyle w:val="StyleUnderline"/>
        </w:rPr>
        <w:t xml:space="preserve"> that massive and uneven levels of global military spending and proxy wars continue to matter; and that </w:t>
      </w:r>
      <w:r w:rsidRPr="00292257">
        <w:rPr>
          <w:rStyle w:val="Emphasis"/>
        </w:rPr>
        <w:t>clients continue to use weapons in ways that are often unanticipated by patrons</w:t>
      </w:r>
      <w:r w:rsidRPr="00292257">
        <w:rPr>
          <w:sz w:val="16"/>
        </w:rPr>
        <w:t xml:space="preserve">. Ostensibly civil or internal wars are enmeshed in wider regional and international projects.53 </w:t>
      </w:r>
      <w:r w:rsidRPr="00292257">
        <w:rPr>
          <w:rStyle w:val="Emphasis"/>
        </w:rPr>
        <w:t>There are internationalised sources of much of what counts as domestic, civil or intra-state, including colonial legacies and internationalised weapons supply chains</w:t>
      </w:r>
      <w:r w:rsidRPr="00292257">
        <w:rPr>
          <w:sz w:val="16"/>
        </w:rPr>
        <w:t xml:space="preserve">. In many accounts, </w:t>
      </w:r>
      <w:r w:rsidRPr="00292257">
        <w:rPr>
          <w:rStyle w:val="Emphasis"/>
        </w:rPr>
        <w:t xml:space="preserve">human security has been mobilised as an attempt to </w:t>
      </w:r>
      <w:r w:rsidRPr="00292257">
        <w:rPr>
          <w:rStyle w:val="Emphasis"/>
        </w:rPr>
        <w:lastRenderedPageBreak/>
        <w:t>‘cope with [the] pathological results’ of how security has been defined in postcolonial states in the South</w:t>
      </w:r>
      <w:r w:rsidRPr="00292257">
        <w:rPr>
          <w:sz w:val="16"/>
        </w:rPr>
        <w:t xml:space="preserve">.54 Yet this encourages internalist analysis that sees the problems of armed violence as having their sources primarily within the global South. In </w:t>
      </w:r>
      <w:r w:rsidRPr="00292257">
        <w:rPr>
          <w:rStyle w:val="Emphasis"/>
        </w:rPr>
        <w:t>conceding the terms of debate to ‘traditional’ security studies, and seeking to shift inwards from the state to the individuals living within it</w:t>
      </w:r>
      <w:r w:rsidRPr="00292257">
        <w:rPr>
          <w:rStyle w:val="StyleUnderline"/>
        </w:rPr>
        <w:t xml:space="preserve">, rather than critiquing the conception of the international system, </w:t>
      </w:r>
      <w:r w:rsidRPr="00292257">
        <w:rPr>
          <w:rStyle w:val="Emphasis"/>
        </w:rPr>
        <w:t>the human security agenda continues to ‘occlude and distort imperial relations’ in</w:t>
      </w:r>
      <w:r w:rsidRPr="00292257">
        <w:rPr>
          <w:rStyle w:val="StyleUnderline"/>
        </w:rPr>
        <w:t xml:space="preserve"> the way that </w:t>
      </w:r>
      <w:r w:rsidRPr="00292257">
        <w:rPr>
          <w:rStyle w:val="Emphasis"/>
        </w:rPr>
        <w:t>more traditional ‘Westphalian terms of reference’</w:t>
      </w:r>
      <w:r w:rsidRPr="00292257">
        <w:rPr>
          <w:rStyle w:val="StyleUnderline"/>
        </w:rPr>
        <w:t xml:space="preserve"> do.</w:t>
      </w:r>
      <w:r w:rsidRPr="00292257">
        <w:rPr>
          <w:sz w:val="16"/>
        </w:rPr>
        <w:t xml:space="preserve">55 In the human security agenda’s account of the shift from wars between states to wars within them, war falls off the agenda as it is deemed analytically outdated and politically regressive. Yet neo-realist, Cold War accounts of national security were never adequate, and in trying to overcome them, many human security accounts take them at face value and get the critique wrong. With its emphasis on the enduring power of war preparation, the concept of militarism suggests </w:t>
      </w:r>
      <w:r w:rsidRPr="00292257">
        <w:rPr>
          <w:rStyle w:val="Emphasis"/>
        </w:rPr>
        <w:t>that much contemporary violence remains coordinated or facilitate</w:t>
      </w:r>
      <w:r w:rsidRPr="00292257">
        <w:rPr>
          <w:rStyle w:val="StyleUnderline"/>
        </w:rPr>
        <w:t xml:space="preserve">d (by state, paramilitary, militia, or other organised actors), </w:t>
      </w:r>
      <w:r w:rsidRPr="00292257">
        <w:rPr>
          <w:rStyle w:val="Emphasis"/>
        </w:rPr>
        <w:t>and systematic within society</w:t>
      </w:r>
      <w:r w:rsidRPr="00292257">
        <w:rPr>
          <w:sz w:val="16"/>
        </w:rPr>
        <w:t xml:space="preserve">, despite the shift towards discussion of armed violence and intentional homicide, which is suggestive of disorganised violence. </w:t>
      </w:r>
    </w:p>
    <w:p w:rsidR="005027D7" w:rsidRPr="00292257" w:rsidRDefault="000E4A71" w:rsidP="005027D7">
      <w:pPr>
        <w:pStyle w:val="Heading4"/>
      </w:pPr>
      <w:r w:rsidRPr="00292257">
        <w:t>The affirmative reifies state sovereignty projects through arms sales restrictions – justifies military industrial complex of violence and interventions</w:t>
      </w:r>
    </w:p>
    <w:p w:rsidR="005027D7" w:rsidRPr="00292257" w:rsidRDefault="005027D7" w:rsidP="005027D7">
      <w:r w:rsidRPr="00292257">
        <w:rPr>
          <w:rStyle w:val="Style13ptBold"/>
        </w:rPr>
        <w:t>Tully 08</w:t>
      </w:r>
      <w:r w:rsidR="000E4A71" w:rsidRPr="00292257">
        <w:rPr>
          <w:rStyle w:val="Style13ptBold"/>
        </w:rPr>
        <w:t xml:space="preserve"> </w:t>
      </w:r>
      <w:r w:rsidRPr="00292257">
        <w:t xml:space="preserve">James Tully, James Hamilton Tully FRSC is the Distinguished Professor Emeritus of Political Science, Law, Indigenous Governance and Philosophy at the University of Victoria, Canada, "Modern Constitutional Democracy and Imperialism." Osgoode Hall Law Journal 46.3 (2008) : 461-493. </w:t>
      </w:r>
      <w:hyperlink r:id="rId18" w:history="1">
        <w:r w:rsidRPr="00292257">
          <w:rPr>
            <w:rStyle w:val="Hyperlink"/>
          </w:rPr>
          <w:t>http://digitalcommons.osgoode.yorku.ca/ohlj/vol46/iss3/</w:t>
        </w:r>
      </w:hyperlink>
      <w:r w:rsidRPr="00292257">
        <w:t>, /MegLak</w:t>
      </w:r>
    </w:p>
    <w:p w:rsidR="005027D7" w:rsidRPr="00292257" w:rsidRDefault="005027D7" w:rsidP="005027D7">
      <w:r w:rsidRPr="00292257">
        <w:t xml:space="preserve">This doctrine of </w:t>
      </w:r>
      <w:r w:rsidRPr="00292257">
        <w:rPr>
          <w:rStyle w:val="StyleUnderline"/>
        </w:rPr>
        <w:t>state sovereignty gives rise to</w:t>
      </w:r>
      <w:r w:rsidRPr="00292257">
        <w:t xml:space="preserve"> yet another kind of </w:t>
      </w:r>
      <w:r w:rsidRPr="00292257">
        <w:rPr>
          <w:rStyle w:val="StyleUnderline"/>
        </w:rPr>
        <w:t>separation</w:t>
      </w:r>
      <w:r w:rsidRPr="00292257">
        <w:t xml:space="preserve">: the relative autonomy </w:t>
      </w:r>
      <w:r w:rsidRPr="00292257">
        <w:rPr>
          <w:rStyle w:val="StyleUnderline"/>
        </w:rPr>
        <w:t>of the state</w:t>
      </w:r>
      <w:r w:rsidRPr="00292257">
        <w:t xml:space="preserve"> (or executive) </w:t>
      </w:r>
      <w:r w:rsidRPr="00292257">
        <w:rPr>
          <w:rStyle w:val="StyleUnderline"/>
        </w:rPr>
        <w:t>from both the people and</w:t>
      </w:r>
      <w:r w:rsidRPr="00292257">
        <w:t xml:space="preserve"> the </w:t>
      </w:r>
      <w:r w:rsidRPr="00292257">
        <w:rPr>
          <w:rStyle w:val="StyleUnderline"/>
        </w:rPr>
        <w:t>constitution</w:t>
      </w:r>
      <w:r w:rsidRPr="00292257">
        <w:t xml:space="preserve">. It is integral to modern constitutionalism. </w:t>
      </w:r>
      <w:r w:rsidRPr="00292257">
        <w:rPr>
          <w:rStyle w:val="StyleUnderline"/>
        </w:rPr>
        <w:t>A</w:t>
      </w:r>
      <w:r w:rsidRPr="00292257">
        <w:t xml:space="preserve"> modern </w:t>
      </w:r>
      <w:r w:rsidRPr="00292257">
        <w:rPr>
          <w:rStyle w:val="StyleUnderline"/>
        </w:rPr>
        <w:t>constitution</w:t>
      </w:r>
      <w:r w:rsidRPr="00292257">
        <w:t xml:space="preserve">, Kant famously argued, does not arise from the spontaneous interaction of the pre-civil people. Rather, it </w:t>
      </w:r>
      <w:r w:rsidRPr="00292257">
        <w:rPr>
          <w:rStyle w:val="StyleUnderline"/>
        </w:rPr>
        <w:t>requires some kind of master</w:t>
      </w:r>
      <w:r w:rsidRPr="00292257">
        <w:t xml:space="preserve"> or legislator</w:t>
      </w:r>
      <w:r w:rsidRPr="00292257">
        <w:rPr>
          <w:rStyle w:val="StyleUnderline"/>
        </w:rPr>
        <w:t xml:space="preserve"> to impose law on the crooked timber of the people and to act, without their consent</w:t>
      </w:r>
      <w:r w:rsidRPr="00292257">
        <w:t xml:space="preserve"> and independent of law in exceptional circumstances </w:t>
      </w:r>
      <w:r w:rsidRPr="00292257">
        <w:rPr>
          <w:rStyle w:val="StyleUnderline"/>
        </w:rPr>
        <w:t>until they are "civilized" by</w:t>
      </w:r>
      <w:r w:rsidRPr="00292257">
        <w:t xml:space="preserve"> centuries of </w:t>
      </w:r>
      <w:r w:rsidRPr="00292257">
        <w:rPr>
          <w:rStyle w:val="StyleUnderline"/>
        </w:rPr>
        <w:t>subjection</w:t>
      </w:r>
      <w:r w:rsidRPr="00292257">
        <w:t xml:space="preserve"> to civil law. As Machiavelli and Chomsky add, these </w:t>
      </w:r>
      <w:r w:rsidRPr="00292257">
        <w:rPr>
          <w:rStyle w:val="StyleUnderline"/>
        </w:rPr>
        <w:t>constitutive powers are supplemented with the powers of "manufacturing the consent"</w:t>
      </w:r>
      <w:r w:rsidRPr="00292257">
        <w:t xml:space="preserve"> of the people and making non-constitutional actions appear constitutional in order to gain legitimacy. Far from disappearing, some contemporary theorists argue, like Hobbes, that sovereignty in this sense structures the constitutional form and the form that constituent powers take within it. That is, </w:t>
      </w:r>
      <w:r w:rsidRPr="00292257">
        <w:rPr>
          <w:rStyle w:val="StyleUnderline"/>
        </w:rPr>
        <w:t>the field of "constitutional form and constituent power"</w:t>
      </w:r>
      <w:r w:rsidRPr="00292257">
        <w:t xml:space="preserve"> is really </w:t>
      </w:r>
      <w:r w:rsidRPr="00292257">
        <w:rPr>
          <w:rStyle w:val="StyleUnderline"/>
        </w:rPr>
        <w:t>a game between the constitutive sovereign and the constituent people within and over the constitutional form</w:t>
      </w:r>
      <w:r w:rsidRPr="00292257">
        <w:t xml:space="preserve"> (the contract between them)-a game </w:t>
      </w:r>
      <w:r w:rsidRPr="00292257">
        <w:rPr>
          <w:rStyle w:val="StyleUnderline"/>
        </w:rPr>
        <w:t>that</w:t>
      </w:r>
      <w:r w:rsidRPr="00292257">
        <w:t xml:space="preserve">, according to the realists, </w:t>
      </w:r>
      <w:r w:rsidRPr="00292257">
        <w:rPr>
          <w:rStyle w:val="StyleUnderline"/>
        </w:rPr>
        <w:t>the sovereign dominates</w:t>
      </w:r>
      <w:r w:rsidRPr="00292257">
        <w:t xml:space="preserve">. As with constitutional forms and constituent powers (features one and two), there are two corresponding classes of constitutive sovereignty: state sovereignty in its various forms and the candidates for sovereignty over the various global constitutional forms listed above. </w:t>
      </w:r>
      <w:r w:rsidRPr="00292257">
        <w:rPr>
          <w:rStyle w:val="Emphasis"/>
        </w:rPr>
        <w:t>The global sovereigns range ,from the competing imperial powers in the colonial age to the informal sovereigns today, such as a single superpower</w:t>
      </w:r>
      <w:r w:rsidRPr="00292257">
        <w:t xml:space="preserve"> (the United States since 1989), the G8 or G20, </w:t>
      </w:r>
      <w:r w:rsidRPr="00292257">
        <w:rPr>
          <w:rStyle w:val="Emphasis"/>
        </w:rPr>
        <w:t>a coalition or balance of civilized, advanced or democratic states</w:t>
      </w:r>
      <w:r w:rsidRPr="00292257">
        <w:t xml:space="preserve">, the Bretton Woods institutions and the WTO, the transnational corporations empowered by trade agreements under the WTO, an empowered UN, or some combination of these contenders. Fourth, I have been writing as if constituent powers (feature two) consist only of political powers, that is, powers of self-government that are said to be delegated or alienated to representative institutions and also </w:t>
      </w:r>
      <w:r w:rsidRPr="00292257">
        <w:lastRenderedPageBreak/>
        <w:t xml:space="preserve">exercised directly in public spheres. But this is too narrow. As Locke, Marx, and Weber insisted, the </w:t>
      </w:r>
      <w:r w:rsidRPr="00292257">
        <w:rPr>
          <w:rStyle w:val="Emphasis"/>
        </w:rPr>
        <w:t>constituent powers of the people that are institutionalized by a modern constitutional system of laws consist of three distinct types of powers</w:t>
      </w:r>
      <w:r w:rsidRPr="00292257">
        <w:t xml:space="preserve">: political power or the powers of </w:t>
      </w:r>
      <w:r w:rsidRPr="00292257">
        <w:rPr>
          <w:rStyle w:val="StyleUnderline"/>
        </w:rPr>
        <w:t xml:space="preserve">self-government </w:t>
      </w:r>
      <w:r w:rsidRPr="00292257">
        <w:t xml:space="preserve">(feature two); </w:t>
      </w:r>
      <w:r w:rsidRPr="00292257">
        <w:rPr>
          <w:rStyle w:val="StyleUnderline"/>
        </w:rPr>
        <w:t>labour</w:t>
      </w:r>
      <w:r w:rsidRPr="00292257">
        <w:t xml:space="preserve"> or productive powers; </w:t>
      </w:r>
      <w:r w:rsidRPr="00292257">
        <w:rPr>
          <w:rStyle w:val="StyleUnderline"/>
        </w:rPr>
        <w:t>and the</w:t>
      </w:r>
      <w:r w:rsidRPr="00292257">
        <w:t xml:space="preserve"> powers to protect oneself and others, or </w:t>
      </w:r>
      <w:r w:rsidRPr="00292257">
        <w:rPr>
          <w:rStyle w:val="StyleUnderline"/>
        </w:rPr>
        <w:t>military and police power</w:t>
      </w:r>
      <w:r w:rsidRPr="00292257">
        <w:t xml:space="preserve">. Modern constitutions differentially distribute these three types of constituent powers into three distinct sets of legal institutions of modern societies: political, economic, and police and military.19 The second type of constituent power, labour power, is exercised by selling it for a wage on the market to competing national or multinational corporations that manage its exercise and extract a profit. These capitalist forms of constituent labour power and private property in the means of production and contractual relations are stipulated by the constitutional forms of state and international legal regimes and enforced by the corresponding sovereigns. This form of organization of productive power is distinctive to modern constitutionalism. Humans have been dispossessed of their access to the land and independent means of production: first, with the enclosures within Europe and then, with the dispossession of the non-European peoples of their indigenous legal and political control over their resources and labour during the spread of western imperialism and'its legal orders, as Marx and Hobson concurred.2 " Just as one can think of political powers being either delegated or alienated to the representative institutions, so too can one think of economic powers being either delegated or alienated to the capitalist corporations, as Weber neatly demonstrated. Productive powers are also conceptualized in the same abstract way as political powers: that is, as capacities capable of being shaped and exercised in a multiplicity of forms-within the corporatized division of labour.2 The third type of constituent power, </w:t>
      </w:r>
      <w:r w:rsidRPr="00292257">
        <w:rPr>
          <w:rStyle w:val="StyleUnderline"/>
        </w:rPr>
        <w:t>the powers of self-and-other defense, is alienated to the police and the military-industrial complex in modern constitutional formation</w:t>
      </w:r>
      <w:r w:rsidRPr="00292257">
        <w:t xml:space="preserve">s. Although rebellions were fought in the name of no standing armies in the seventeenth century, </w:t>
      </w:r>
      <w:r w:rsidRPr="00292257">
        <w:rPr>
          <w:rStyle w:val="StyleUnderline"/>
        </w:rPr>
        <w:t xml:space="preserve">by the early nineteenth century every </w:t>
      </w:r>
      <w:r w:rsidRPr="00292257">
        <w:rPr>
          <w:rStyle w:val="Emphasis"/>
        </w:rPr>
        <w:t>modern state had a</w:t>
      </w:r>
      <w:r w:rsidRPr="00292257">
        <w:rPr>
          <w:rStyle w:val="StyleUnderline"/>
        </w:rPr>
        <w:t xml:space="preserve"> constitutionally protected </w:t>
      </w:r>
      <w:r w:rsidRPr="00292257">
        <w:rPr>
          <w:rStyle w:val="Emphasis"/>
        </w:rPr>
        <w:t>permanent military complex</w:t>
      </w:r>
      <w:r w:rsidRPr="00292257">
        <w:t xml:space="preserve">.22 </w:t>
      </w:r>
      <w:r w:rsidRPr="00292257">
        <w:rPr>
          <w:rStyle w:val="StyleUnderline"/>
        </w:rPr>
        <w:t>These complexes are standardly connected to the most advanced research and development</w:t>
      </w:r>
      <w:r w:rsidRPr="00292257">
        <w:t xml:space="preserve"> institutions, the </w:t>
      </w:r>
      <w:r w:rsidRPr="00292257">
        <w:rPr>
          <w:rStyle w:val="StyleUnderline"/>
        </w:rPr>
        <w:t>largest commercial firms</w:t>
      </w:r>
      <w:r w:rsidRPr="00292257">
        <w:t xml:space="preserve">, a secure tax base, a </w:t>
      </w:r>
      <w:r w:rsidRPr="00292257">
        <w:rPr>
          <w:rStyle w:val="StyleUnderline"/>
        </w:rPr>
        <w:t>permanent supply of recruits</w:t>
      </w:r>
      <w:r w:rsidRPr="00292257">
        <w:t xml:space="preserve"> through the levde en masse, the draft, and, more recently, the state's purchase of private armies on the market, a separate class of influential military-political leaders, </w:t>
      </w:r>
      <w:r w:rsidRPr="00292257">
        <w:rPr>
          <w:rStyle w:val="StyleUnderline"/>
        </w:rPr>
        <w:t>naval and army bases throughout the old European empires, and the paramount global military system of the United States</w:t>
      </w:r>
      <w:r w:rsidRPr="00292257">
        <w:t xml:space="preserve"> that claims to exercise full spectrum dominance of the planet today. As Montesquieu foresaw in 1748, this peculiar formation of protective powers is caught in an ever-escalating arms race with other constitutional states. And, </w:t>
      </w:r>
      <w:r w:rsidRPr="00292257">
        <w:rPr>
          <w:rStyle w:val="Emphasis"/>
        </w:rPr>
        <w:t>since decolonization</w:t>
      </w:r>
      <w:r w:rsidRPr="00292257">
        <w:t xml:space="preserve"> in the twentieth century, </w:t>
      </w:r>
      <w:r w:rsidRPr="00292257">
        <w:rPr>
          <w:rStyle w:val="Emphasis"/>
        </w:rPr>
        <w:t>it has developed into an expanding arms-sales industry to dependent and indebted former colonies and proxy states</w:t>
      </w:r>
      <w:r w:rsidRPr="00292257">
        <w:t xml:space="preserve">. As Locke warned in 1675, </w:t>
      </w:r>
      <w:r w:rsidRPr="00292257">
        <w:rPr>
          <w:rStyle w:val="StyleUnderline"/>
        </w:rPr>
        <w:t>the resulting power imbalance between the permanently-armed sovereign state and the legally disarmed people undermines the rough equality between the people and their representatives</w:t>
      </w:r>
      <w:r w:rsidRPr="00292257">
        <w:t xml:space="preserve"> that was the guarantee of a free and constitutionally bound polity, thereby </w:t>
      </w:r>
      <w:r w:rsidRPr="00292257">
        <w:rPr>
          <w:rStyle w:val="Emphasis"/>
        </w:rPr>
        <w:t>opening the people to abuse by their own government and to unlimited military adventures abroad</w:t>
      </w:r>
      <w:r w:rsidRPr="00292257">
        <w:t xml:space="preserve">, without an effective counter-balance. Yet, because </w:t>
      </w:r>
      <w:r w:rsidRPr="00292257">
        <w:rPr>
          <w:rStyle w:val="StyleUnderline"/>
        </w:rPr>
        <w:t>the people always desire to be free of oppression, the system is a recipe for inevitable wars and revolts.</w:t>
      </w:r>
      <w:r w:rsidRPr="00292257">
        <w:t xml:space="preserve">23 Just as constituent political powers are organized in different governance institutions within constitutional states and suprastate organizations (second feature), so too are economic and military constituent powers. The Bretton Woods institutions, the G8, and the most powerful </w:t>
      </w:r>
      <w:r w:rsidRPr="00292257">
        <w:lastRenderedPageBreak/>
        <w:t xml:space="preserve">transnational corporations govern economic power through the suprastate systems of trade and finance law.2 " </w:t>
      </w:r>
      <w:r w:rsidRPr="00292257">
        <w:rPr>
          <w:rStyle w:val="StyleUnderline"/>
        </w:rPr>
        <w:t>The United States now claims to exercise full spectrum military dominance over the world's forms of constituent military power to protect. democracy and free trade, multilaterally and in accord with international law</w:t>
      </w:r>
      <w:r w:rsidRPr="00292257">
        <w:t xml:space="preserve"> and the Security Council if possible (juridical dominance), </w:t>
      </w:r>
      <w:r w:rsidRPr="00292257">
        <w:rPr>
          <w:rStyle w:val="StyleUnderline"/>
        </w:rPr>
        <w:t xml:space="preserve">but </w:t>
      </w:r>
      <w:r w:rsidRPr="00292257">
        <w:rPr>
          <w:rStyle w:val="Emphasis"/>
        </w:rPr>
        <w:t>unilaterally and without the law if necessary</w:t>
      </w:r>
      <w:r w:rsidRPr="00292257">
        <w:t xml:space="preserve"> (executive dominance). 25</w:t>
      </w:r>
    </w:p>
    <w:p w:rsidR="005027D7" w:rsidRPr="00292257" w:rsidRDefault="005027D7" w:rsidP="005027D7">
      <w:pPr>
        <w:pStyle w:val="Heading3"/>
      </w:pPr>
      <w:r w:rsidRPr="00292257">
        <w:lastRenderedPageBreak/>
        <w:t>Small Arms</w:t>
      </w:r>
    </w:p>
    <w:p w:rsidR="005027D7" w:rsidRPr="00292257" w:rsidRDefault="005027D7" w:rsidP="005027D7">
      <w:pPr>
        <w:pStyle w:val="Heading4"/>
      </w:pPr>
      <w:r w:rsidRPr="00292257">
        <w:t xml:space="preserve">Discourses of small arms control reproduces hierarchies between the global North and South </w:t>
      </w:r>
    </w:p>
    <w:p w:rsidR="005027D7" w:rsidRPr="00292257" w:rsidRDefault="005027D7" w:rsidP="005027D7">
      <w:r w:rsidRPr="00292257">
        <w:rPr>
          <w:rStyle w:val="Style13ptBold"/>
        </w:rPr>
        <w:t xml:space="preserve">Straviankas 11 </w:t>
      </w:r>
      <w:r w:rsidRPr="00292257">
        <w:t xml:space="preserve">Anna Straviankas, “Small Arms Control and the Reproduction of Imperial Relations”, </w:t>
      </w:r>
      <w:r w:rsidRPr="00292257">
        <w:rPr>
          <w:i/>
        </w:rPr>
        <w:t>Contemporary Security Policy, 32:1, 193-214</w:t>
      </w:r>
      <w:r w:rsidRPr="00292257">
        <w:t>, 2011, DOI: 10.1080/13523260.2011.556861, /MegLak</w:t>
      </w:r>
    </w:p>
    <w:p w:rsidR="005027D7" w:rsidRPr="00292257" w:rsidRDefault="005027D7" w:rsidP="005027D7">
      <w:pPr>
        <w:rPr>
          <w:sz w:val="16"/>
        </w:rPr>
      </w:pPr>
      <w:r w:rsidRPr="00292257">
        <w:rPr>
          <w:sz w:val="16"/>
        </w:rPr>
        <w:t xml:space="preserve">The analysis thus far suggests that weaknesses in the conceptualization of small arms control are more fundamental than many scholar-practitioners imagine. The emerging dominant paradigm is an improvement on conventional security studies in a number of ways. It moves beyond great power politics, has a broader set of concerns beyond state security that include human security, focusses on the majority world and their security concerns, and attempts to take local subjectivities seriously. Despite this, </w:t>
      </w:r>
      <w:r w:rsidRPr="00292257">
        <w:rPr>
          <w:rStyle w:val="StyleUnderline"/>
        </w:rPr>
        <w:t>small arms control is marked by the application of categories derived from an idealized account of Northern historical development</w:t>
      </w:r>
      <w:r w:rsidRPr="00292257">
        <w:rPr>
          <w:sz w:val="16"/>
        </w:rPr>
        <w:t xml:space="preserve">. </w:t>
      </w:r>
      <w:r w:rsidRPr="00292257">
        <w:rPr>
          <w:rStyle w:val="StyleUnderline"/>
        </w:rPr>
        <w:t>It</w:t>
      </w:r>
      <w:r w:rsidRPr="00292257">
        <w:rPr>
          <w:sz w:val="16"/>
        </w:rPr>
        <w:t xml:space="preserve"> thus </w:t>
      </w:r>
      <w:r w:rsidRPr="00292257">
        <w:rPr>
          <w:rStyle w:val="StyleUnderline"/>
        </w:rPr>
        <w:t>remains Eurocentric in that it ‘derives its core categories and assumptions about world politics from a particular understanding of European experience’</w:t>
      </w:r>
      <w:r w:rsidRPr="00292257">
        <w:rPr>
          <w:sz w:val="16"/>
        </w:rPr>
        <w:t xml:space="preserve">.120 Not only has conceptual work stalled, but </w:t>
      </w:r>
      <w:r w:rsidRPr="00292257">
        <w:rPr>
          <w:rStyle w:val="Emphasis"/>
        </w:rPr>
        <w:t>a Eurocentric conceptualization of organized violence and its control means that programmes will continue to fail</w:t>
      </w:r>
      <w:r w:rsidRPr="00292257">
        <w:rPr>
          <w:sz w:val="16"/>
        </w:rPr>
        <w:t xml:space="preserve">. Beyond this, </w:t>
      </w:r>
      <w:r w:rsidRPr="00292257">
        <w:rPr>
          <w:rStyle w:val="StyleUnderline"/>
        </w:rPr>
        <w:t>small arms control is also marked by a series of exclusions, which point to the lack of a common frame for understanding armed violence</w:t>
      </w:r>
      <w:r w:rsidRPr="00292257">
        <w:rPr>
          <w:sz w:val="16"/>
        </w:rPr>
        <w:t xml:space="preserve">. This </w:t>
      </w:r>
      <w:r w:rsidRPr="00292257">
        <w:rPr>
          <w:rStyle w:val="Emphasis"/>
        </w:rPr>
        <w:t>serves to produce the South as a site of intervention</w:t>
      </w:r>
      <w:r w:rsidRPr="00292257">
        <w:rPr>
          <w:rStyle w:val="StyleUnderline"/>
        </w:rPr>
        <w:t>, contributing to the mutual constitution of both North and South</w:t>
      </w:r>
      <w:r w:rsidRPr="00292257">
        <w:rPr>
          <w:sz w:val="16"/>
        </w:rPr>
        <w:t xml:space="preserve">. Furthermore, the internationalizing policy community that has emerged in relation to small arms control is itself marked by North-South hierarchies. Overall, then, small arms control is better understood as a moment in the reproduction of imperial relations. There are two main exclusions or silences in play in small arms control: a geo- graphical and a technological one, both of which speak to wider questions of the social relations of militarism and the world military order. </w:t>
      </w:r>
      <w:r w:rsidRPr="00292257">
        <w:rPr>
          <w:rStyle w:val="StyleUnderline"/>
        </w:rPr>
        <w:t>Small arms control efforts are heavily geographically circumscribed.</w:t>
      </w:r>
      <w:r w:rsidRPr="00292257">
        <w:rPr>
          <w:sz w:val="16"/>
        </w:rPr>
        <w:t xml:space="preserve"> In addition to the almost total exclusion of Northern societies from the international public policy agenda, </w:t>
      </w:r>
      <w:r w:rsidRPr="00292257">
        <w:rPr>
          <w:rStyle w:val="StyleUnderline"/>
        </w:rPr>
        <w:t>control efforts are most prominent in Sub-Saharan Africa, Latin America and the Balkans, while the Middle East, and South and East Asia receive far less attention</w:t>
      </w:r>
      <w:r w:rsidRPr="00292257">
        <w:rPr>
          <w:sz w:val="16"/>
        </w:rPr>
        <w:t xml:space="preserve">. The Small Arms Survey’s three ‘focus projects’, for example, are its Sudan Human Secur- ity Baseline Assessment, Timor-Leste Armed Violence Assessment, and the Geneva Declaration on Armed Violence and Development. The latter ‘strives to achieve measurable reductions in the global burden of armed violence by 2015’ and its focus countries are Burundi, Guatemala, Jamaica, Kenya, Papua New Guinea, and Timor-Leste.121 </w:t>
      </w:r>
      <w:r w:rsidRPr="00292257">
        <w:rPr>
          <w:rStyle w:val="StyleUnderline"/>
        </w:rPr>
        <w:t>The Control Arms campaign for a legally binding Arms Trade Treaty</w:t>
      </w:r>
      <w:r w:rsidRPr="00292257">
        <w:rPr>
          <w:sz w:val="16"/>
        </w:rPr>
        <w:t xml:space="preserve"> (spearheaded by Amnesty International, Oxfam, and the International Action Network on Small Arms), meanwhile, </w:t>
      </w:r>
      <w:r w:rsidRPr="00292257">
        <w:rPr>
          <w:rStyle w:val="StyleUnderline"/>
        </w:rPr>
        <w:t>focusses on protecting human rights and development concerns in arms transfer decisions</w:t>
      </w:r>
      <w:r w:rsidRPr="00292257">
        <w:rPr>
          <w:sz w:val="16"/>
        </w:rPr>
        <w:t xml:space="preserve">. In practice, </w:t>
      </w:r>
      <w:r w:rsidRPr="00292257">
        <w:rPr>
          <w:rStyle w:val="StyleUnderline"/>
        </w:rPr>
        <w:t>this results in a focus on transfers to the South, but to the exclusion of oil-rich Middle Eastern states that are not, by definition, poor.</w:t>
      </w:r>
      <w:r w:rsidRPr="00292257">
        <w:rPr>
          <w:sz w:val="16"/>
        </w:rPr>
        <w:t xml:space="preserve">122 </w:t>
      </w:r>
      <w:r w:rsidRPr="00292257">
        <w:rPr>
          <w:rStyle w:val="StyleUnderline"/>
        </w:rPr>
        <w:t xml:space="preserve">This is emblematic of </w:t>
      </w:r>
      <w:r w:rsidRPr="00292257">
        <w:rPr>
          <w:sz w:val="16"/>
        </w:rPr>
        <w:t xml:space="preserve">a much </w:t>
      </w:r>
      <w:r w:rsidRPr="00292257">
        <w:rPr>
          <w:rStyle w:val="StyleUnderline"/>
        </w:rPr>
        <w:t>wider</w:t>
      </w:r>
      <w:r w:rsidRPr="00292257">
        <w:rPr>
          <w:sz w:val="16"/>
        </w:rPr>
        <w:t xml:space="preserve"> exclusion, namely of the world military order and </w:t>
      </w:r>
      <w:r w:rsidRPr="00292257">
        <w:rPr>
          <w:rStyle w:val="StyleUnderline"/>
        </w:rPr>
        <w:t>questions of militarism</w:t>
      </w:r>
      <w:r w:rsidRPr="00292257">
        <w:rPr>
          <w:sz w:val="16"/>
        </w:rPr>
        <w:t xml:space="preserve">. </w:t>
      </w:r>
      <w:r w:rsidRPr="00292257">
        <w:rPr>
          <w:rStyle w:val="Emphasis"/>
        </w:rPr>
        <w:t>The small arms debate perpetuates a partial argument that reproduces the dominant conflict – security – development nexus</w:t>
      </w:r>
      <w:r w:rsidRPr="00292257">
        <w:rPr>
          <w:rStyle w:val="StyleUnderline"/>
        </w:rPr>
        <w:t xml:space="preserve"> </w:t>
      </w:r>
      <w:r w:rsidRPr="00292257">
        <w:rPr>
          <w:sz w:val="16"/>
        </w:rPr>
        <w:t xml:space="preserve">that has become central to post-Cold War international security, severs small arms from the wider arms dynamic and world military order, and </w:t>
      </w:r>
      <w:r w:rsidRPr="00292257">
        <w:rPr>
          <w:rStyle w:val="StyleUnderline"/>
        </w:rPr>
        <w:t>hives off violent conflict in the South from the wider spectrum of war and organized violence.</w:t>
      </w:r>
      <w:r w:rsidRPr="00292257">
        <w:rPr>
          <w:sz w:val="16"/>
        </w:rPr>
        <w:t xml:space="preserve"> The irony of this is that the post-Cold War human security and conflict – security – development approaches, and </w:t>
      </w:r>
      <w:r w:rsidRPr="00292257">
        <w:rPr>
          <w:rStyle w:val="StyleUnderline"/>
        </w:rPr>
        <w:t>the focus on small arms, were themselves a response to a previous silence created by the state-centrism and obsession with major conventional weaponry</w:t>
      </w:r>
      <w:r w:rsidRPr="00292257">
        <w:rPr>
          <w:sz w:val="16"/>
        </w:rPr>
        <w:t xml:space="preserve"> and nuclear weapons of Cold War arms control discourse. But in filling that gap, they perpetuate their own silences. </w:t>
      </w:r>
      <w:r w:rsidRPr="00292257">
        <w:rPr>
          <w:rStyle w:val="StyleUnderline"/>
        </w:rPr>
        <w:t>The world military order</w:t>
      </w:r>
      <w:r w:rsidRPr="00292257">
        <w:rPr>
          <w:sz w:val="16"/>
        </w:rPr>
        <w:t xml:space="preserve">, in which the struc- ture and dynamics of military activity are understood as a site of interaction in their own right, albeit one shaped by and shaping the wider social structures of which they are a part,123 </w:t>
      </w:r>
      <w:r w:rsidRPr="00292257">
        <w:rPr>
          <w:rStyle w:val="StyleUnderline"/>
        </w:rPr>
        <w:t>includes intra-Northern production and trade and North–South trans- fers, as well as South–South transfers and small arms proliferation</w:t>
      </w:r>
      <w:r w:rsidRPr="00292257">
        <w:rPr>
          <w:sz w:val="16"/>
        </w:rPr>
        <w:t xml:space="preserve">, </w:t>
      </w:r>
      <w:r w:rsidRPr="00292257">
        <w:rPr>
          <w:rStyle w:val="StyleUnderline"/>
        </w:rPr>
        <w:t>practices that are gendered, racialized and class-based in a variety of ways</w:t>
      </w:r>
      <w:r w:rsidRPr="00292257">
        <w:rPr>
          <w:sz w:val="16"/>
        </w:rPr>
        <w:t xml:space="preserve">. </w:t>
      </w:r>
      <w:r w:rsidRPr="00292257">
        <w:rPr>
          <w:rStyle w:val="StyleUnderline"/>
        </w:rPr>
        <w:t>These</w:t>
      </w:r>
      <w:r w:rsidRPr="00292257">
        <w:rPr>
          <w:sz w:val="16"/>
        </w:rPr>
        <w:t xml:space="preserve"> all have different dynamics and social relations, and </w:t>
      </w:r>
      <w:r w:rsidRPr="00292257">
        <w:rPr>
          <w:rStyle w:val="Emphasis"/>
        </w:rPr>
        <w:t xml:space="preserve">facilitate different forms </w:t>
      </w:r>
      <w:r w:rsidRPr="00292257">
        <w:rPr>
          <w:rStyle w:val="Emphasis"/>
        </w:rPr>
        <w:lastRenderedPageBreak/>
        <w:t>of violence, but need to be studied together in a single frame</w:t>
      </w:r>
      <w:r w:rsidRPr="00292257">
        <w:rPr>
          <w:sz w:val="16"/>
        </w:rPr>
        <w:t xml:space="preserve">. Martin Shaw argues that while ‘It seems difficult to conceptualise Western and non-Western warfare together in a single frame . . .there is an overriding case for doing so.’124 Although scholars of armed violence may object that the concept of warfare is no longer adequate for understanding, for example, the blurred boundary between conflict and crime, an approach based on a framework of militarism, defined as ‘the penetration of social relations in general by military relations’,125 allows for analysis of different modes of violence in differ- ent locales at different times, all the while united by a single analytical frame. </w:t>
      </w:r>
      <w:r w:rsidRPr="00292257">
        <w:rPr>
          <w:rStyle w:val="StyleUnderline"/>
        </w:rPr>
        <w:t>The current absence of a single frame is another feature of Eurocentrism</w:t>
      </w:r>
      <w:r w:rsidRPr="00292257">
        <w:rPr>
          <w:sz w:val="16"/>
        </w:rPr>
        <w:t xml:space="preserve">.126 As Kalyvas argues in relation to understanding violence, the challenge is to understand both the uniqueness and specificity of forms and instances of violence, and also the deep and regular structural features of it.127 </w:t>
      </w:r>
      <w:r w:rsidRPr="00292257">
        <w:rPr>
          <w:rStyle w:val="StyleUnderline"/>
        </w:rPr>
        <w:t>Sophisticated analytical</w:t>
      </w:r>
      <w:r w:rsidRPr="00292257">
        <w:rPr>
          <w:sz w:val="16"/>
        </w:rPr>
        <w:t xml:space="preserve"> frameworks that have emerged in the last five years or so seek </w:t>
      </w:r>
      <w:r w:rsidRPr="00292257">
        <w:rPr>
          <w:rStyle w:val="StyleUnderline"/>
        </w:rPr>
        <w:t>to address the ‘problem of classifying different forms of violence’</w:t>
      </w:r>
      <w:r w:rsidRPr="00292257">
        <w:rPr>
          <w:sz w:val="16"/>
        </w:rPr>
        <w:t xml:space="preserve"> and ‘erase or blur the analytic distinctions between different forms of violence in order to bring violence – in all its social and political forms – back into the new thinking on security’, as Krause argues.128 But while this sort of approach discusses the ‘micro’ and ‘macro’ levels, it </w:t>
      </w:r>
      <w:r w:rsidRPr="00292257">
        <w:rPr>
          <w:rStyle w:val="StyleUnderline"/>
        </w:rPr>
        <w:t>sidelines the international and historical context. While the sociology of armed violen</w:t>
      </w:r>
      <w:r w:rsidRPr="00292257">
        <w:rPr>
          <w:sz w:val="16"/>
        </w:rPr>
        <w:t xml:space="preserve">ce – including factors such as social and economic exclusion, urbanization, and marginalization129 – </w:t>
      </w:r>
      <w:r w:rsidRPr="00292257">
        <w:rPr>
          <w:rStyle w:val="StyleUnderline"/>
        </w:rPr>
        <w:t>is becoming central to small arms control, the international relations of armed violence remain conspicuous by their absence</w:t>
      </w:r>
      <w:r w:rsidRPr="00292257">
        <w:rPr>
          <w:sz w:val="16"/>
        </w:rPr>
        <w:t xml:space="preserve">. </w:t>
      </w:r>
      <w:r w:rsidRPr="00292257">
        <w:rPr>
          <w:rStyle w:val="StyleUnderline"/>
        </w:rPr>
        <w:t xml:space="preserve">There are no </w:t>
      </w:r>
      <w:r w:rsidRPr="00292257">
        <w:rPr>
          <w:sz w:val="16"/>
        </w:rPr>
        <w:t>international</w:t>
      </w:r>
      <w:r w:rsidRPr="00292257">
        <w:rPr>
          <w:rStyle w:val="StyleUnderline"/>
        </w:rPr>
        <w:t xml:space="preserve"> structural</w:t>
      </w:r>
      <w:r w:rsidRPr="00292257">
        <w:rPr>
          <w:sz w:val="16"/>
        </w:rPr>
        <w:t xml:space="preserve"> or histori- cal </w:t>
      </w:r>
      <w:r w:rsidRPr="00292257">
        <w:rPr>
          <w:rStyle w:val="StyleUnderline"/>
        </w:rPr>
        <w:t>forces evident in the debate around small arms proliferation or its control, which are in turn not analyzed in conjunction with wider patterns of</w:t>
      </w:r>
      <w:r w:rsidRPr="00292257">
        <w:rPr>
          <w:sz w:val="16"/>
        </w:rPr>
        <w:t xml:space="preserve"> military production and trade, or </w:t>
      </w:r>
      <w:r w:rsidRPr="00292257">
        <w:rPr>
          <w:rStyle w:val="StyleUnderline"/>
        </w:rPr>
        <w:t>the deployment of violence</w:t>
      </w:r>
      <w:r w:rsidRPr="00292257">
        <w:rPr>
          <w:sz w:val="16"/>
        </w:rPr>
        <w:t xml:space="preserve">. Overall, for all its sensitivity, </w:t>
      </w:r>
      <w:r w:rsidRPr="00292257">
        <w:rPr>
          <w:rStyle w:val="StyleUnderline"/>
        </w:rPr>
        <w:t>the problem of small arms and armed violence is ultimately deemed to be internal to Southern states and regions</w:t>
      </w:r>
      <w:r w:rsidRPr="00292257">
        <w:rPr>
          <w:sz w:val="16"/>
        </w:rPr>
        <w:t xml:space="preserve">. While the small arms scholar-practitioner community is paying attention to the world’s majority population, remedying a key deficit of traditional security studies, </w:t>
      </w:r>
      <w:r w:rsidRPr="00292257">
        <w:rPr>
          <w:rStyle w:val="StyleUnderline"/>
        </w:rPr>
        <w:t>the South appears as a site of good intentions, as ‘bearers of rights and objects of emancipation, that is, for their normative value in Western political theoretic terms’</w:t>
      </w:r>
      <w:r w:rsidRPr="00292257">
        <w:rPr>
          <w:sz w:val="16"/>
        </w:rPr>
        <w:t xml:space="preserve">.130 </w:t>
      </w:r>
      <w:r w:rsidRPr="00292257">
        <w:rPr>
          <w:rStyle w:val="StyleUnderline"/>
        </w:rPr>
        <w:t>In</w:t>
      </w:r>
      <w:r w:rsidRPr="00292257">
        <w:rPr>
          <w:sz w:val="16"/>
        </w:rPr>
        <w:t xml:space="preserve"> parts of </w:t>
      </w:r>
      <w:r w:rsidRPr="00292257">
        <w:rPr>
          <w:rStyle w:val="StyleUnderline"/>
        </w:rPr>
        <w:t xml:space="preserve">the South, </w:t>
      </w:r>
      <w:r w:rsidRPr="00292257">
        <w:rPr>
          <w:rStyle w:val="Emphasis"/>
        </w:rPr>
        <w:t>the twin effects of small arms control are top-down attempts to create Weberian nation-states with a monopoly on legitimate violence, combined with bottom-up disarmament, and promotion of liberal forms of social relations.</w:t>
      </w:r>
      <w:r w:rsidRPr="00292257">
        <w:rPr>
          <w:sz w:val="16"/>
        </w:rPr>
        <w:t xml:space="preserve">131 The element of social transformation is now an explicit part of small arms control and the wider DDR and SSR practices in which it is embedded. As Pouligny argues, the fundamental goal of DDR ‘is more than just about putting weapons beyond use, but is rather about changing attitudes’.132 There is a fundamental complementarity between these two sets of practices. </w:t>
      </w:r>
      <w:r w:rsidRPr="00292257">
        <w:rPr>
          <w:rStyle w:val="StyleUnderline"/>
        </w:rPr>
        <w:t xml:space="preserve">A legitimate state monopoly on violence and the rule of law are seen as a prerequisite for security and development by both conservative and liberal proponents, with the latter interested in social transformation as well. </w:t>
      </w:r>
      <w:r w:rsidRPr="00292257">
        <w:rPr>
          <w:sz w:val="16"/>
        </w:rPr>
        <w:t xml:space="preserve">It is not only the South that is reproduced through small arms control. </w:t>
      </w:r>
      <w:r w:rsidRPr="00292257">
        <w:rPr>
          <w:rStyle w:val="StyleUnderline"/>
        </w:rPr>
        <w:t xml:space="preserve">In the North, </w:t>
      </w:r>
      <w:r w:rsidRPr="00292257">
        <w:rPr>
          <w:rStyle w:val="Emphasis"/>
        </w:rPr>
        <w:t>a benevolent identity is produced and ongoing military superiority perpetuated through small arms measures</w:t>
      </w:r>
      <w:r w:rsidRPr="00292257">
        <w:rPr>
          <w:sz w:val="16"/>
        </w:rPr>
        <w:t xml:space="preserve">. Through their support for an international Arms Trade Treaty, for example, </w:t>
      </w:r>
      <w:r w:rsidRPr="00292257">
        <w:rPr>
          <w:rStyle w:val="StyleUnderline"/>
        </w:rPr>
        <w:t>the UK and French governments – consistently two of the world’s top arms-exporting states – represent themselves as intervening on behalf of those millions of people who live in daily fear of armed violence.</w:t>
      </w:r>
      <w:r w:rsidRPr="00292257">
        <w:rPr>
          <w:sz w:val="16"/>
        </w:rPr>
        <w:t xml:space="preserve"> Then-British and French Foreign Ministers, David Miliband and Bernard Kouchner, called the uncontrolled often illegal spread of weapons ‘One of the great tragedies of our time’, arguing that ‘there is an urgent moral imperative to grip a global problem that is spinning out of control’. Their respective governments have played a leading role in efforts at an Arms Trade Treaty which could be a ‘crucial step’.133 </w:t>
      </w:r>
      <w:r w:rsidRPr="00292257">
        <w:rPr>
          <w:rStyle w:val="Emphasis"/>
        </w:rPr>
        <w:t>This representation</w:t>
      </w:r>
      <w:r w:rsidRPr="00292257">
        <w:rPr>
          <w:rStyle w:val="StyleUnderline"/>
        </w:rPr>
        <w:t xml:space="preserve"> of</w:t>
      </w:r>
      <w:r w:rsidRPr="00292257">
        <w:rPr>
          <w:sz w:val="16"/>
        </w:rPr>
        <w:t xml:space="preserve"> regulatory gaps, a lack of consistency, and the </w:t>
      </w:r>
      <w:r w:rsidRPr="00292257">
        <w:rPr>
          <w:rStyle w:val="StyleUnderline"/>
        </w:rPr>
        <w:t>illegal trade as the problem</w:t>
      </w:r>
      <w:r w:rsidRPr="00292257">
        <w:rPr>
          <w:sz w:val="16"/>
        </w:rPr>
        <w:t xml:space="preserve">, which the European world will manfully step up to try to address, </w:t>
      </w:r>
      <w:r w:rsidRPr="00292257">
        <w:rPr>
          <w:rStyle w:val="Emphasis"/>
        </w:rPr>
        <w:t>obscures the role of the legal, state-sanctioned trade, and the uneven development of capitalist globalization that creates the conditions for the violence conducted with a variety of categories of arms</w:t>
      </w:r>
      <w:r w:rsidRPr="00292257">
        <w:rPr>
          <w:sz w:val="16"/>
        </w:rPr>
        <w:t xml:space="preserve">. </w:t>
      </w:r>
      <w:r w:rsidRPr="00292257">
        <w:rPr>
          <w:rStyle w:val="StyleUnderline"/>
        </w:rPr>
        <w:t>Focussing</w:t>
      </w:r>
      <w:r w:rsidRPr="00292257">
        <w:rPr>
          <w:sz w:val="16"/>
        </w:rPr>
        <w:t xml:space="preserve"> a little </w:t>
      </w:r>
      <w:r w:rsidRPr="00292257">
        <w:rPr>
          <w:rStyle w:val="StyleUnderline"/>
        </w:rPr>
        <w:t>closer on the UK</w:t>
      </w:r>
      <w:r w:rsidRPr="00292257">
        <w:rPr>
          <w:sz w:val="16"/>
        </w:rPr>
        <w:t xml:space="preserve">, its arms control practice features a combi- nation of concerted action on small arms in tandem with NGOs,134 a focus on con- trolling pariah weapons,135 and ongoing exports that contravene the spirit, if not the letter of UK obligations.136 While </w:t>
      </w:r>
      <w:r w:rsidRPr="00292257">
        <w:rPr>
          <w:rStyle w:val="StyleUnderline"/>
        </w:rPr>
        <w:t>NGOs</w:t>
      </w:r>
      <w:r w:rsidRPr="00292257">
        <w:rPr>
          <w:sz w:val="16"/>
        </w:rPr>
        <w:t xml:space="preserve">, including major ones such as Oxfam, </w:t>
      </w:r>
      <w:r w:rsidRPr="00292257">
        <w:rPr>
          <w:rStyle w:val="StyleUnderline"/>
        </w:rPr>
        <w:t>work in partnership with the UK government, naturalizing and popularizing particu- lar understandings of the arms trade</w:t>
      </w:r>
      <w:r w:rsidRPr="00292257">
        <w:rPr>
          <w:sz w:val="16"/>
        </w:rPr>
        <w:t xml:space="preserve">, the UK Defence Manufacturers’ Association, a key industry lobby group, has come out in favour of the Arms Trade Treaty as a means to ‘crack down on illegal traders and proliferators, and also as an instrument to create a more equitable regulatory environment for defence exports worldwide’.137 The association believes that any treaty ‘would not bring new </w:t>
      </w:r>
      <w:r w:rsidRPr="00292257">
        <w:rPr>
          <w:sz w:val="16"/>
        </w:rPr>
        <w:lastRenderedPageBreak/>
        <w:t xml:space="preserve">obligations for UK Industry’.138 Any eventual treaty would thus have no impact on UK domestic pro- curement or military posture, while inevitably restricting that of Southern states, whose import practices would be subjected to scrutiny and regulation. This </w:t>
      </w:r>
      <w:r w:rsidRPr="00292257">
        <w:rPr>
          <w:rStyle w:val="StyleUnderline"/>
        </w:rPr>
        <w:t>allows the UK to remain a major military producer, perpetuating asymmetry in the world military order, while simultaneously disciplining the Southern constitution of armed force and seeming benevolent</w:t>
      </w:r>
      <w:r w:rsidRPr="00292257">
        <w:rPr>
          <w:sz w:val="16"/>
        </w:rPr>
        <w:t xml:space="preserve"> in its concern for human rights and development. Finally, </w:t>
      </w:r>
      <w:r w:rsidRPr="00292257">
        <w:rPr>
          <w:rStyle w:val="StyleUnderline"/>
        </w:rPr>
        <w:t>it is also worth noting the North–South relations that are reproduced in terms of the agents of small arms control.</w:t>
      </w:r>
      <w:r w:rsidRPr="00292257">
        <w:rPr>
          <w:sz w:val="16"/>
        </w:rPr>
        <w:t xml:space="preserve"> </w:t>
      </w:r>
      <w:r w:rsidRPr="00292257">
        <w:rPr>
          <w:rStyle w:val="StyleUnderline"/>
        </w:rPr>
        <w:t>The small arms network began life at the end of the Cold War</w:t>
      </w:r>
      <w:r w:rsidRPr="00292257">
        <w:rPr>
          <w:sz w:val="16"/>
        </w:rPr>
        <w:t xml:space="preserve"> as a group of Northern (in particular British and American), security-oriented NGOs and academics focussed on arms export controls. </w:t>
      </w:r>
      <w:r w:rsidRPr="00292257">
        <w:rPr>
          <w:rStyle w:val="StyleUnderline"/>
        </w:rPr>
        <w:t>Since then, a shared agenda has emerged between states, and between state and non-state actors</w:t>
      </w:r>
      <w:r w:rsidRPr="00292257">
        <w:rPr>
          <w:sz w:val="16"/>
        </w:rPr>
        <w:t xml:space="preserve"> such as NGOs, research centres, and academics. </w:t>
      </w:r>
      <w:r w:rsidRPr="00292257">
        <w:rPr>
          <w:rStyle w:val="StyleUnderline"/>
        </w:rPr>
        <w:t>Key states involved in the small arms debate and funding NGOs</w:t>
      </w:r>
      <w:r w:rsidRPr="00292257">
        <w:rPr>
          <w:sz w:val="16"/>
        </w:rPr>
        <w:t xml:space="preserve"> include Australia, Germany, Norway, Netherlands, Switzerland, the UK and the USA. Key NGOs include Amnesty Inter- national, the International Action Network on Small Arms (IANSA), International Alert, Oxfam, Saferworld (all headquartered in the UK), Human Rights Watch (New York), and the Centre for Humanitarian Dialogue (Geneva). Research centres such as the Geneva-based Small Arms Survey, the Stockholm International Peace Research Institute (SIPRI), the Federation of American Scientists, headquar- tered in Washington, DC, the Bonn International Center for Conversion (BICC) and the Oslo-based International Peace Research Institute (PRIO), have been central to the production of knowledge about small arms. The early movement on small arms was kick-started by a $224,000 multi-year grant from 1994 from the Ford Foundation to ‘help build infrastructure for international promotion of the SALW issue’.</w:t>
      </w:r>
      <w:r w:rsidRPr="00292257">
        <w:rPr>
          <w:rStyle w:val="StyleUnderline"/>
        </w:rPr>
        <w:t>139 It is important to note that the conflict – security – development nexus is heavily emphasized by some Southern governments and NGOs</w:t>
      </w:r>
      <w:r w:rsidRPr="00292257">
        <w:rPr>
          <w:sz w:val="16"/>
        </w:rPr>
        <w:t xml:space="preserve">, in particular those in sub-Saharan Africa, and that some Southern NGOs such as Viva Rio (Brazil) and Gun Free South Africa, have been key Southern influences on the small arms debate. </w:t>
      </w:r>
      <w:r w:rsidRPr="00292257">
        <w:rPr>
          <w:rStyle w:val="StyleUnderline"/>
        </w:rPr>
        <w:t>There is</w:t>
      </w:r>
      <w:r w:rsidRPr="00292257">
        <w:rPr>
          <w:sz w:val="16"/>
        </w:rPr>
        <w:t xml:space="preserve"> </w:t>
      </w:r>
      <w:r w:rsidRPr="00292257">
        <w:rPr>
          <w:rStyle w:val="StyleUnderline"/>
        </w:rPr>
        <w:t>thus a significant degree of co-production of small arms control by actors across the commonly-held divides of International Relations between public and private</w:t>
      </w:r>
      <w:r w:rsidRPr="00292257">
        <w:rPr>
          <w:sz w:val="16"/>
        </w:rPr>
        <w:t xml:space="preserve">, and (less so) North and South. Aid agencies, non-governmental organiz- ations and research centres from North and South are involved in the promulgation of small arms control efforts. But within this internationalizing formation, research, funding and policy initiatives tend to come from the North, and the vast majority of interventions take place in the South. Overall, </w:t>
      </w:r>
      <w:r w:rsidRPr="00292257">
        <w:rPr>
          <w:rStyle w:val="StyleUnderline"/>
        </w:rPr>
        <w:t>the institutional basis of small arms control is marked by a distinctly North–South relation which</w:t>
      </w:r>
      <w:r w:rsidRPr="00292257">
        <w:rPr>
          <w:sz w:val="16"/>
        </w:rPr>
        <w:t xml:space="preserve">, although actors do their best to mitigate its worst effects, </w:t>
      </w:r>
      <w:r w:rsidRPr="00292257">
        <w:rPr>
          <w:rStyle w:val="Emphasis"/>
        </w:rPr>
        <w:t>remains notably hierarchical</w:t>
      </w:r>
      <w:r w:rsidRPr="00292257">
        <w:rPr>
          <w:sz w:val="16"/>
        </w:rPr>
        <w:t>.140</w:t>
      </w:r>
    </w:p>
    <w:p w:rsidR="005027D7" w:rsidRPr="00292257" w:rsidRDefault="005027D7" w:rsidP="005027D7">
      <w:pPr>
        <w:pStyle w:val="Heading3"/>
      </w:pPr>
      <w:r w:rsidRPr="00292257">
        <w:lastRenderedPageBreak/>
        <w:t>Disarm</w:t>
      </w:r>
    </w:p>
    <w:p w:rsidR="005027D7" w:rsidRPr="00292257" w:rsidRDefault="005027D7" w:rsidP="005027D7">
      <w:pPr>
        <w:pStyle w:val="Heading4"/>
      </w:pPr>
      <w:r w:rsidRPr="00292257">
        <w:t>Disarmament discourses are predicated on the view of the West as a virtuous nation, needing to restrict nuclear weapons as a move to civilize the demonized East</w:t>
      </w:r>
    </w:p>
    <w:p w:rsidR="005027D7" w:rsidRPr="00292257" w:rsidRDefault="005027D7" w:rsidP="005027D7">
      <w:r w:rsidRPr="00292257">
        <w:rPr>
          <w:rStyle w:val="Style13ptBold"/>
        </w:rPr>
        <w:t xml:space="preserve">Mathur 18 </w:t>
      </w:r>
      <w:r w:rsidRPr="00292257">
        <w:t xml:space="preserve">Ritu Mathur, “Techno-Racial Dynamics of Denial and Difference in Weapons Control”, </w:t>
      </w:r>
      <w:r w:rsidRPr="00292257">
        <w:rPr>
          <w:i/>
        </w:rPr>
        <w:t>Asian Journal of Political Science</w:t>
      </w:r>
      <w:r w:rsidRPr="00292257">
        <w:t xml:space="preserve">, 2018, </w:t>
      </w:r>
      <w:hyperlink r:id="rId19" w:history="1">
        <w:r w:rsidRPr="00292257">
          <w:rPr>
            <w:rStyle w:val="Hyperlink"/>
          </w:rPr>
          <w:t>https://doi.org/10.1080/02185377.2018.1515640</w:t>
        </w:r>
      </w:hyperlink>
      <w:r w:rsidRPr="00292257">
        <w:t>, /MegLak</w:t>
      </w:r>
    </w:p>
    <w:p w:rsidR="005027D7" w:rsidRPr="00292257" w:rsidRDefault="005027D7" w:rsidP="005027D7">
      <w:pPr>
        <w:rPr>
          <w:sz w:val="16"/>
        </w:rPr>
      </w:pPr>
      <w:r w:rsidRPr="00292257">
        <w:rPr>
          <w:sz w:val="14"/>
        </w:rPr>
        <w:t xml:space="preserve">In reimagining the West and articulating the problem of difference or heterology in international relations, </w:t>
      </w:r>
      <w:r w:rsidRPr="00292257">
        <w:rPr>
          <w:rStyle w:val="StyleUnderline"/>
        </w:rPr>
        <w:t>scholars contend that ‘difference is marked and contained as international difference’ with the emergence of territorially bounded modern sovereign states that ‘defines the problem of difference principally as between and among states</w:t>
      </w:r>
      <w:r w:rsidRPr="00292257">
        <w:rPr>
          <w:sz w:val="14"/>
        </w:rPr>
        <w:t xml:space="preserve">’ (Naeem &amp; David, 2004). It is claimed that the </w:t>
      </w:r>
      <w:r w:rsidRPr="00292257">
        <w:rPr>
          <w:rStyle w:val="StyleUnderline"/>
        </w:rPr>
        <w:t>insistence on the maintenance of order in the international system generates a ‘pervasive suspicion of difference’ as a source of disorder, degeneration and armed conflict</w:t>
      </w:r>
      <w:r w:rsidRPr="00292257">
        <w:rPr>
          <w:sz w:val="14"/>
        </w:rPr>
        <w:t xml:space="preserve">. The ‘problem of difference emerges and intensifies under modern conditions of relative equality, often leading to the reassertion of (illicit or informal) forms of social hierarchy’ and the marking of others as inferior, dependent and threatening (Naeem &amp; David, 2004, p. 23). </w:t>
      </w:r>
      <w:r w:rsidRPr="00292257">
        <w:rPr>
          <w:rStyle w:val="StyleUnderline"/>
        </w:rPr>
        <w:t>The doubt and anxiety generated with the discovery of difference is to be contained by</w:t>
      </w:r>
      <w:r w:rsidRPr="00292257">
        <w:rPr>
          <w:sz w:val="16"/>
        </w:rPr>
        <w:t xml:space="preserve"> locating it ‘at some distance from the self’ and </w:t>
      </w:r>
      <w:r w:rsidRPr="00292257">
        <w:rPr>
          <w:rStyle w:val="StyleUnderline"/>
        </w:rPr>
        <w:t>insisting on structural uniformity</w:t>
      </w:r>
      <w:r w:rsidRPr="00292257">
        <w:rPr>
          <w:sz w:val="16"/>
        </w:rPr>
        <w:t xml:space="preserve">. </w:t>
      </w:r>
      <w:r w:rsidRPr="00292257">
        <w:rPr>
          <w:rStyle w:val="StyleUnderline"/>
        </w:rPr>
        <w:t>These managerial exercises compound the problem</w:t>
      </w:r>
      <w:r w:rsidRPr="00292257">
        <w:rPr>
          <w:sz w:val="16"/>
        </w:rPr>
        <w:t xml:space="preserve"> of difference </w:t>
      </w:r>
      <w:r w:rsidRPr="00292257">
        <w:rPr>
          <w:rStyle w:val="StyleUnderline"/>
        </w:rPr>
        <w:t>by</w:t>
      </w:r>
      <w:r w:rsidRPr="00292257">
        <w:rPr>
          <w:sz w:val="16"/>
        </w:rPr>
        <w:t xml:space="preserve"> their </w:t>
      </w:r>
      <w:r w:rsidRPr="00292257">
        <w:rPr>
          <w:rStyle w:val="StyleUnderline"/>
        </w:rPr>
        <w:t>failure to account for the injuries suffered as a result of a violent</w:t>
      </w:r>
      <w:r w:rsidRPr="00292257">
        <w:rPr>
          <w:sz w:val="16"/>
        </w:rPr>
        <w:t xml:space="preserve"> and exploitative </w:t>
      </w:r>
      <w:r w:rsidRPr="00292257">
        <w:rPr>
          <w:rStyle w:val="StyleUnderline"/>
        </w:rPr>
        <w:t>colonial practices of imperialism</w:t>
      </w:r>
      <w:r w:rsidRPr="00292257">
        <w:rPr>
          <w:sz w:val="16"/>
        </w:rPr>
        <w:t xml:space="preserve">. Barkawi and Stanski (2012) further suggest that war among states is ‘a difference of opinion pursued through violent means’ (Barkawi &amp; Stanski, 2012, pp. 2–3) It is the act of splitting of inside/outside that ‘deflect (s) our responses to difference in the direction of ‘putrefying hatred’ and constitutes the ‘political and ethical limits and possibilities of modern life’ (Naeem &amp; David, 2004, pp. 44–45). </w:t>
      </w:r>
      <w:r w:rsidRPr="00292257">
        <w:rPr>
          <w:rStyle w:val="StyleUnderline"/>
        </w:rPr>
        <w:t>These conditions of sovereign political community foster ‘ethically limited and tragic interactions of these separate states’</w:t>
      </w:r>
      <w:r w:rsidRPr="00292257">
        <w:rPr>
          <w:sz w:val="16"/>
        </w:rPr>
        <w:t xml:space="preserve"> (Naeem &amp; David, 2004, pp. 44–45). The tragic </w:t>
      </w:r>
      <w:r w:rsidRPr="00292257">
        <w:rPr>
          <w:rStyle w:val="StyleUnderline"/>
        </w:rPr>
        <w:t>interactions during war entail ‘recognition as well as Othering’ through war propaganda</w:t>
      </w:r>
      <w:r w:rsidRPr="00292257">
        <w:rPr>
          <w:sz w:val="16"/>
        </w:rPr>
        <w:t xml:space="preserve"> (Porter, 2013). But such propaganda exercises are often undertaken as preliminary measures prior to the catalytic event that leads to the outbreak of actual war. This </w:t>
      </w:r>
      <w:r w:rsidRPr="00292257">
        <w:rPr>
          <w:rStyle w:val="StyleUnderline"/>
        </w:rPr>
        <w:t>othering takes place through deployment of techno-racial stereotyping</w:t>
      </w:r>
      <w:r w:rsidRPr="00292257">
        <w:rPr>
          <w:sz w:val="16"/>
        </w:rPr>
        <w:t>. It is differences in technology and race that are emphasized to produce stereotypes. John W. Dower (1986) argues that ‘</w:t>
      </w:r>
      <w:r w:rsidRPr="00292257">
        <w:rPr>
          <w:rStyle w:val="StyleUnderline"/>
        </w:rPr>
        <w:t xml:space="preserve">portraits of the enemy’ are sketched through ‘gross simplification and reductionism’ generating two forms of stereotyping </w:t>
      </w:r>
      <w:r w:rsidRPr="00292257">
        <w:rPr>
          <w:sz w:val="16"/>
        </w:rPr>
        <w:t xml:space="preserve">(Dower, 1986, p. 30). The ‘first kind of stereotyping could be </w:t>
      </w:r>
      <w:r w:rsidRPr="00292257">
        <w:rPr>
          <w:rStyle w:val="StyleUnderline"/>
        </w:rPr>
        <w:t>summed up in the statement: You are the opposite of what you say you are and the opposite of us, not peaceful but warlike</w:t>
      </w:r>
      <w:r w:rsidRPr="00292257">
        <w:rPr>
          <w:sz w:val="16"/>
        </w:rPr>
        <w:t xml:space="preserve">, not good but bad … In the second form of stereotyping, the formula ran like this: </w:t>
      </w:r>
      <w:r w:rsidRPr="00292257">
        <w:rPr>
          <w:rStyle w:val="StyleUnderline"/>
        </w:rPr>
        <w:t>you are what you say you are, but that itself is reprehensible’</w:t>
      </w:r>
      <w:r w:rsidRPr="00292257">
        <w:rPr>
          <w:sz w:val="16"/>
        </w:rPr>
        <w:t xml:space="preserve"> (Dower, 1986, p. 30). </w:t>
      </w:r>
      <w:r w:rsidRPr="00292257">
        <w:rPr>
          <w:rStyle w:val="StyleUnderline"/>
        </w:rPr>
        <w:t>Postcolonial scholarship has probed at length into these cultural encounters to expose the psychology that accompanies techno-racial stereotypes of Orientalism and Occidentalism</w:t>
      </w:r>
      <w:r w:rsidRPr="00292257">
        <w:rPr>
          <w:sz w:val="16"/>
        </w:rPr>
        <w:t xml:space="preserve">. A ‘dehumanizing picture of the West’ is painted through the prejudiced practices of Occidentalism (Buruma &amp; Margalit, 2004). Practices of Occidentalism regard the West with ‘loathing’ as a ‘“machine civilization”, coldly rationalist, mechanical, without a soul’ (Buruma &amp; Margalit, 2004, pp. 31, 21, 19). </w:t>
      </w:r>
      <w:r w:rsidRPr="00292257">
        <w:rPr>
          <w:rStyle w:val="StyleUnderline"/>
        </w:rPr>
        <w:t>Occidentalism is often ‘seen as the expression of bitter resentment toward an offensive display of superiority by the West’</w:t>
      </w:r>
      <w:r w:rsidRPr="00292257">
        <w:rPr>
          <w:sz w:val="16"/>
        </w:rPr>
        <w:t xml:space="preserve"> (Buruma &amp; Margalit, 2004, p. 91). </w:t>
      </w:r>
      <w:r w:rsidRPr="00292257">
        <w:rPr>
          <w:rStyle w:val="StyleUnderline"/>
        </w:rPr>
        <w:t>Yet there is also a desire for ‘Western knowledge for practical matters, such as weaponry’</w:t>
      </w:r>
      <w:r w:rsidRPr="00292257">
        <w:rPr>
          <w:sz w:val="16"/>
        </w:rPr>
        <w:t xml:space="preserve"> (Buruma &amp; Margalit, 2004, p. 39). An </w:t>
      </w:r>
      <w:r w:rsidRPr="00292257">
        <w:rPr>
          <w:rStyle w:val="StyleUnderline"/>
        </w:rPr>
        <w:t>occidentalist exhibits awareness that it is only through practices of ‘development and modernization’ that it is possible to make any allowance for any possibility of regeneration and redemption of the Other</w:t>
      </w:r>
      <w:r w:rsidRPr="00292257">
        <w:rPr>
          <w:sz w:val="16"/>
        </w:rPr>
        <w:t xml:space="preserve"> (Naeem &amp; David, 2004, p. 49). But ‘the problem of radical modernizers is how to modernize without becoming a mere clone of the West’ (Buruma &amp; Margalit, 2004, p. 39). This resistance to becoming a clone of the West is because ‘the mind of the West in the eyes of the Occidentalists is a truncated mind, good for finding the best way to achieve a given goal, but utterly useless in finding the right way’ (Buruma&amp; Margalit, 2004, p. 76). Buruma and Margalit assert that, ‘the mind of the West is often portrayed by Occidentalists’ as a: mind without a soul, efficient, like a calculator, but </w:t>
      </w:r>
      <w:r w:rsidRPr="00292257">
        <w:rPr>
          <w:sz w:val="16"/>
        </w:rPr>
        <w:lastRenderedPageBreak/>
        <w:t xml:space="preserve">hopeless at doing what is humanly important. The mind of the West is capable of great economic success, to be sure, and of developing and promoting advanced technology, but cannot grasp the higher things in life, for it lacks spirituality and understanding of human suffering (Buruma&amp; Margalit, 2004, p. 75).There is also an acute awareness that ‘the overt language of race … superseded by the new development of hierarchy of modernity’ does not conceal a ‘link’ that ‘could be inferred by the more privileged observer standing in the transatlantic world’ (Jones, 2010). In an effort to generate critical self- reflexivity on practices of Orientalism and Occidentalism </w:t>
      </w:r>
      <w:r w:rsidRPr="00292257">
        <w:rPr>
          <w:rStyle w:val="StyleUnderline"/>
        </w:rPr>
        <w:t>there has been a proliferation of discourses on ‘strategic Orientalism’, ‘techno Orientalism’ and ‘military Orientalism’</w:t>
      </w:r>
      <w:r w:rsidRPr="00292257">
        <w:rPr>
          <w:sz w:val="16"/>
        </w:rPr>
        <w:t xml:space="preserve"> as discussed below. Keith Krause and Andrew Latham (1998) argue that </w:t>
      </w:r>
      <w:r w:rsidRPr="00292257">
        <w:rPr>
          <w:rStyle w:val="StyleUnderline"/>
        </w:rPr>
        <w:t>practices of ‘strategic orientalism’ constitute the ‘foundation of Western security culture’</w:t>
      </w:r>
      <w:r w:rsidRPr="00292257">
        <w:rPr>
          <w:sz w:val="16"/>
        </w:rPr>
        <w:t xml:space="preserve"> (Krause &amp; Latham, 1998, p. 41). They assert that strategic orientalism </w:t>
      </w:r>
      <w:r w:rsidRPr="00292257">
        <w:rPr>
          <w:rStyle w:val="StyleUnderline"/>
        </w:rPr>
        <w:t>is premised on the ‘pervasive and axiomatic belief that the West</w:t>
      </w:r>
      <w:r w:rsidRPr="00292257">
        <w:rPr>
          <w:sz w:val="16"/>
        </w:rPr>
        <w:t xml:space="preserve"> (or occasionally the United States) as a civilization </w:t>
      </w:r>
      <w:r w:rsidRPr="00292257">
        <w:rPr>
          <w:rStyle w:val="StyleUnderline"/>
        </w:rPr>
        <w:t>has a special role to play in global security affairs’’</w:t>
      </w:r>
      <w:r w:rsidRPr="00292257">
        <w:rPr>
          <w:sz w:val="16"/>
        </w:rPr>
        <w:t xml:space="preserve"> (Krause &amp; Latham, 1998, pp. 41, 37). This is based on ‘</w:t>
      </w:r>
      <w:r w:rsidRPr="00292257">
        <w:rPr>
          <w:rStyle w:val="StyleUnderline"/>
        </w:rPr>
        <w:t>a reading of the politico-strategic objectives and purposes of Third World states that is informed more by Western fears and prejudices than by the realities of politics in these states’</w:t>
      </w:r>
      <w:r w:rsidRPr="00292257">
        <w:rPr>
          <w:sz w:val="16"/>
        </w:rPr>
        <w:t xml:space="preserve"> (Krause &amp; Latham, 1998, p. 38). The deep-rooted fear of the attacking Asian hordes and their ability to industrialize and develop sophisticated weapons reinforces twenty-first century concerns about the ‘Rising East’. </w:t>
      </w:r>
      <w:r w:rsidRPr="00292257">
        <w:rPr>
          <w:rStyle w:val="StyleUnderline"/>
        </w:rPr>
        <w:t>This ‘phenomenon of imagining Asia and Asians in hypo-or hypertechnological terms in cultural productions and political discourse’ is understood as ‘techno-Orientalism’</w:t>
      </w:r>
      <w:r w:rsidRPr="00292257">
        <w:rPr>
          <w:sz w:val="16"/>
        </w:rPr>
        <w:t xml:space="preserve"> (Roh et al., 2015, p. 2). Practices of techno-Orientalism </w:t>
      </w:r>
      <w:r w:rsidRPr="00292257">
        <w:rPr>
          <w:rStyle w:val="StyleUnderline"/>
        </w:rPr>
        <w:t>driven by ‘imperial aspirations’ and ‘appetites of consumerist societies’ are ‘infused with the languages and codes of the technological and futuristic’ and in ‘digital spaces abound with reinscribed racial tropes and stereotypes</w:t>
      </w:r>
      <w:r w:rsidRPr="00292257">
        <w:rPr>
          <w:sz w:val="16"/>
        </w:rPr>
        <w:t>; these are sites in which racialization is more likely reinforced than challenged’ (Roh et al., 2015, p. 14). Scholars developing the concept of techno-Orientalism observe its ‘growing prevalence in the Western cultural consciousness’ and suggest that the ‘</w:t>
      </w:r>
      <w:r w:rsidRPr="00292257">
        <w:rPr>
          <w:rStyle w:val="StyleUnderline"/>
        </w:rPr>
        <w:t>US techno Orientalist imagination has its roots in the view of Asian body … as a form of expendable technology</w:t>
      </w:r>
      <w:r w:rsidRPr="00292257">
        <w:rPr>
          <w:sz w:val="16"/>
        </w:rPr>
        <w:t xml:space="preserve">’ (Roh et al., 2015, pp. 7–11). Nevertheless they insist that the scope of techno-Orientalism is ‘expansive and bi-directional’ and ponder on the ‘danger that Asian and Asian American creators … might internalize techno Orientalist patterns and uncritically replicate the same dehumanizing model’ (Roh et al., 2015, pp. 3, 7). But unlike strategic Orientalism and techno-Orientalism, Military Orientalism is described as an exercise undertaken to investigate the mental baggage of Western consciousness accumulated from an interest in ‘non-Western warfare’ (Porter, 2013, pp. 16–17). </w:t>
      </w:r>
      <w:r w:rsidRPr="00292257">
        <w:rPr>
          <w:rStyle w:val="StyleUnderline"/>
        </w:rPr>
        <w:t>The endeavor of military Orientalism is to unpack the ‘range of assumptions and myths through which Westerners gaze on the military East and engage in a critical dialogue with our own preconceptions’</w:t>
      </w:r>
      <w:r w:rsidRPr="00292257">
        <w:rPr>
          <w:sz w:val="16"/>
        </w:rPr>
        <w:t xml:space="preserve"> (Porter, 2013, pp. 16–17). It encourages Westerners to voice their own ‘fears about themselves, their survival, identity and values, through different visions of non-Western warfare’ (Porter, 2013, p. 21). </w:t>
      </w:r>
      <w:r w:rsidRPr="00292257">
        <w:rPr>
          <w:rStyle w:val="StyleUnderline"/>
        </w:rPr>
        <w:t>Military Orientalism issues a warning against reducing military history to a morality play</w:t>
      </w:r>
      <w:r w:rsidRPr="00292257">
        <w:rPr>
          <w:sz w:val="16"/>
        </w:rPr>
        <w:t xml:space="preserve"> (Porter, 2013, p. 75). But </w:t>
      </w:r>
      <w:r w:rsidRPr="00292257">
        <w:rPr>
          <w:rStyle w:val="StyleUnderline"/>
        </w:rPr>
        <w:t xml:space="preserve">it is open to the idea that our common experiences of suffering can help cultivate a ‘source of critical self-reflection to perhaps nurture some understanding of the ‘intimacy of the relationship’ </w:t>
      </w:r>
      <w:r w:rsidRPr="00292257">
        <w:rPr>
          <w:sz w:val="16"/>
        </w:rPr>
        <w:t xml:space="preserve">(Naeem &amp; David, 2004, p. 187; Nandy, 1983). </w:t>
      </w:r>
      <w:r w:rsidRPr="00292257">
        <w:rPr>
          <w:rStyle w:val="StyleUnderline"/>
        </w:rPr>
        <w:t xml:space="preserve">In investigating the intimacy of a relationship it might be possible to glean and ‘retrieve recessive images and practices’ that have been historically constituted through a network of social relations and processes </w:t>
      </w:r>
      <w:r w:rsidRPr="00292257">
        <w:rPr>
          <w:sz w:val="16"/>
        </w:rPr>
        <w:t xml:space="preserve">(Naeem &amp; David, 2004, p. 191). These might present creative opportunities to move beyond ‘policing boundaries of self as an exclusive and homogenous space’ and instead ‘appreciate and claim the self that exists as part of the other beyond those boundaries’ (Naeem &amp; David, 2004, p. 204). Porter insists on ‘the interactive and power-political nature of war, which has a culture of its own that can change all parties to a conflict’ (2013, p. 55). </w:t>
      </w:r>
      <w:r w:rsidRPr="00292257">
        <w:rPr>
          <w:rStyle w:val="StyleUnderline"/>
        </w:rPr>
        <w:t>Porter claims that, ‘paradoxically, war can drive cultures closer together</w:t>
      </w:r>
      <w:r w:rsidRPr="00292257">
        <w:rPr>
          <w:sz w:val="16"/>
        </w:rPr>
        <w:t xml:space="preserve">’ (2013, p. 33). This is </w:t>
      </w:r>
      <w:r w:rsidRPr="00292257">
        <w:rPr>
          <w:rStyle w:val="StyleUnderline"/>
        </w:rPr>
        <w:t>because, ‘war … is not simply a clash of Others, made possible by an ignorant horror of difference. The warrior looks out at the enemy and sees men who are, in crucial respects, recognizably like himself’</w:t>
      </w:r>
      <w:r w:rsidRPr="00292257">
        <w:rPr>
          <w:sz w:val="16"/>
        </w:rPr>
        <w:t xml:space="preserve"> (Porter, 2013, p. 34). He also argues that an engagement with, ‘the foreign “Other” can be treated as a superior model to inform self-examination’ (2013, p. 108). But </w:t>
      </w:r>
      <w:r w:rsidRPr="00292257">
        <w:rPr>
          <w:rStyle w:val="StyleUnderline"/>
        </w:rPr>
        <w:t>this hopeful promise</w:t>
      </w:r>
      <w:r w:rsidRPr="00292257">
        <w:rPr>
          <w:sz w:val="16"/>
        </w:rPr>
        <w:t xml:space="preserve"> of Military Orientalism </w:t>
      </w:r>
      <w:r w:rsidRPr="00292257">
        <w:rPr>
          <w:rStyle w:val="StyleUnderline"/>
        </w:rPr>
        <w:t>has not stemmed the tide of populist discourses deploying the dynamic of difference between ‘The West and the Rest’ in the aftermath of the Cold War to wage and perpetuate a global War on Terror</w:t>
      </w:r>
      <w:r w:rsidRPr="00292257">
        <w:rPr>
          <w:sz w:val="16"/>
        </w:rPr>
        <w:t xml:space="preserve">. On the contrary it is possible to argue that </w:t>
      </w:r>
      <w:r w:rsidRPr="00292257">
        <w:rPr>
          <w:rStyle w:val="StyleUnderline"/>
        </w:rPr>
        <w:t xml:space="preserve">there is deliberate and contingent deployment of a ‘decivilizing rhetoric that blends irrational, aggressive, rigid, paranoid and </w:t>
      </w:r>
      <w:r w:rsidRPr="00292257">
        <w:rPr>
          <w:rStyle w:val="StyleUnderline"/>
        </w:rPr>
        <w:lastRenderedPageBreak/>
        <w:t>exceptionalist discourses to demonize Other-ness’</w:t>
      </w:r>
      <w:r w:rsidRPr="00292257">
        <w:rPr>
          <w:sz w:val="16"/>
        </w:rPr>
        <w:t xml:space="preserve"> and give ‘unwarranted authority and autonomy’ to ‘militarist and imperialist discourses of national security’ (Taylor, 2007, p. 670). There is ‘</w:t>
      </w:r>
      <w:r w:rsidRPr="00292257">
        <w:rPr>
          <w:rStyle w:val="StyleUnderline"/>
        </w:rPr>
        <w:t>sustained use of decivilizing imagery’ that ‘represents the United States as a virtuous nation reluctantly but legitimately fulfilling its divine mandate to use civilized reason and superior force’ vis-a vis ‘nuclear capable</w:t>
      </w:r>
      <w:r w:rsidRPr="00292257">
        <w:rPr>
          <w:sz w:val="16"/>
        </w:rPr>
        <w:t xml:space="preserve"> </w:t>
      </w:r>
      <w:r w:rsidRPr="00292257">
        <w:rPr>
          <w:rStyle w:val="StyleUnderline"/>
        </w:rPr>
        <w:t>and aspiring nations in Asia</w:t>
      </w:r>
      <w:r w:rsidRPr="00292257">
        <w:rPr>
          <w:sz w:val="16"/>
        </w:rPr>
        <w:t xml:space="preserve">, Africa and the Middle </w:t>
      </w:r>
      <w:r w:rsidRPr="00292257">
        <w:rPr>
          <w:rStyle w:val="StyleUnderline"/>
        </w:rPr>
        <w:t>East’ depicted in a ‘racist, sexist language that reproduces colonial ideology</w:t>
      </w:r>
      <w:r w:rsidRPr="00292257">
        <w:rPr>
          <w:sz w:val="16"/>
        </w:rPr>
        <w:t xml:space="preserve">. As such it rejects the authority and legitimacy of these nations as potential possessors of nuclear weapons and solidifies continued dominance by the United States of the nuclear strategic environment’ (Taylor, 2007, p. 685). The strength of these populist discourses reinforcing a dynamic of difference and denial is exhibited with the contemporary ‘malpractice’ of the Trump administration to not respect the nuclear deal negotiated with Iran (Kimball, 2018). </w:t>
      </w:r>
      <w:r w:rsidRPr="00292257">
        <w:rPr>
          <w:rStyle w:val="StyleUnderline"/>
        </w:rPr>
        <w:t>Nuclear weapons have</w:t>
      </w:r>
      <w:r w:rsidRPr="00292257">
        <w:rPr>
          <w:sz w:val="16"/>
        </w:rPr>
        <w:t xml:space="preserve"> long </w:t>
      </w:r>
      <w:r w:rsidRPr="00292257">
        <w:rPr>
          <w:rStyle w:val="StyleUnderline"/>
        </w:rPr>
        <w:t>been regarded as</w:t>
      </w:r>
      <w:r w:rsidRPr="00292257">
        <w:rPr>
          <w:sz w:val="16"/>
        </w:rPr>
        <w:t xml:space="preserve"> ‘a new technological deity’ and </w:t>
      </w:r>
      <w:r w:rsidRPr="00292257">
        <w:rPr>
          <w:rStyle w:val="StyleUnderline"/>
        </w:rPr>
        <w:t>‘a divinely offered gift that endorsed American exceptionalism and imbued its creators with God-like power and the mission to restore order and justice in a fallen world.’</w:t>
      </w:r>
      <w:r w:rsidRPr="00292257">
        <w:rPr>
          <w:sz w:val="16"/>
        </w:rPr>
        <w:t xml:space="preserve"> (Taylor, 2007, p. 677). Gabrielle Hecht (2012) defines nuclear exceptionalism as ‘insistence on an essential nuclear difference – manifested in political claims, technological systems, cultural forms, institutional infrastructures, and scientific knowledge’ and insists ‘</w:t>
      </w:r>
      <w:r w:rsidRPr="00292257">
        <w:rPr>
          <w:rStyle w:val="StyleUnderline"/>
        </w:rPr>
        <w:t>nuclear exceptionalism could be made, unmade, and remade’ as ‘for all efforts at making nuclear things exceptional, there were opposing attempts to render them banal’</w:t>
      </w:r>
      <w:r w:rsidRPr="00292257">
        <w:rPr>
          <w:sz w:val="16"/>
        </w:rPr>
        <w:t xml:space="preserve"> (Hecht, pp. 6– 8). It is important to bear this in mind as this pernicious dynamic of difference and exceptionalism becomes even more acute with current US President Donald Trump’s everyday populist declarations. He is on record for stating that the US will be at the ‘top of the pack’ ‘until such time as the world comes to its senses regarding nukes’ (Holland, 2017). In his recent visit to Poland ‘to summon the courage and the will to defend our civilization’ Trump (2017) claims ‘there are dire threats to our security and our way of life’ and argues, ‘the fundamental question of our time is whether the West has the will to survive.’ There is little doubt in his mind of the ‘triumph’ of the West (Holland, 2017).</w:t>
      </w:r>
    </w:p>
    <w:p w:rsidR="005027D7" w:rsidRPr="00292257" w:rsidRDefault="005027D7" w:rsidP="005027D7">
      <w:pPr>
        <w:pStyle w:val="Heading4"/>
      </w:pPr>
      <w:r w:rsidRPr="00292257">
        <w:t>The aff’s project of disarmament is a form of “sly civility” that places control of disarmament narratives in the hands of the West, allowing for an assumption that Western practices of arms control exist for a “public good”</w:t>
      </w:r>
    </w:p>
    <w:p w:rsidR="005027D7" w:rsidRPr="00292257" w:rsidRDefault="005027D7" w:rsidP="005027D7">
      <w:r w:rsidRPr="00292257">
        <w:rPr>
          <w:rStyle w:val="Style13ptBold"/>
        </w:rPr>
        <w:t xml:space="preserve">Mathur 15 </w:t>
      </w:r>
      <w:r w:rsidRPr="00292257">
        <w:t xml:space="preserve">Ritu Mathur, “Sly civility and the paradox of equality/ inequality in the nuclear order: a post-colonial critique”, </w:t>
      </w:r>
      <w:r w:rsidRPr="00292257">
        <w:rPr>
          <w:i/>
        </w:rPr>
        <w:t>Critical Studies on Security</w:t>
      </w:r>
      <w:r w:rsidRPr="00292257">
        <w:t>, 2015, DOI: 10.1080/21624887.2015.1106428, /MegLak</w:t>
      </w:r>
    </w:p>
    <w:p w:rsidR="005027D7" w:rsidRPr="00292257" w:rsidRDefault="005027D7" w:rsidP="005027D7">
      <w:pPr>
        <w:rPr>
          <w:sz w:val="16"/>
        </w:rPr>
      </w:pPr>
      <w:r w:rsidRPr="00292257">
        <w:rPr>
          <w:rStyle w:val="Emphasis"/>
        </w:rPr>
        <w:t>Sly civility can be understood as a concept encompassing practices of racial etiquette and strategic orientalism</w:t>
      </w:r>
      <w:r w:rsidRPr="00292257">
        <w:rPr>
          <w:sz w:val="16"/>
        </w:rPr>
        <w:t xml:space="preserve"> as discussed below. The </w:t>
      </w:r>
      <w:r w:rsidRPr="00292257">
        <w:rPr>
          <w:rStyle w:val="Emphasis"/>
        </w:rPr>
        <w:t>practices of racial etiquette</w:t>
      </w:r>
      <w:r w:rsidRPr="00292257">
        <w:rPr>
          <w:rStyle w:val="StyleUnderline"/>
        </w:rPr>
        <w:t xml:space="preserve"> came into play with such speed in the establishment of the nuclear order that ‘the previous longevity of anti-egalitarian and racist sentiment can and was easily lost sight</w:t>
      </w:r>
      <w:r w:rsidRPr="00292257">
        <w:rPr>
          <w:sz w:val="16"/>
        </w:rPr>
        <w:t xml:space="preserve">’ (Furedi 1998, 15). </w:t>
      </w:r>
      <w:r w:rsidRPr="00292257">
        <w:rPr>
          <w:rStyle w:val="StyleUnderline"/>
        </w:rPr>
        <w:t>The practices</w:t>
      </w:r>
      <w:r w:rsidRPr="00292257">
        <w:rPr>
          <w:sz w:val="16"/>
        </w:rPr>
        <w:t xml:space="preserve"> of racial etiquette are conscious of the formal principles of equality among sovereign states, </w:t>
      </w:r>
      <w:r w:rsidRPr="00292257">
        <w:rPr>
          <w:rStyle w:val="Emphasis"/>
        </w:rPr>
        <w:t>induce an epistemological silence against any overt statements on racial inequality but stubbornly refuse to give up on the idea of political mastery</w:t>
      </w:r>
      <w:r w:rsidRPr="00292257">
        <w:rPr>
          <w:rStyle w:val="StyleUnderline"/>
        </w:rPr>
        <w:t>.</w:t>
      </w:r>
      <w:r w:rsidRPr="00292257">
        <w:rPr>
          <w:sz w:val="16"/>
        </w:rPr>
        <w:t xml:space="preserve"> Frank Furedi argues that practices of </w:t>
      </w:r>
      <w:r w:rsidRPr="00292257">
        <w:rPr>
          <w:rStyle w:val="StyleUnderline"/>
        </w:rPr>
        <w:t xml:space="preserve">racial etiquette </w:t>
      </w:r>
      <w:r w:rsidRPr="00292257">
        <w:rPr>
          <w:rStyle w:val="Emphasis"/>
        </w:rPr>
        <w:t>represent a ‘second form of colonization’ that</w:t>
      </w:r>
      <w:r w:rsidRPr="00292257">
        <w:rPr>
          <w:rStyle w:val="StyleUnderline"/>
        </w:rPr>
        <w:t xml:space="preserve"> does not have any serious commitment to anti-racism but </w:t>
      </w:r>
      <w:r w:rsidRPr="00292257">
        <w:rPr>
          <w:rStyle w:val="Emphasis"/>
        </w:rPr>
        <w:t>seeks to indulge in a ‘silent war’ to ‘produce</w:t>
      </w:r>
      <w:r w:rsidRPr="00292257">
        <w:rPr>
          <w:sz w:val="16"/>
        </w:rPr>
        <w:t xml:space="preserve"> over time, social formations and even </w:t>
      </w:r>
      <w:r w:rsidRPr="00292257">
        <w:rPr>
          <w:rStyle w:val="StyleUnderline"/>
        </w:rPr>
        <w:t>world orders that were</w:t>
      </w:r>
      <w:r w:rsidRPr="00292257">
        <w:rPr>
          <w:sz w:val="16"/>
        </w:rPr>
        <w:t xml:space="preserve"> macrostructural </w:t>
      </w:r>
      <w:r w:rsidRPr="00292257">
        <w:rPr>
          <w:rStyle w:val="StyleUnderline"/>
        </w:rPr>
        <w:t>systems of inclusion and exclusion’</w:t>
      </w:r>
      <w:r w:rsidRPr="00292257">
        <w:rPr>
          <w:sz w:val="16"/>
        </w:rPr>
        <w:t xml:space="preserve"> (5). These practices of </w:t>
      </w:r>
      <w:r w:rsidRPr="00292257">
        <w:rPr>
          <w:rStyle w:val="Emphasis"/>
        </w:rPr>
        <w:t>racial etiquette are further reinforced by</w:t>
      </w:r>
      <w:r w:rsidRPr="00292257">
        <w:rPr>
          <w:rStyle w:val="StyleUnderline"/>
        </w:rPr>
        <w:t xml:space="preserve"> contemporary practices of </w:t>
      </w:r>
      <w:r w:rsidRPr="00292257">
        <w:rPr>
          <w:rStyle w:val="Emphasis"/>
        </w:rPr>
        <w:t>strategic orientalism</w:t>
      </w:r>
      <w:r w:rsidRPr="00292257">
        <w:rPr>
          <w:sz w:val="16"/>
        </w:rPr>
        <w:t>. Edward Said articulated the concept of ‘</w:t>
      </w:r>
      <w:r w:rsidRPr="00292257">
        <w:rPr>
          <w:rStyle w:val="StyleUnderline"/>
        </w:rPr>
        <w:t>Orientalism’ to demonstrate how the West constitutes its own identity on the premise of its differences with others</w:t>
      </w:r>
      <w:r w:rsidRPr="00292257">
        <w:rPr>
          <w:sz w:val="16"/>
        </w:rPr>
        <w:t xml:space="preserve"> often seen as a source of threat (Said 2001). In </w:t>
      </w:r>
      <w:r w:rsidRPr="00292257">
        <w:rPr>
          <w:rStyle w:val="StyleUnderline"/>
        </w:rPr>
        <w:t>these iterative practices of representation the cultural differences are effectively deployed to differentiate the West and discipline the others in the international order</w:t>
      </w:r>
      <w:r w:rsidRPr="00292257">
        <w:rPr>
          <w:sz w:val="16"/>
        </w:rPr>
        <w:t xml:space="preserve">. Keith Krause and Andrew Latham suggest that the continued exercise of this disciplinary power necessitates maintenance of military superiority in the post-Cold War period. </w:t>
      </w:r>
      <w:r w:rsidRPr="00292257">
        <w:rPr>
          <w:rStyle w:val="Emphasis"/>
        </w:rPr>
        <w:t>The West</w:t>
      </w:r>
      <w:r w:rsidRPr="00292257">
        <w:rPr>
          <w:sz w:val="16"/>
        </w:rPr>
        <w:t xml:space="preserve"> then </w:t>
      </w:r>
      <w:r w:rsidRPr="00292257">
        <w:rPr>
          <w:rStyle w:val="Emphasis"/>
        </w:rPr>
        <w:t>deploys ‘strategic orientalism’ as a ‘new conceptual template’ that enables the West to impute ‘politicostrategic objectives</w:t>
      </w:r>
      <w:r w:rsidRPr="00292257">
        <w:rPr>
          <w:sz w:val="16"/>
        </w:rPr>
        <w:t xml:space="preserve"> and purposes’ </w:t>
      </w:r>
      <w:r w:rsidRPr="00292257">
        <w:rPr>
          <w:rStyle w:val="Emphasis"/>
        </w:rPr>
        <w:t xml:space="preserve">to Third World countries in a manner that is ‘informed more by Western </w:t>
      </w:r>
      <w:r w:rsidRPr="00292257">
        <w:rPr>
          <w:rStyle w:val="Emphasis"/>
        </w:rPr>
        <w:lastRenderedPageBreak/>
        <w:t>fears and prejudices than by the realities of politics in these states’</w:t>
      </w:r>
      <w:r w:rsidRPr="00292257">
        <w:rPr>
          <w:sz w:val="16"/>
        </w:rPr>
        <w:t xml:space="preserve"> (Krause and Latham 1998, 38). It transforms ‘essentially contestable interpretations of danger’ into ‘“objective” and incontestable facts regarding the sources of threat and insecurity in the international system’ (38). </w:t>
      </w:r>
      <w:r w:rsidRPr="00292257">
        <w:rPr>
          <w:rStyle w:val="StyleUnderline"/>
        </w:rPr>
        <w:t>An effort to map these intersecting practices</w:t>
      </w:r>
      <w:r w:rsidRPr="00292257">
        <w:rPr>
          <w:sz w:val="16"/>
        </w:rPr>
        <w:t xml:space="preserve"> of racial etiquette, orientalism and strategic orientalism on a continuum </w:t>
      </w:r>
      <w:r w:rsidRPr="00292257">
        <w:rPr>
          <w:rStyle w:val="StyleUnderline"/>
        </w:rPr>
        <w:t>reveals practices of sly civility</w:t>
      </w:r>
      <w:r w:rsidRPr="00292257">
        <w:rPr>
          <w:sz w:val="16"/>
        </w:rPr>
        <w:t xml:space="preserve">. </w:t>
      </w:r>
      <w:r w:rsidRPr="00292257">
        <w:rPr>
          <w:rStyle w:val="StyleUnderline"/>
        </w:rPr>
        <w:t>A grasp of these practices</w:t>
      </w:r>
      <w:r w:rsidRPr="00292257">
        <w:rPr>
          <w:sz w:val="16"/>
        </w:rPr>
        <w:t xml:space="preserve"> of sly civility </w:t>
      </w:r>
      <w:r w:rsidRPr="00292257">
        <w:rPr>
          <w:rStyle w:val="StyleUnderline"/>
        </w:rPr>
        <w:t xml:space="preserve">facilitates an understanding of the nuclear order with its practices of inclusion and exclusion and the </w:t>
      </w:r>
      <w:r w:rsidRPr="00292257">
        <w:rPr>
          <w:rStyle w:val="Emphasis"/>
        </w:rPr>
        <w:t>West’s efforts to control the narrative of</w:t>
      </w:r>
      <w:r w:rsidRPr="00292257">
        <w:rPr>
          <w:sz w:val="16"/>
        </w:rPr>
        <w:t xml:space="preserve"> nuclear arms control and </w:t>
      </w:r>
      <w:r w:rsidRPr="00292257">
        <w:rPr>
          <w:rStyle w:val="Emphasis"/>
        </w:rPr>
        <w:t>disarmament</w:t>
      </w:r>
      <w:r w:rsidRPr="00292257">
        <w:rPr>
          <w:sz w:val="16"/>
        </w:rPr>
        <w:t xml:space="preserve">. In this narrative </w:t>
      </w:r>
      <w:r w:rsidRPr="00292257">
        <w:rPr>
          <w:rStyle w:val="StyleUnderline"/>
        </w:rPr>
        <w:t xml:space="preserve">there is </w:t>
      </w:r>
      <w:r w:rsidRPr="00292257">
        <w:rPr>
          <w:rStyle w:val="Emphasis"/>
        </w:rPr>
        <w:t>an assumption that the Western practices of arms control and disarmament</w:t>
      </w:r>
      <w:r w:rsidRPr="00292257">
        <w:rPr>
          <w:sz w:val="16"/>
        </w:rPr>
        <w:t xml:space="preserve"> are ‘rational’, ‘benign’ and </w:t>
      </w:r>
      <w:r w:rsidRPr="00292257">
        <w:rPr>
          <w:rStyle w:val="StyleUnderline"/>
        </w:rPr>
        <w:t>provide for the global ‘</w:t>
      </w:r>
      <w:r w:rsidRPr="00292257">
        <w:rPr>
          <w:rStyle w:val="Emphasis"/>
        </w:rPr>
        <w:t>public good’</w:t>
      </w:r>
      <w:r w:rsidRPr="00292257">
        <w:rPr>
          <w:sz w:val="16"/>
        </w:rPr>
        <w:t xml:space="preserve"> (Krause and Latham 1998, 23). The </w:t>
      </w:r>
      <w:r w:rsidRPr="00292257">
        <w:rPr>
          <w:rStyle w:val="StyleUnderline"/>
        </w:rPr>
        <w:t>control of the narrative and its representation of these standards is a prerequisite in the exercise of power over others</w:t>
      </w:r>
      <w:r w:rsidRPr="00292257">
        <w:rPr>
          <w:sz w:val="16"/>
        </w:rPr>
        <w:t xml:space="preserve">. Any resistance to this narrative is through practices of racial etiquette and strategic orientalism to be marginalized as peripheral and a source of instability and chaos. These </w:t>
      </w:r>
      <w:r w:rsidRPr="00292257">
        <w:rPr>
          <w:rStyle w:val="StyleUnderline"/>
        </w:rPr>
        <w:t>practices of strategic orientalism or sly civility are not sensitive to the ‘ethnocentricity’ of their underlying assumptions</w:t>
      </w:r>
      <w:r w:rsidRPr="00292257">
        <w:rPr>
          <w:sz w:val="16"/>
        </w:rPr>
        <w:t xml:space="preserve"> and exhibit a ‘distinct matrix of beliefs and dispositions’ towards others in the field of arms control and disarmament (23).It is, therefore, imperative that practices of sly civility be ‘caught in the irredeemable act of writing’ (Bhabha 1994, 133). Homi K. Bhabha suggests that the ‘practice of writing’ is a ‘strategy of colonialist regulation’ (134). This writing ‘puts on trial the very discourse of civility within which representative government claims its liberty and empire its ethics’ (136). The writing makes visible the ‘nationalist, authoritarian tone’ that polices the ‘culturally and racially differentiated colonial space’ of arms control and disarmament (134). This authoritarian tone is embedded in a narrative that is narcisstic in its insistence that the other recognize its authority. In its insistence for this recognition it is willing to calculate and deploy tactical measures such as ‘skeptical conceits’ that dismiss any efforts of the others that seek to challenge its authority (141). Any resistance unleashes acute anxiety and a ‘paranoia of power’ that generates ‘political and psychic’ contestations on authority to regulate the borders of arms control and disarmament (141–2). Despite this anxiety, </w:t>
      </w:r>
      <w:r w:rsidRPr="00292257">
        <w:rPr>
          <w:rStyle w:val="StyleUnderline"/>
        </w:rPr>
        <w:t>it is important to scrutinize arms control and disarmament texts as ‘despatches of hyprocrisy’ that seek to ‘moralize’ but exhibit a specific ‘discursive doubleness’</w:t>
      </w:r>
      <w:r w:rsidRPr="00292257">
        <w:rPr>
          <w:sz w:val="16"/>
        </w:rPr>
        <w:t xml:space="preserve"> that exists between the lines as an ‘effect of the ambivalent, deferred address of colonialist governance’ (Bhabha 1994, 136). It is </w:t>
      </w:r>
      <w:r w:rsidRPr="00292257">
        <w:rPr>
          <w:rStyle w:val="StyleUnderline"/>
        </w:rPr>
        <w:t>in this space ‘between the civil address and its colonial signification’ with ‘each axis displaying a problem of recognition and repetition’ that there ‘shuttles the signifier of authority in search of a strategy of surveillance, subjection, and inscription’</w:t>
      </w:r>
      <w:r w:rsidRPr="00292257">
        <w:rPr>
          <w:sz w:val="16"/>
        </w:rPr>
        <w:t xml:space="preserve"> (136). The signifier of authority traverses through time and through its repetition deepens the crisis of authority experienced in practices of arms control and disarmament. </w:t>
      </w:r>
      <w:r w:rsidRPr="00292257">
        <w:rPr>
          <w:rStyle w:val="Emphasis"/>
        </w:rPr>
        <w:t>This crisis of authority encourages ‘projections’ compelling the ‘native to address the master’ and reproducing the native as ‘partially aligned or reformed’ in discourse ‘endangering the boundaries of truth itself’</w:t>
      </w:r>
      <w:r w:rsidRPr="00292257">
        <w:rPr>
          <w:sz w:val="16"/>
        </w:rPr>
        <w:t xml:space="preserve"> (142).</w:t>
      </w:r>
    </w:p>
    <w:p w:rsidR="005027D7" w:rsidRPr="00292257" w:rsidRDefault="005027D7" w:rsidP="005027D7">
      <w:pPr>
        <w:tabs>
          <w:tab w:val="left" w:pos="7080"/>
        </w:tabs>
        <w:rPr>
          <w:sz w:val="16"/>
        </w:rPr>
      </w:pPr>
      <w:r w:rsidRPr="00292257">
        <w:rPr>
          <w:sz w:val="16"/>
        </w:rPr>
        <w:tab/>
      </w:r>
    </w:p>
    <w:p w:rsidR="005027D7" w:rsidRPr="00292257" w:rsidRDefault="005027D7" w:rsidP="005027D7">
      <w:pPr>
        <w:pStyle w:val="Heading3"/>
      </w:pPr>
      <w:r w:rsidRPr="00292257">
        <w:lastRenderedPageBreak/>
        <w:t>Prolif</w:t>
      </w:r>
    </w:p>
    <w:p w:rsidR="005027D7" w:rsidRPr="00292257" w:rsidRDefault="005027D7" w:rsidP="005027D7">
      <w:pPr>
        <w:pStyle w:val="Heading4"/>
      </w:pPr>
      <w:r w:rsidRPr="00292257">
        <w:t xml:space="preserve">The aff’s attempt to regulate arms proliferation in other countries is entrenched in </w:t>
      </w:r>
      <w:r w:rsidR="00E74220" w:rsidRPr="00292257">
        <w:t>Orientalist</w:t>
      </w:r>
      <w:r w:rsidRPr="00292257">
        <w:t xml:space="preserve"> ideology – it recreates the West versus the rest divide and rationalizes the deprivation of Third World countries in favor of a “stability” which only solidifies Western control over the rest of the world </w:t>
      </w:r>
    </w:p>
    <w:p w:rsidR="005027D7" w:rsidRPr="00292257" w:rsidRDefault="005027D7" w:rsidP="005027D7">
      <w:r w:rsidRPr="00292257">
        <w:rPr>
          <w:rStyle w:val="Style13ptBold"/>
        </w:rPr>
        <w:t>Mathur</w:t>
      </w:r>
      <w:r w:rsidRPr="00292257">
        <w:t xml:space="preserve"> </w:t>
      </w:r>
      <w:r w:rsidRPr="00292257">
        <w:rPr>
          <w:rStyle w:val="Style13ptBold"/>
        </w:rPr>
        <w:t>’14</w:t>
      </w:r>
      <w:r w:rsidRPr="00292257">
        <w:t xml:space="preserve"> (Ritu, PhD in Political Science and Assistant Professor in the Department of Political Science and Geography at UT Austin, ‘The West and the Rest’: A Civilizational Mantra in Arms Control and Disarmament?, Contemporary Security Policy, 35:3, 332-355, DOI: 10.1080/13523260.2014.960164)CN</w:t>
      </w:r>
    </w:p>
    <w:p w:rsidR="005027D7" w:rsidRPr="00292257" w:rsidRDefault="005027D7" w:rsidP="005027D7">
      <w:pPr>
        <w:rPr>
          <w:rStyle w:val="Emphasis"/>
        </w:rPr>
      </w:pPr>
      <w:r w:rsidRPr="00292257">
        <w:rPr>
          <w:rStyle w:val="StyleUnderline"/>
        </w:rPr>
        <w:t>It became difficult to address problems of justice in practices of arms control</w:t>
      </w:r>
      <w:r w:rsidRPr="00292257">
        <w:rPr>
          <w:sz w:val="16"/>
        </w:rPr>
        <w:t xml:space="preserve"> and disarmament </w:t>
      </w:r>
      <w:r w:rsidRPr="00292257">
        <w:rPr>
          <w:rStyle w:val="StyleUnderline"/>
        </w:rPr>
        <w:t xml:space="preserve">as those engaged in these practices of control suffered from a crisis of memory, </w:t>
      </w:r>
      <w:r w:rsidRPr="00292257">
        <w:t>an intellectual amnesia</w:t>
      </w:r>
      <w:r w:rsidRPr="00292257">
        <w:rPr>
          <w:sz w:val="16"/>
        </w:rPr>
        <w:t xml:space="preserve"> </w:t>
      </w:r>
      <w:r w:rsidRPr="00292257">
        <w:rPr>
          <w:rStyle w:val="StyleUnderline"/>
        </w:rPr>
        <w:t>that enabled a forgetfulness of their</w:t>
      </w:r>
      <w:r w:rsidRPr="00292257">
        <w:rPr>
          <w:sz w:val="16"/>
        </w:rPr>
        <w:t xml:space="preserve"> past </w:t>
      </w:r>
      <w:r w:rsidRPr="00292257">
        <w:rPr>
          <w:rStyle w:val="StyleUnderline"/>
        </w:rPr>
        <w:t>history</w:t>
      </w:r>
      <w:r w:rsidRPr="00292257">
        <w:rPr>
          <w:sz w:val="16"/>
        </w:rPr>
        <w:t>. Stuart Croft observes that ‘arms control has a long and rich history across many different cultures’ but ‘there has been little emphasis on the historical record of arms control’.93 Croft does not seek to explore the motivations but is content to note that ‘</w:t>
      </w:r>
      <w:r w:rsidRPr="00292257">
        <w:rPr>
          <w:rStyle w:val="Emphasis"/>
        </w:rPr>
        <w:t>too often, arms control is seen in too restricted a historical perspective</w:t>
      </w:r>
      <w:r w:rsidRPr="00292257">
        <w:rPr>
          <w:sz w:val="16"/>
        </w:rPr>
        <w:t xml:space="preserve">; in too narrow a sense in terms of its purposes; </w:t>
      </w:r>
      <w:r w:rsidRPr="00292257">
        <w:t>and in too shallow a fashion in terms of its complexity’</w:t>
      </w:r>
      <w:r w:rsidRPr="00292257">
        <w:rPr>
          <w:sz w:val="16"/>
        </w:rPr>
        <w:t xml:space="preserve">.94 It can be argued that </w:t>
      </w:r>
      <w:r w:rsidRPr="00292257">
        <w:rPr>
          <w:rStyle w:val="Emphasis"/>
        </w:rPr>
        <w:t>the politics behind this</w:t>
      </w:r>
      <w:r w:rsidRPr="00292257">
        <w:rPr>
          <w:rStyle w:val="StyleUnderline"/>
        </w:rPr>
        <w:t xml:space="preserve"> </w:t>
      </w:r>
      <w:r w:rsidRPr="00292257">
        <w:t>short memory</w:t>
      </w:r>
      <w:r w:rsidRPr="00292257">
        <w:rPr>
          <w:rStyle w:val="StyleUnderline"/>
        </w:rPr>
        <w:t xml:space="preserve"> </w:t>
      </w:r>
      <w:r w:rsidRPr="00292257">
        <w:rPr>
          <w:rStyle w:val="Emphasis"/>
        </w:rPr>
        <w:t>is to encourage theoretical abstractions pertaining to arms control premised on deterrence</w:t>
      </w:r>
      <w:r w:rsidRPr="00292257">
        <w:rPr>
          <w:sz w:val="16"/>
        </w:rPr>
        <w:t xml:space="preserve">. Deterrence projected as an exercise in rationality also represented an exercise in ‘abstraction’ to guide practices towards vertical arms control among the superpowers. </w:t>
      </w:r>
      <w:r w:rsidRPr="00292257">
        <w:rPr>
          <w:rStyle w:val="StyleUnderline"/>
        </w:rPr>
        <w:t>A more empirical exercise towards non-proliferation sought to develop horizontal regulations of behaviour</w:t>
      </w:r>
      <w:r w:rsidRPr="00292257">
        <w:rPr>
          <w:sz w:val="16"/>
        </w:rPr>
        <w:t xml:space="preserve"> </w:t>
      </w:r>
      <w:r w:rsidRPr="00292257">
        <w:rPr>
          <w:rStyle w:val="StyleUnderline"/>
        </w:rPr>
        <w:t>among other nation-states</w:t>
      </w:r>
      <w:r w:rsidRPr="00292257">
        <w:rPr>
          <w:sz w:val="16"/>
        </w:rPr>
        <w:t xml:space="preserve">. These 344 CONTEMPORARY SECURITY POLICY Contemporary Security Policy 2014.35:332-355. empirical practices of non-proliferation generated resistance among the nation-states through the discourse of ‘nuclear apartheid’. Hugh Gusterson does not hesitate to contend that: </w:t>
      </w:r>
      <w:r w:rsidRPr="00292257">
        <w:t>Although the Non-Proliferation Treaty divided the countries of the world into nuclear and nonnuclear by means of a purely temporal metric</w:t>
      </w:r>
      <w:r w:rsidRPr="00292257">
        <w:rPr>
          <w:sz w:val="16"/>
        </w:rPr>
        <w:t xml:space="preserve"> – designating only those who had tested nuclear weapons by 1970 as nuclear powers – </w:t>
      </w:r>
      <w:r w:rsidRPr="00292257">
        <w:rPr>
          <w:rStyle w:val="Emphasis"/>
        </w:rPr>
        <w:t xml:space="preserve">the treaty had become the legal anchor for a global nuclear regime that is increasingly legitimated in Western public discourse in racialized terms. </w:t>
      </w:r>
      <w:r w:rsidRPr="00292257">
        <w:rPr>
          <w:sz w:val="16"/>
        </w:rPr>
        <w:t xml:space="preserve">95 Gusterson suggests that </w:t>
      </w:r>
      <w:r w:rsidRPr="00292257">
        <w:rPr>
          <w:rStyle w:val="Emphasis"/>
        </w:rPr>
        <w:t>this was facilitated with the deployment of ‘subtle orientalist ideologies’ by the West in an effort to essentialize the Otherness of the Third World</w:t>
      </w:r>
      <w:r w:rsidRPr="00292257">
        <w:rPr>
          <w:sz w:val="16"/>
        </w:rPr>
        <w:t xml:space="preserve"> vis-a`-vis the West.96 Furthermore, </w:t>
      </w:r>
      <w:r w:rsidRPr="00292257">
        <w:rPr>
          <w:rStyle w:val="StyleUnderline"/>
        </w:rPr>
        <w:t>the West sought to represent itself as a</w:t>
      </w:r>
      <w:r w:rsidRPr="00292257">
        <w:rPr>
          <w:sz w:val="16"/>
        </w:rPr>
        <w:t xml:space="preserve"> collective </w:t>
      </w:r>
      <w:r w:rsidRPr="00292257">
        <w:rPr>
          <w:rStyle w:val="StyleUnderline"/>
        </w:rPr>
        <w:t>ideological front that: (1) makes the simultaneous ownership of nuclear weapons</w:t>
      </w:r>
      <w:r w:rsidRPr="00292257">
        <w:rPr>
          <w:sz w:val="16"/>
        </w:rPr>
        <w:t xml:space="preserve"> </w:t>
      </w:r>
      <w:r w:rsidRPr="00292257">
        <w:rPr>
          <w:rStyle w:val="StyleUnderline"/>
        </w:rPr>
        <w:t>by the major powers and the absence of nuclear weapons in the Third World seem natural</w:t>
      </w:r>
      <w:r w:rsidRPr="00292257">
        <w:rPr>
          <w:sz w:val="16"/>
        </w:rPr>
        <w:t xml:space="preserve"> and reasonable </w:t>
      </w:r>
      <w:r w:rsidRPr="00292257">
        <w:rPr>
          <w:rStyle w:val="StyleUnderline"/>
        </w:rPr>
        <w:t>while problematizing attempts by such countries as India, Pakistan, and Iraq to acquire these weapons;</w:t>
      </w:r>
      <w:r w:rsidRPr="00292257">
        <w:rPr>
          <w:sz w:val="16"/>
        </w:rPr>
        <w:t xml:space="preserve"> (2) </w:t>
      </w:r>
      <w:r w:rsidRPr="00292257">
        <w:rPr>
          <w:rStyle w:val="StyleUnderline"/>
        </w:rPr>
        <w:t>it presents the security needs of the established nuclear powers as if they were everybody’s</w:t>
      </w:r>
      <w:r w:rsidRPr="00292257">
        <w:rPr>
          <w:sz w:val="16"/>
        </w:rPr>
        <w:t xml:space="preserve">; (3) </w:t>
      </w:r>
      <w:r w:rsidRPr="00292257">
        <w:rPr>
          <w:rStyle w:val="Emphasis"/>
        </w:rPr>
        <w:t>it effaces the continuity between Third World countries’ nuclear deprivation and other systematic patterns of deprivation in the underdeveloped world</w:t>
      </w:r>
      <w:r w:rsidRPr="00292257">
        <w:rPr>
          <w:sz w:val="16"/>
        </w:rPr>
        <w:t xml:space="preserve"> in order to inhibit a massive North-South confrontation; and (4) it legitimates the nuclear monopoly of the recognized nuclear powers.97 </w:t>
      </w:r>
      <w:r w:rsidRPr="00292257">
        <w:rPr>
          <w:rStyle w:val="StyleUnderline"/>
        </w:rPr>
        <w:t>The struggle for legitimacy to acquire nuclear weapons is</w:t>
      </w:r>
      <w:r w:rsidRPr="00292257">
        <w:rPr>
          <w:sz w:val="16"/>
        </w:rPr>
        <w:t xml:space="preserve"> </w:t>
      </w:r>
      <w:r w:rsidRPr="00292257">
        <w:rPr>
          <w:rStyle w:val="StyleUnderline"/>
        </w:rPr>
        <w:t xml:space="preserve">fought further on the grounds that: </w:t>
      </w:r>
      <w:r w:rsidRPr="00292257">
        <w:rPr>
          <w:sz w:val="16"/>
        </w:rPr>
        <w:t xml:space="preserve">(1) Third World countries are too poor to afford nuclear weapons; (2) </w:t>
      </w:r>
      <w:r w:rsidRPr="00292257">
        <w:rPr>
          <w:rStyle w:val="StyleUnderline"/>
        </w:rPr>
        <w:t>deterrence will be unstable in the Third World</w:t>
      </w:r>
      <w:r w:rsidRPr="00292257">
        <w:rPr>
          <w:sz w:val="16"/>
        </w:rPr>
        <w:t xml:space="preserve">; (3) </w:t>
      </w:r>
      <w:r w:rsidRPr="00292257">
        <w:rPr>
          <w:rStyle w:val="StyleUnderline"/>
        </w:rPr>
        <w:t>Third World regimes lack the technical maturity to be trusted with nuclear weapons;</w:t>
      </w:r>
      <w:r w:rsidRPr="00292257">
        <w:rPr>
          <w:sz w:val="16"/>
        </w:rPr>
        <w:t xml:space="preserve"> and (4) </w:t>
      </w:r>
      <w:r w:rsidRPr="00292257">
        <w:rPr>
          <w:rStyle w:val="StyleUnderline"/>
        </w:rPr>
        <w:t>Third World regimes lack the political maturity to be trusted</w:t>
      </w:r>
      <w:r w:rsidRPr="00292257">
        <w:rPr>
          <w:sz w:val="16"/>
        </w:rPr>
        <w:t xml:space="preserve"> </w:t>
      </w:r>
      <w:r w:rsidRPr="00292257">
        <w:rPr>
          <w:rStyle w:val="StyleUnderline"/>
        </w:rPr>
        <w:t>with nuclear weapons.98 In this struggle for legitimacy,</w:t>
      </w:r>
      <w:r w:rsidRPr="00292257">
        <w:rPr>
          <w:sz w:val="16"/>
        </w:rPr>
        <w:t xml:space="preserve"> ‘</w:t>
      </w:r>
      <w:r w:rsidRPr="00292257">
        <w:rPr>
          <w:rStyle w:val="Emphasis"/>
        </w:rPr>
        <w:t>the claim to rational decision-making is frequently used by great powers to justify the possession of nuclear weapons. Conversely</w:t>
      </w:r>
      <w:r w:rsidRPr="00292257">
        <w:rPr>
          <w:sz w:val="16"/>
        </w:rPr>
        <w:t xml:space="preserve">, </w:t>
      </w:r>
      <w:r w:rsidRPr="00292257">
        <w:rPr>
          <w:rStyle w:val="Emphasis"/>
        </w:rPr>
        <w:t>the purported lack of rationality, on the part of other states</w:t>
      </w:r>
      <w:r w:rsidRPr="00292257">
        <w:rPr>
          <w:sz w:val="16"/>
        </w:rPr>
        <w:t xml:space="preserve">, particularly revolutionary regimes </w:t>
      </w:r>
      <w:r w:rsidRPr="00292257">
        <w:rPr>
          <w:rStyle w:val="Emphasis"/>
        </w:rPr>
        <w:t>like</w:t>
      </w:r>
      <w:r w:rsidRPr="00292257">
        <w:rPr>
          <w:sz w:val="16"/>
        </w:rPr>
        <w:t xml:space="preserve"> Cuba or </w:t>
      </w:r>
      <w:r w:rsidRPr="00292257">
        <w:rPr>
          <w:rStyle w:val="Emphasis"/>
        </w:rPr>
        <w:t>Iran</w:t>
      </w:r>
      <w:r w:rsidRPr="00292257">
        <w:rPr>
          <w:sz w:val="16"/>
        </w:rPr>
        <w:t xml:space="preserve">, </w:t>
      </w:r>
      <w:r w:rsidRPr="00292257">
        <w:rPr>
          <w:rStyle w:val="Emphasis"/>
        </w:rPr>
        <w:t>is</w:t>
      </w:r>
      <w:r w:rsidRPr="00292257">
        <w:rPr>
          <w:sz w:val="16"/>
        </w:rPr>
        <w:t xml:space="preserve"> routinely </w:t>
      </w:r>
      <w:r w:rsidRPr="00292257">
        <w:rPr>
          <w:rStyle w:val="Emphasis"/>
        </w:rPr>
        <w:t>invoked to explain why they cannot be trusted with nuclear weapons’.</w:t>
      </w:r>
      <w:r w:rsidRPr="00292257">
        <w:rPr>
          <w:sz w:val="16"/>
        </w:rPr>
        <w:t xml:space="preserve">99 </w:t>
      </w:r>
      <w:r w:rsidRPr="00292257">
        <w:rPr>
          <w:rStyle w:val="StyleUnderline"/>
        </w:rPr>
        <w:t>The existing literature on arms control</w:t>
      </w:r>
      <w:r w:rsidRPr="00292257">
        <w:rPr>
          <w:sz w:val="16"/>
        </w:rPr>
        <w:t xml:space="preserve"> and </w:t>
      </w:r>
      <w:r w:rsidRPr="00292257">
        <w:rPr>
          <w:sz w:val="16"/>
        </w:rPr>
        <w:lastRenderedPageBreak/>
        <w:t xml:space="preserve">disarmament </w:t>
      </w:r>
      <w:r w:rsidRPr="00292257">
        <w:rPr>
          <w:rStyle w:val="StyleUnderline"/>
        </w:rPr>
        <w:t>is replete with rhetorical polarizations</w:t>
      </w:r>
      <w:r w:rsidRPr="00292257">
        <w:rPr>
          <w:sz w:val="16"/>
        </w:rPr>
        <w:t xml:space="preserve"> </w:t>
      </w:r>
      <w:r w:rsidRPr="00292257">
        <w:rPr>
          <w:rStyle w:val="StyleUnderline"/>
        </w:rPr>
        <w:t>that depict the West as the trustworthy and responsible actor that needs to police the rebellious and recalcitrant Third World</w:t>
      </w:r>
      <w:r w:rsidRPr="00292257">
        <w:rPr>
          <w:sz w:val="16"/>
        </w:rPr>
        <w:t xml:space="preserve"> that is not up to the task, </w:t>
      </w:r>
      <w:r w:rsidRPr="00292257">
        <w:rPr>
          <w:rStyle w:val="StyleUnderline"/>
        </w:rPr>
        <w:t xml:space="preserve">whose science and technology is not even capable of addressing their basic population </w:t>
      </w:r>
      <w:r w:rsidRPr="00292257">
        <w:rPr>
          <w:sz w:val="16"/>
        </w:rPr>
        <w:t xml:space="preserve">and food </w:t>
      </w:r>
      <w:r w:rsidRPr="00292257">
        <w:rPr>
          <w:rStyle w:val="StyleUnderline"/>
        </w:rPr>
        <w:t>problems</w:t>
      </w:r>
      <w:r w:rsidRPr="00292257">
        <w:rPr>
          <w:sz w:val="16"/>
        </w:rPr>
        <w:t xml:space="preserve"> and is constantly seeking attention. </w:t>
      </w:r>
      <w:r w:rsidRPr="00292257">
        <w:rPr>
          <w:rStyle w:val="StyleUnderline"/>
        </w:rPr>
        <w:t>All these ‘recurrent images</w:t>
      </w:r>
      <w:r w:rsidRPr="00292257">
        <w:rPr>
          <w:sz w:val="16"/>
        </w:rPr>
        <w:t xml:space="preserve"> and metaphors ... </w:t>
      </w:r>
      <w:r w:rsidRPr="00292257">
        <w:rPr>
          <w:rStyle w:val="StyleUnderline"/>
        </w:rPr>
        <w:t>pertain</w:t>
      </w:r>
      <w:r w:rsidRPr="00292257">
        <w:rPr>
          <w:sz w:val="16"/>
        </w:rPr>
        <w:t xml:space="preserve"> in some way </w:t>
      </w:r>
      <w:r w:rsidRPr="00292257">
        <w:rPr>
          <w:rStyle w:val="StyleUnderline"/>
        </w:rPr>
        <w:t>to disorder’</w:t>
      </w:r>
      <w:r w:rsidRPr="00292257">
        <w:rPr>
          <w:sz w:val="16"/>
        </w:rPr>
        <w:t>.100 It is possible to launch recursive arguments on each of these invocations but t</w:t>
      </w:r>
      <w:r w:rsidRPr="00292257">
        <w:rPr>
          <w:rStyle w:val="Emphasis"/>
        </w:rPr>
        <w:t>he significance of these ‘distorted representations of the Other’ is that they also disclose</w:t>
      </w:r>
      <w:r w:rsidRPr="00292257">
        <w:rPr>
          <w:sz w:val="16"/>
        </w:rPr>
        <w:t xml:space="preserve"> </w:t>
      </w:r>
      <w:r w:rsidRPr="00292257">
        <w:rPr>
          <w:rStyle w:val="Emphasis"/>
        </w:rPr>
        <w:t>the West’s ‘buried</w:t>
      </w:r>
      <w:r w:rsidRPr="00292257">
        <w:rPr>
          <w:sz w:val="16"/>
        </w:rPr>
        <w:t xml:space="preserve">, denied, and </w:t>
      </w:r>
      <w:r w:rsidRPr="00292257">
        <w:rPr>
          <w:rStyle w:val="Emphasis"/>
        </w:rPr>
        <w:t>troubling parts</w:t>
      </w:r>
      <w:r w:rsidRPr="00292257">
        <w:rPr>
          <w:sz w:val="16"/>
        </w:rPr>
        <w:t xml:space="preserve"> that have mysteriously surfaced’.101 </w:t>
      </w:r>
      <w:r w:rsidRPr="00292257">
        <w:rPr>
          <w:rStyle w:val="Emphasis"/>
        </w:rPr>
        <w:t xml:space="preserve">The West reiterates the same arguments with regard to poverty, instability, and </w:t>
      </w:r>
      <w:r w:rsidRPr="00292257">
        <w:rPr>
          <w:sz w:val="16"/>
        </w:rPr>
        <w:t xml:space="preserve">A CIVILIZATIONAL MANTRA IN ARMS CONTROL AND DISARMAMENT? 345 Contemporary Security Policy 2014.35:332-355. </w:t>
      </w:r>
      <w:r w:rsidRPr="00292257">
        <w:rPr>
          <w:rStyle w:val="Emphasis"/>
        </w:rPr>
        <w:t>lack of technical and political maturity</w:t>
      </w:r>
      <w:r w:rsidRPr="00292257">
        <w:rPr>
          <w:sz w:val="16"/>
        </w:rPr>
        <w:t xml:space="preserve"> that it had deployed in the late 19th and early 20th century </w:t>
      </w:r>
      <w:r w:rsidRPr="00292257">
        <w:rPr>
          <w:rStyle w:val="Emphasis"/>
        </w:rPr>
        <w:t>to prevent the acquisition of weapons by the colonies</w:t>
      </w:r>
      <w:r w:rsidRPr="00292257">
        <w:rPr>
          <w:sz w:val="16"/>
        </w:rPr>
        <w:t xml:space="preserve">. </w:t>
      </w:r>
      <w:r w:rsidRPr="00292257">
        <w:rPr>
          <w:rStyle w:val="StyleUnderline"/>
        </w:rPr>
        <w:t>This rhetoric displays a persistent sense of fear and vulnerability that ‘[i]n any contest</w:t>
      </w:r>
      <w:r w:rsidRPr="00292257">
        <w:rPr>
          <w:sz w:val="16"/>
        </w:rPr>
        <w:t xml:space="preserve"> in which </w:t>
      </w:r>
      <w:r w:rsidRPr="00292257">
        <w:rPr>
          <w:rStyle w:val="StyleUnderline"/>
        </w:rPr>
        <w:t>one side is bound by the norms of civilized behaviour and the other is not,</w:t>
      </w:r>
      <w:r w:rsidRPr="00292257">
        <w:rPr>
          <w:sz w:val="16"/>
        </w:rPr>
        <w:t xml:space="preserve"> history is, alas, on the side of the barbarians’.102 This suggests that </w:t>
      </w:r>
      <w:r w:rsidRPr="00292257">
        <w:rPr>
          <w:rStyle w:val="Emphasis"/>
        </w:rPr>
        <w:t>arms control and disarmament are practices to facilitate binding the barbarians by particular norms of civilized behaviour</w:t>
      </w:r>
      <w:r w:rsidRPr="00292257">
        <w:rPr>
          <w:sz w:val="16"/>
        </w:rPr>
        <w:t xml:space="preserve">. </w:t>
      </w:r>
      <w:r w:rsidRPr="00292257">
        <w:rPr>
          <w:rStyle w:val="Emphasis"/>
        </w:rPr>
        <w:t>It is</w:t>
      </w:r>
      <w:r w:rsidRPr="00292257">
        <w:rPr>
          <w:sz w:val="16"/>
        </w:rPr>
        <w:t xml:space="preserve"> therefore </w:t>
      </w:r>
      <w:r w:rsidRPr="00292257">
        <w:rPr>
          <w:rStyle w:val="Emphasis"/>
        </w:rPr>
        <w:t>not enough to undertake an exposition of how norms as standards of civilization are constituted in arms control</w:t>
      </w:r>
      <w:r w:rsidRPr="00292257">
        <w:rPr>
          <w:sz w:val="16"/>
        </w:rPr>
        <w:t xml:space="preserve"> and disarmament. </w:t>
      </w:r>
      <w:r w:rsidRPr="00292257">
        <w:rPr>
          <w:rStyle w:val="Emphasis"/>
        </w:rPr>
        <w:t>It is equally pertinent to express concern about how particular norms of behaviour are deployed to civilize/ discipline others.</w:t>
      </w:r>
    </w:p>
    <w:p w:rsidR="005027D7" w:rsidRPr="00292257" w:rsidRDefault="005027D7" w:rsidP="005027D7">
      <w:pPr>
        <w:pStyle w:val="Heading3"/>
      </w:pPr>
      <w:r w:rsidRPr="00292257">
        <w:lastRenderedPageBreak/>
        <w:t>Techno Orientalism</w:t>
      </w:r>
    </w:p>
    <w:p w:rsidR="005027D7" w:rsidRPr="00292257" w:rsidRDefault="005027D7" w:rsidP="005027D7">
      <w:pPr>
        <w:pStyle w:val="Heading4"/>
      </w:pPr>
      <w:r w:rsidRPr="00292257">
        <w:t xml:space="preserve">The aff’s representations of the East are a techno-orientalist move to power predicated on preserving American anxieties about Asian techno-dominance to coerce the public into fear and </w:t>
      </w:r>
      <w:r w:rsidR="003377F8" w:rsidRPr="00292257">
        <w:t>hatred of Non-Western countries</w:t>
      </w:r>
    </w:p>
    <w:p w:rsidR="005027D7" w:rsidRPr="00292257" w:rsidRDefault="005027D7" w:rsidP="005027D7">
      <w:r w:rsidRPr="00292257">
        <w:rPr>
          <w:rStyle w:val="Style13ptBold"/>
        </w:rPr>
        <w:t xml:space="preserve">Yeats 15 </w:t>
      </w:r>
      <w:r w:rsidRPr="00292257">
        <w:t xml:space="preserve">Dylan Yeats, “Home Is Where the War Is”: Remaking Techno-Orientalist Militarism on the Homefront”, in </w:t>
      </w:r>
      <w:r w:rsidRPr="00292257">
        <w:rPr>
          <w:i/>
        </w:rPr>
        <w:t>Techno-Orientalism: Imagining Asia in Speculative Fiction, History, and Media</w:t>
      </w:r>
      <w:r w:rsidRPr="00292257">
        <w:t>, Chapter 9, Rutgers University Press, pg 126-128, 2018, /MegLak</w:t>
      </w:r>
    </w:p>
    <w:p w:rsidR="005027D7" w:rsidRPr="00292257" w:rsidRDefault="005027D7" w:rsidP="005027D7">
      <w:pPr>
        <w:rPr>
          <w:sz w:val="14"/>
        </w:rPr>
      </w:pPr>
      <w:r w:rsidRPr="00292257">
        <w:rPr>
          <w:sz w:val="14"/>
        </w:rPr>
        <w:t>Excavating the genealogy of Homefront and its imaginative reworking of U.S. foreign policy rhetoric can help elucidate the “techno” in the term “techno-Orientalism</w:t>
      </w:r>
      <w:r w:rsidRPr="00292257">
        <w:rPr>
          <w:rStyle w:val="StyleUnderline"/>
        </w:rPr>
        <w:t xml:space="preserve">.” </w:t>
      </w:r>
      <w:r w:rsidRPr="00292257">
        <w:rPr>
          <w:rStyle w:val="Emphasis"/>
        </w:rPr>
        <w:t>Techno-Orientalism describes texts that produce visions of the purportedly technologically sophisticated economies and peoples of East Asia as foils for Western anxieties about the digital or information age</w:t>
      </w:r>
      <w:r w:rsidRPr="00292257">
        <w:rPr>
          <w:sz w:val="14"/>
        </w:rPr>
        <w:t xml:space="preserve">. Homefront and the 2012 remake of Red Dawn register these anxieties quite precisely. In both texts </w:t>
      </w:r>
      <w:r w:rsidRPr="00292257">
        <w:rPr>
          <w:rStyle w:val="StyleUnderline"/>
        </w:rPr>
        <w:t>North Koreans use an electromagnetic pulse to disable the communication systems upon which the U.S. military depends</w:t>
      </w:r>
      <w:r w:rsidRPr="00292257">
        <w:rPr>
          <w:sz w:val="14"/>
        </w:rPr>
        <w:t xml:space="preserve">, and the invaders quickly take much of America. </w:t>
      </w:r>
      <w:r w:rsidRPr="00292257">
        <w:rPr>
          <w:rStyle w:val="StyleUnderline"/>
        </w:rPr>
        <w:t>This techno-Orientalist peril is reminiscent of James Hevia’s reading of the early twentieth-century Dr. Fu Manchu novels</w:t>
      </w:r>
      <w:r w:rsidRPr="00292257">
        <w:rPr>
          <w:sz w:val="14"/>
        </w:rPr>
        <w:t xml:space="preserve">. Hevia argues that the “Devil Doctor’s” ability to repurpose the knowledge infrastructure underpinning the British Empire for his own nefarious plots is what makes the character so scary. </w:t>
      </w:r>
      <w:r w:rsidRPr="00292257">
        <w:rPr>
          <w:rStyle w:val="StyleUnderline"/>
        </w:rPr>
        <w:t>Homefront</w:t>
      </w:r>
      <w:r w:rsidRPr="00292257">
        <w:rPr>
          <w:sz w:val="14"/>
        </w:rPr>
        <w:t xml:space="preserve"> and Red Dawn </w:t>
      </w:r>
      <w:r w:rsidRPr="00292257">
        <w:rPr>
          <w:rStyle w:val="StyleUnderline"/>
        </w:rPr>
        <w:t xml:space="preserve">continue this tradition of reworking anxieties about the reliance on a </w:t>
      </w:r>
      <w:r w:rsidRPr="00292257">
        <w:rPr>
          <w:rStyle w:val="Emphasis"/>
        </w:rPr>
        <w:t xml:space="preserve">fetishized notion of information dominance by fixating on Oriental villains who upset the fantasy of Western technological supremacy. </w:t>
      </w:r>
      <w:r w:rsidRPr="00292257">
        <w:rPr>
          <w:rStyle w:val="StyleUnderline"/>
        </w:rPr>
        <w:t xml:space="preserve">In the context of mounting media fixation on cyber-security, </w:t>
      </w:r>
      <w:r w:rsidRPr="00292257">
        <w:rPr>
          <w:rStyle w:val="Emphasis"/>
        </w:rPr>
        <w:t>driven in part by political projects to depict China</w:t>
      </w:r>
      <w:r w:rsidRPr="00292257">
        <w:rPr>
          <w:sz w:val="14"/>
        </w:rPr>
        <w:t xml:space="preserve"> (I mean, North Korea) </w:t>
      </w:r>
      <w:r w:rsidRPr="00292257">
        <w:rPr>
          <w:rStyle w:val="Emphasis"/>
        </w:rPr>
        <w:t>as trying to hack America out of its role as military-technology leader</w:t>
      </w:r>
      <w:r w:rsidRPr="00292257">
        <w:rPr>
          <w:sz w:val="14"/>
        </w:rPr>
        <w:t xml:space="preserve"> (Singel</w:t>
      </w:r>
      <w:r w:rsidRPr="00292257">
        <w:rPr>
          <w:rStyle w:val="StyleUnderline"/>
        </w:rPr>
        <w:t xml:space="preserve">), the </w:t>
      </w:r>
      <w:r w:rsidRPr="00292257">
        <w:rPr>
          <w:rStyle w:val="Emphasis"/>
        </w:rPr>
        <w:t xml:space="preserve">fears expressed in </w:t>
      </w:r>
      <w:r w:rsidRPr="00292257">
        <w:rPr>
          <w:sz w:val="14"/>
        </w:rPr>
        <w:t xml:space="preserve">the 2012 </w:t>
      </w:r>
      <w:r w:rsidRPr="00292257">
        <w:rPr>
          <w:rStyle w:val="Emphasis"/>
        </w:rPr>
        <w:t>Red Dawn</w:t>
      </w:r>
      <w:r w:rsidRPr="00292257">
        <w:rPr>
          <w:sz w:val="14"/>
        </w:rPr>
        <w:t xml:space="preserve"> in particular </w:t>
      </w:r>
      <w:r w:rsidRPr="00292257">
        <w:rPr>
          <w:rStyle w:val="Emphasis"/>
        </w:rPr>
        <w:t>illustrate the anxious stakes of techno-dominance</w:t>
      </w:r>
      <w:r w:rsidRPr="00292257">
        <w:rPr>
          <w:sz w:val="14"/>
        </w:rPr>
        <w:t xml:space="preserve">. The occupying North Koreans have their own communications network, and the film’s plot is driven by a hunt to retrieve one of the invaders’ radios, so the forces regrouping in Free America can reverse engineer it. However, the film explores the ramifications of this technological upset through the ambivalent specter of the U.S. war in Iraq. Without computer guidance systems or satellite telecommunications, the occupied Americans are reduced to the status of Iraqis, dependent upon a technologically superior invading force that claims to be their friend. The invading North Koreans tout that they have come to liberate Americans from their own failed leaders, but they will not tolerate insurrection. This won’t do for the Wolverines who launch the resistance using the moniker of their high school mascot. Jed, a veteran who has just returned from Iraq, convinces his budding guerrilla troops that they have an advantage. The occupiers, he knows from experience, don’t really want to be there, whereas the Wolverines are fighting for their home and freedom. Jed claims that both the Viet Cong and America’s Founding Fathers knew that guerrilla tactics could drive imperialists away by wearing them down. In this way, the 2012 Red Dawn seems to suggest a deeply ambivalent circular logic. </w:t>
      </w:r>
      <w:r w:rsidRPr="00292257">
        <w:rPr>
          <w:rStyle w:val="StyleUnderline"/>
        </w:rPr>
        <w:t>The North Koreans serve as a harbinger for America. Should American military technology fail, America will be occupied the way it has occupied others. But in the hands of the film’s enemy Orientals, America’s own strategy is revealed to be terrifying and immoral</w:t>
      </w:r>
      <w:r w:rsidRPr="00292257">
        <w:rPr>
          <w:sz w:val="14"/>
        </w:rPr>
        <w:t xml:space="preserve">; and </w:t>
      </w:r>
      <w:r w:rsidRPr="00292257">
        <w:rPr>
          <w:rStyle w:val="StyleUnderline"/>
        </w:rPr>
        <w:t>given the U.S. experience in Iraq</w:t>
      </w:r>
      <w:r w:rsidRPr="00292257">
        <w:rPr>
          <w:sz w:val="14"/>
        </w:rPr>
        <w:t xml:space="preserve"> (and Vietnam) </w:t>
      </w:r>
      <w:r w:rsidRPr="00292257">
        <w:rPr>
          <w:rStyle w:val="StyleUnderline"/>
        </w:rPr>
        <w:t>we know that this occupying technology cannot succeed. The overlapping and contradictory identifications expressed in Red Dawn and Homefront between Iraqis, North Koreans, Chinese, Vietnamese, and Russians</w:t>
      </w:r>
      <w:r w:rsidRPr="00292257">
        <w:rPr>
          <w:sz w:val="14"/>
        </w:rPr>
        <w:t xml:space="preserve"> (and the list could, and does, go on) </w:t>
      </w:r>
      <w:r w:rsidRPr="00292257">
        <w:rPr>
          <w:rStyle w:val="Emphasis"/>
        </w:rPr>
        <w:t>illustrate the polymorphous Orientalism at play in these texts. This displacement of enmity reflects a broader tradition of American war-gaming</w:t>
      </w:r>
      <w:r w:rsidRPr="00292257">
        <w:rPr>
          <w:sz w:val="14"/>
        </w:rPr>
        <w:t xml:space="preserve">. Red Dawn (2012) producer Tripp Vinson stated he was interested in remaking the 1984 original because he had enjoyed it as a kid and thought “the idea of an invading army is something that speaks to the American psyche” (Hasan). However, </w:t>
      </w:r>
      <w:r w:rsidRPr="00292257">
        <w:rPr>
          <w:rStyle w:val="StyleUnderline"/>
        </w:rPr>
        <w:t>the American psyche is not static, but continually reproduced, remade, and cultivated by image makers backed by the power of the state.</w:t>
      </w:r>
      <w:r w:rsidRPr="00292257">
        <w:rPr>
          <w:sz w:val="14"/>
        </w:rPr>
        <w:t xml:space="preserve"> Since World War II, </w:t>
      </w:r>
      <w:r w:rsidRPr="00292257">
        <w:rPr>
          <w:rStyle w:val="StyleUnderline"/>
        </w:rPr>
        <w:t>politicians</w:t>
      </w:r>
      <w:r w:rsidRPr="00292257">
        <w:rPr>
          <w:sz w:val="14"/>
        </w:rPr>
        <w:t xml:space="preserve"> and pundits </w:t>
      </w:r>
      <w:r w:rsidRPr="00292257">
        <w:rPr>
          <w:rStyle w:val="StyleUnderline"/>
        </w:rPr>
        <w:t>have used the specter of “Oriental” enemy invasions to scare Americans into defending themselves against a succession of intractable foes by embracing the emancipatory promise of military technology</w:t>
      </w:r>
      <w:r w:rsidRPr="00292257">
        <w:rPr>
          <w:sz w:val="14"/>
        </w:rPr>
        <w:t xml:space="preserve">. Defenders and definers of America have replaced Soviet communism with new archenemies across East Asia and the Middle East. Cyberwar has replaced the Space Race. </w:t>
      </w:r>
      <w:r w:rsidRPr="00292257">
        <w:rPr>
          <w:rStyle w:val="StyleUnderline"/>
        </w:rPr>
        <w:t xml:space="preserve">The ease of this transition suggests how the shifting goals of U.S. policy, not any overarching immutable cultural or geostrategic affinity across the “Orient,” shape how Americans understand the implicit </w:t>
      </w:r>
      <w:r w:rsidRPr="00292257">
        <w:rPr>
          <w:rStyle w:val="StyleUnderline"/>
        </w:rPr>
        <w:lastRenderedPageBreak/>
        <w:t>“Eastern” threats to an imagined “West</w:t>
      </w:r>
      <w:r w:rsidRPr="00292257">
        <w:rPr>
          <w:sz w:val="14"/>
        </w:rPr>
        <w:t xml:space="preserve">.” This complements Edward Said’s central contention that the Orient is not a real place that experts in the West analyze: </w:t>
      </w:r>
      <w:r w:rsidRPr="00292257">
        <w:rPr>
          <w:rStyle w:val="StyleUnderline"/>
        </w:rPr>
        <w:t>the Orient is a fantasy, produced by analysts with the power to assert its existence</w:t>
      </w:r>
      <w:r w:rsidRPr="00292257">
        <w:rPr>
          <w:sz w:val="14"/>
        </w:rPr>
        <w:t xml:space="preserve">. </w:t>
      </w:r>
      <w:r w:rsidRPr="00292257">
        <w:rPr>
          <w:rStyle w:val="StyleUnderline"/>
        </w:rPr>
        <w:t>Adding “techno”</w:t>
      </w:r>
      <w:r w:rsidRPr="00292257">
        <w:rPr>
          <w:sz w:val="14"/>
        </w:rPr>
        <w:t xml:space="preserve"> to Orientalism </w:t>
      </w:r>
      <w:r w:rsidRPr="00292257">
        <w:rPr>
          <w:rStyle w:val="StyleUnderline"/>
        </w:rPr>
        <w:t>registers the embeddedness of such civilizational logic within the sixty-year American struggle for military industrial techno-dominance</w:t>
      </w:r>
      <w:r w:rsidRPr="00292257">
        <w:rPr>
          <w:sz w:val="14"/>
        </w:rPr>
        <w:t xml:space="preserve"> in the supposedly epic contest over the fate of the world. As remakes, </w:t>
      </w:r>
      <w:r w:rsidRPr="00292257">
        <w:rPr>
          <w:rStyle w:val="StyleUnderline"/>
        </w:rPr>
        <w:t>Red Dawn and Homefront hint at</w:t>
      </w:r>
      <w:r w:rsidRPr="00292257">
        <w:rPr>
          <w:sz w:val="14"/>
        </w:rPr>
        <w:t xml:space="preserve"> their participation in </w:t>
      </w:r>
      <w:r w:rsidRPr="00292257">
        <w:rPr>
          <w:rStyle w:val="StyleUnderline"/>
        </w:rPr>
        <w:t>the ongoing reproduction of techno-Orientalist militarism at the heart of the U.S. political culture</w:t>
      </w:r>
      <w:r w:rsidRPr="00292257">
        <w:rPr>
          <w:sz w:val="14"/>
        </w:rPr>
        <w:t>. These texts hail a tradition of attacking Americans in order to convince them they are, or could be, under attack from so-called Orientals. Key to this tradition of making and remaking techno-Orientalist militarism were a succession of groups named the Committee on the Present Danger (CPD). In 1950, a group of establishment elites founded the first CPD to promote the military to foster an “American Century” rooted in free trade by challenging Soviet attempts to close off global markets. To do so, this CPD depicted the Soviet threat to America as a zero-sum game. Behind closed doors in Washington, the CPD stewarded the adoption of the secret NSC-68 memoranda shortly before the Korean War. NSC-68 was the ultimate techno- Orientalist document, describing the Soviet Union as a “fanatical,” “intractable,” “inescapably militant” enemy “antithetical” to the existence of freedom and Western “civilization” (Pietz). NSC-68 advocated removing Cold War strategy from congressional oversight and placing it squarely in the charge of a vastly expanded military to develop a technological supremacy that could bolster freedom and counter communism any- and everywhere. Under the banner of anticommunism Americans launched a program of mutually assured destruction and the development of brutal countersubversive campaigns at home and abroad (Sanders 23–50).</w:t>
      </w:r>
    </w:p>
    <w:p w:rsidR="005027D7" w:rsidRPr="00292257" w:rsidRDefault="005027D7" w:rsidP="005027D7">
      <w:pPr>
        <w:pStyle w:val="Heading3"/>
      </w:pPr>
      <w:r w:rsidRPr="00292257">
        <w:lastRenderedPageBreak/>
        <w:t>HR</w:t>
      </w:r>
    </w:p>
    <w:p w:rsidR="005027D7" w:rsidRPr="00292257" w:rsidRDefault="005027D7" w:rsidP="005027D7">
      <w:pPr>
        <w:pStyle w:val="Heading4"/>
      </w:pPr>
      <w:r w:rsidRPr="00292257">
        <w:t xml:space="preserve">Human rights are anti-black and reproduce logics of settler colonialism </w:t>
      </w:r>
    </w:p>
    <w:p w:rsidR="005027D7" w:rsidRPr="00292257" w:rsidRDefault="005027D7" w:rsidP="005027D7">
      <w:r w:rsidRPr="00292257">
        <w:rPr>
          <w:rStyle w:val="Style13ptBold"/>
        </w:rPr>
        <w:t>Yang</w:t>
      </w:r>
      <w:r w:rsidRPr="00292257">
        <w:t>, K. W. (</w:t>
      </w:r>
      <w:r w:rsidRPr="00292257">
        <w:rPr>
          <w:rStyle w:val="Heading4Char"/>
        </w:rPr>
        <w:t>2015</w:t>
      </w:r>
      <w:r w:rsidRPr="00292257">
        <w:t>). Ph.D., 2004, Social and Cultural Studies, University of California, Berkeley [Afterword: Will Human Rights Education Be Decolonizing? Bringing Human Rights Education to US Classrooms, 225–235. doi:10.1057/9781137471130_13 ] //rm</w:t>
      </w:r>
    </w:p>
    <w:p w:rsidR="005027D7" w:rsidRPr="00292257" w:rsidRDefault="005027D7" w:rsidP="005027D7">
      <w:pPr>
        <w:rPr>
          <w:sz w:val="16"/>
        </w:rPr>
      </w:pPr>
      <w:r w:rsidRPr="00292257">
        <w:rPr>
          <w:sz w:val="16"/>
        </w:rPr>
        <w:t xml:space="preserve">This book leads us to this question, to this edge, about what human rights education (HRE) will do in a world of empire. The voices in this book whispered, and sometimes shouted, descriptions of human rights beyond the current legal definitions of human rights. They described the intimate, personal, and profound rights to a heartbeat, to a self-determined future, to a sexuality, a culture, a language, and an intact being—“the basic right to be who you are” in Olga Talamante’s words (Foreword, this book). These diminutive yet profound human rights are real and real important. </w:t>
      </w:r>
      <w:r w:rsidRPr="00292257">
        <w:rPr>
          <w:rStyle w:val="StyleUnderline"/>
        </w:rPr>
        <w:t>Human Rights are related yet not the same: they are a legal promise that one day all people will have the entitlements that only the privileged enjoy.</w:t>
      </w:r>
      <w:r w:rsidRPr="00292257">
        <w:rPr>
          <w:sz w:val="16"/>
        </w:rPr>
        <w:t xml:space="preserve"> While reading this book, the edge between human and the Human kept appearing for me at the borders between the personal and powerful nation-state formations like the United States and the United Nations. Talamante’s organizing for the tortured and disappeared in Argentina, and Durán’s discussion of the UN human rights mission in Haiti (chapter 7, this book), teaches us that sometimes the promise-makers must be kept at arms reach. Too often, if not always, </w:t>
      </w:r>
      <w:r w:rsidRPr="00292257">
        <w:rPr>
          <w:rStyle w:val="StyleUnderline"/>
        </w:rPr>
        <w:t>the very powers that enforce Human Rights are the human rights violators</w:t>
      </w:r>
      <w:r w:rsidRPr="00292257">
        <w:rPr>
          <w:sz w:val="16"/>
        </w:rPr>
        <w:t xml:space="preserve">, as felt so keenly by the Black Panther Party SF8 (Blundell, chapter 3, this book). </w:t>
      </w:r>
      <w:r w:rsidRPr="00292257">
        <w:rPr>
          <w:rStyle w:val="StyleUnderline"/>
        </w:rPr>
        <w:t xml:space="preserve">The violators can be invisible, hidden behind structures of violation. Sometimes we may gain some human entitlements by gaining access to structures that violate, “humiliate and mutilate” </w:t>
      </w:r>
      <w:r w:rsidRPr="00292257">
        <w:rPr>
          <w:sz w:val="16"/>
        </w:rPr>
        <w:t xml:space="preserve">someone else elsewhere, to draw on the words of Malcolm X (1964b, p. 75). </w:t>
      </w:r>
      <w:r w:rsidRPr="00292257">
        <w:rPr>
          <w:rStyle w:val="StyleUnderline"/>
        </w:rPr>
        <w:t>This book illuminates human rights contradictions. How is it that everyone is supposed to have them, yet the reality is that most people do not? How is that the United Nations guarantees them, but the United Nations violates them</w:t>
      </w:r>
      <w:r w:rsidRPr="00292257">
        <w:rPr>
          <w:rStyle w:val="Emphasis"/>
        </w:rPr>
        <w:t>? These contradictions must be confounding for students.</w:t>
      </w:r>
      <w:r w:rsidRPr="00292257">
        <w:rPr>
          <w:sz w:val="16"/>
        </w:rPr>
        <w:t xml:space="preserve"> For me, the roots of these contradictions lie in the modern condition, which is a colonial condition. </w:t>
      </w:r>
      <w:r w:rsidRPr="00292257">
        <w:rPr>
          <w:rStyle w:val="StyleUnderline"/>
        </w:rPr>
        <w:t>Decolonizing education stems from traditions of interrogating one’s colonial condition as a local problem and a world problem at onc</w:t>
      </w:r>
      <w:r w:rsidRPr="00292257">
        <w:rPr>
          <w:sz w:val="16"/>
        </w:rPr>
        <w:t>e. Ruth Wilson Gilmore (2014) says it is the Black Radical Tradition, drawing on the words of Cedric Robinson and on the life of Harriet Tubman. For Gilmore, this tradition “has accumulated since the first instant that chattel slavery came into being” (p. 232). Not just limited to people of African descent, the Black Radical Tradition is shorthand for freedom fighting and freedom dreaming that is lifetimes long, for which “the survival of the collective is the purpose of life . . . our lives should unroll as a narrative of freedom” (p. 232). Decolonizing education also stems from Indigenous survivance—life narratives of vitality and active presence beyond naked survival (Vizenor, 1999). Linda Tuhiwai Smith (1999) states that for now, the decolonizing imperatives before Indigenous communities are clear: “the survival of peoples, cultures, languages; the struggle to become self-determining, the need to take back control of our destinies” (p. 142). Because colonialism is vested in the settlement of Indigenous lands, and the enslavement of Indigenous people-turned-property, then to decolonize is to unsettle Indigenous lands and to abolish slavery, that is, to abolish the carving of land/people into pieces of property (Spillers, 1987; Tuck and Yang, 2012). So on the surface, decolonizing and HRE may seem perfectly compatible</w:t>
      </w:r>
      <w:r w:rsidRPr="00292257">
        <w:rPr>
          <w:rStyle w:val="Emphasis"/>
        </w:rPr>
        <w:t xml:space="preserve">. However, the legal concept of “Human” has continued to mean a settler and a property owner whose “Rights” to land, life, and liberty are actually entitlements enforced by settler nation-states. </w:t>
      </w:r>
      <w:r w:rsidRPr="00292257">
        <w:rPr>
          <w:rStyle w:val="StyleUnderline"/>
        </w:rPr>
        <w:t>For people of color in the United States, achieving human status has historically meant to masquerade as propertied settlers</w:t>
      </w:r>
      <w:r w:rsidRPr="00292257">
        <w:rPr>
          <w:sz w:val="16"/>
        </w:rPr>
        <w:t xml:space="preserve">. Consider the US Supreme Court civil rights cases of Takao Ozawa (1922) and Bhagat Singh Thind (1923). Each appealed for rights by actually suing for status as a white propertied man. </w:t>
      </w:r>
      <w:r w:rsidRPr="00292257">
        <w:rPr>
          <w:rStyle w:val="StyleUnderline"/>
        </w:rPr>
        <w:t xml:space="preserve">Human status might provide a pathway toward human rights. But </w:t>
      </w:r>
      <w:r w:rsidRPr="00292257">
        <w:rPr>
          <w:rStyle w:val="Emphasis"/>
        </w:rPr>
        <w:t>achieving it may require you to act like “the man”:</w:t>
      </w:r>
      <w:r w:rsidRPr="00292257">
        <w:rPr>
          <w:rStyle w:val="StyleUnderline"/>
        </w:rPr>
        <w:t xml:space="preserve"> </w:t>
      </w:r>
      <w:r w:rsidRPr="00292257">
        <w:rPr>
          <w:rStyle w:val="Emphasis"/>
        </w:rPr>
        <w:t>anti-black, anti-Indigenous, pro-empire, and prosettler</w:t>
      </w:r>
      <w:r w:rsidRPr="00292257">
        <w:rPr>
          <w:rStyle w:val="StyleUnderline"/>
        </w:rPr>
        <w:t>. In</w:t>
      </w:r>
      <w:r w:rsidRPr="00292257">
        <w:rPr>
          <w:sz w:val="16"/>
        </w:rPr>
        <w:t xml:space="preserve"> </w:t>
      </w:r>
      <w:r w:rsidRPr="00292257">
        <w:rPr>
          <w:rStyle w:val="StyleUnderline"/>
        </w:rPr>
        <w:t>this way, settler nations offer a seductive way for you or I to solve an individual problem of nonhuman status: become a settler.</w:t>
      </w:r>
      <w:r w:rsidRPr="00292257">
        <w:rPr>
          <w:sz w:val="16"/>
        </w:rPr>
        <w:t xml:space="preserve"> But this won’t solve the collective problem of colonialism. </w:t>
      </w:r>
      <w:r w:rsidRPr="00292257">
        <w:rPr>
          <w:rStyle w:val="StyleUnderline"/>
        </w:rPr>
        <w:t>For HRE to be decolonizing depends on our willingness to denaturalize the category of Human</w:t>
      </w:r>
      <w:r w:rsidRPr="00292257">
        <w:rPr>
          <w:sz w:val="16"/>
        </w:rPr>
        <w:t xml:space="preserve">, to practice red pedagogy (Grande, 2004) as an alternative to critical pedagogy (Freire, 2000). Whereas critical pedagogy highlights the human as the unit of liberation, a red pedagogy already understands how the human cannot be exceptionalized from land, water, and from “nature.” A red pedagogy interrogates human rights vis-a-vis Indigenous land rights. We might start by </w:t>
      </w:r>
      <w:r w:rsidRPr="00292257">
        <w:rPr>
          <w:sz w:val="16"/>
        </w:rPr>
        <w:lastRenderedPageBreak/>
        <w:t>contrasting the Universal Declaration of Human Rights (UDHR) with the United Nations Declaration on the Rights of Indigenous Peoples (UNDRIP). We might proceed by following the ghost of Malcolm X.</w:t>
      </w:r>
    </w:p>
    <w:p w:rsidR="005027D7" w:rsidRPr="00292257" w:rsidRDefault="005027D7" w:rsidP="005027D7">
      <w:pPr>
        <w:pStyle w:val="Heading3"/>
      </w:pPr>
      <w:r w:rsidRPr="00292257">
        <w:lastRenderedPageBreak/>
        <w:t>Decolonization</w:t>
      </w:r>
    </w:p>
    <w:p w:rsidR="005027D7" w:rsidRPr="00292257" w:rsidRDefault="00E74220" w:rsidP="005027D7">
      <w:pPr>
        <w:pStyle w:val="Heading4"/>
      </w:pPr>
      <w:r w:rsidRPr="00292257">
        <w:t>The affirmative is a mythic project of</w:t>
      </w:r>
      <w:r w:rsidR="005027D7" w:rsidRPr="00292257">
        <w:t xml:space="preserve"> decolonization </w:t>
      </w:r>
      <w:r w:rsidRPr="00292257">
        <w:t>that reifies post-colonial, capitalist violence</w:t>
      </w:r>
    </w:p>
    <w:p w:rsidR="005027D7" w:rsidRPr="00292257" w:rsidRDefault="005027D7" w:rsidP="005027D7">
      <w:r w:rsidRPr="00292257">
        <w:rPr>
          <w:rStyle w:val="Style13ptBold"/>
        </w:rPr>
        <w:t>Kelley</w:t>
      </w:r>
      <w:r w:rsidRPr="00292257">
        <w:t xml:space="preserve">, </w:t>
      </w:r>
      <w:r w:rsidRPr="00292257">
        <w:rPr>
          <w:rStyle w:val="Style13ptBold"/>
        </w:rPr>
        <w:t>17</w:t>
      </w:r>
    </w:p>
    <w:p w:rsidR="005027D7" w:rsidRPr="00292257" w:rsidRDefault="005027D7" w:rsidP="005027D7">
      <w:pPr>
        <w:rPr>
          <w:sz w:val="16"/>
          <w:szCs w:val="16"/>
        </w:rPr>
      </w:pPr>
      <w:r w:rsidRPr="00292257">
        <w:rPr>
          <w:sz w:val="16"/>
          <w:szCs w:val="16"/>
        </w:rPr>
        <w:t>Robin Kelley Distinguished Professor of History &amp; Gary B. Nash Endowed Chair in United States History. Ph.D. American History, UCLA. His research has explored the history of social movements in the U.S., the African Diaspora, and Africa; black intellectuals; music; visual culture; contemporary urban studies; historiography and historical theory; poverty studies and ethnography; colonialism/imperialism; organized labor; constructions of race; Surrealism, Marxism, nationalism, among other things. His essays have appeared in a wide variety of professional journals as well as general publications. “The Rest of Us: Rethinking Settler and Native” in Project Muse American Quarterly, Volume 69, Number 2, June 2017 //JC</w:t>
      </w:r>
    </w:p>
    <w:p w:rsidR="005027D7" w:rsidRPr="00292257" w:rsidRDefault="005027D7" w:rsidP="005027D7">
      <w:pPr>
        <w:rPr>
          <w:sz w:val="16"/>
        </w:rPr>
      </w:pPr>
      <w:r w:rsidRPr="00292257">
        <w:rPr>
          <w:rStyle w:val="StyleUnderline"/>
        </w:rPr>
        <w:t xml:space="preserve">A trade depression in the 1770s followed by defeats in a series of frontier wars with the Xhosa people adversely affected Cape farmers, who, in keeping with the era of bourgeois democratic revolutions, demanded free trade and an end to the Dutch East India Company’s monopoly. Ultimately, the British seized Cape Colony with the support of the Afrikaner settler population, but the decimation of the Khoikhoi population and the abolition of the slave trade in 1807 only exacerbated the ongoing labor shortage. </w:t>
      </w:r>
      <w:r w:rsidRPr="00292257">
        <w:rPr>
          <w:sz w:val="16"/>
        </w:rPr>
        <w:t xml:space="preserve">They tried importing white indentured laborers, but the costs proved prohibitive, and many ran away into the interior and set up their own farms. </w:t>
      </w:r>
      <w:r w:rsidRPr="00292257">
        <w:rPr>
          <w:rStyle w:val="StyleUnderline"/>
        </w:rPr>
        <w:t>By the early nineteenth century, the Cape Colony had to create an elaborate system of coercive labor control, pass laws, and labor contracts, which became even more crucial with the abolition of slavery in the Cape in 1833. Settler expansion and the discovery of mineral wealth created</w:t>
      </w:r>
      <w:r w:rsidRPr="00292257">
        <w:rPr>
          <w:sz w:val="16"/>
        </w:rPr>
        <w:t xml:space="preserve"> three </w:t>
      </w:r>
      <w:r w:rsidRPr="00292257">
        <w:rPr>
          <w:rStyle w:val="StyleUnderline"/>
        </w:rPr>
        <w:t>more colonies</w:t>
      </w:r>
      <w:r w:rsidRPr="00292257">
        <w:rPr>
          <w:sz w:val="16"/>
        </w:rPr>
        <w:t xml:space="preserve">—Natal, Orange Free State, and the Transvaal. </w:t>
      </w:r>
      <w:r w:rsidRPr="00292257">
        <w:rPr>
          <w:rStyle w:val="StyleUnderline"/>
        </w:rPr>
        <w:t xml:space="preserve">All three were also beset with labor shortages and depended </w:t>
      </w:r>
      <w:r w:rsidRPr="00292257">
        <w:rPr>
          <w:rStyle w:val="Emphasis"/>
        </w:rPr>
        <w:t>on the coercive arm of the state to help transform indigenous Africans into a proletariat</w:t>
      </w:r>
      <w:r w:rsidRPr="00292257">
        <w:rPr>
          <w:sz w:val="16"/>
        </w:rPr>
        <w:t xml:space="preserve">. In Natal, for example, </w:t>
      </w:r>
      <w:r w:rsidRPr="00292257">
        <w:rPr>
          <w:rStyle w:val="StyleUnderline"/>
        </w:rPr>
        <w:t>the settler state introduced a system of “native locations” or reservations, designed not to sustain the population but to force people to sign long-term labor con- tracts to survive. As sugar production increased, so did the labor demands</w:t>
      </w:r>
      <w:r w:rsidRPr="00292257">
        <w:rPr>
          <w:sz w:val="16"/>
        </w:rPr>
        <w:t xml:space="preserve">, </w:t>
      </w:r>
      <w:r w:rsidRPr="00292257">
        <w:rPr>
          <w:rStyle w:val="StyleUnderline"/>
        </w:rPr>
        <w:t>compelling the British to employ what had become its global labor policy in the postabolition era</w:t>
      </w:r>
      <w:r w:rsidRPr="00292257">
        <w:rPr>
          <w:sz w:val="16"/>
        </w:rPr>
        <w:t xml:space="preserve">: import contract labor from India, China, and other parts of Asia. In the Orange Free State, </w:t>
      </w:r>
      <w:r w:rsidRPr="00292257">
        <w:rPr>
          <w:rStyle w:val="StyleUnderline"/>
        </w:rPr>
        <w:t>taxation and coercion were employed to dispossess Africans and turn them into agricultural laborers or tenant farmers. However, an enterprising African peasantry adapted to the market economy and thrived, particularly after the diamond rush to Kimberly. Because they competed with white farmers who needed labor and demanded higher prices for their goods, laws were passed prohibiting African land ownership and impos- ing more stringent systems of contract labor</w:t>
      </w:r>
      <w:r w:rsidRPr="00292257">
        <w:rPr>
          <w:sz w:val="16"/>
        </w:rPr>
        <w:t xml:space="preserve">. Likewise, commercial agriculture dominated the Transvaal economy until gold was discovered there in 1886. Mining companies and </w:t>
      </w:r>
      <w:r w:rsidRPr="00292257">
        <w:rPr>
          <w:rStyle w:val="StyleUnderline"/>
        </w:rPr>
        <w:t>white farmers conspired to pass laws prohibiting Black land ownership and squatting, and in order to ensure a racially segmented labor force, the state denied Black workers the right to strike and reserved all skilled jobs for whites only</w:t>
      </w:r>
      <w:r w:rsidRPr="00292257">
        <w:rPr>
          <w:sz w:val="16"/>
        </w:rPr>
        <w:t xml:space="preserve">. With the unification of South Africa in 1910, local policies of expropriation became the national policy, culminating in the Land Act of 1913, extending the reserve system of Natal and Cape Colony to the rest of the country. </w:t>
      </w:r>
      <w:r w:rsidRPr="00292257">
        <w:rPr>
          <w:rStyle w:val="StyleUnderline"/>
        </w:rPr>
        <w:t>The law forced Africans to live in the reserves, squeez- ing 87 percent of the population onto 13 percent of the land and ensuring a consistent flow of labor to mines and white farms.</w:t>
      </w:r>
      <w:r w:rsidRPr="00292257">
        <w:rPr>
          <w:sz w:val="16"/>
        </w:rPr>
        <w:t xml:space="preserve">9 Obviously, </w:t>
      </w:r>
      <w:r w:rsidRPr="00292257">
        <w:rPr>
          <w:rStyle w:val="StyleUnderline"/>
        </w:rPr>
        <w:t>the history of settler colonialism in South Africa is far more complex and, in fact, the rise of the Afrikaner National Party in 1948 and the introduction of apartheid, and ascent of the Rhodesian Front in southern Rhodesia in 1962, signaled a strengthening of white settler rule just as most African colonies were achieving independence. The growth in manufacturing increased US investment in mining and finance, and urbanization attracted a new wave of European immigration</w:t>
      </w:r>
      <w:r w:rsidRPr="00292257">
        <w:rPr>
          <w:sz w:val="16"/>
        </w:rPr>
        <w:t xml:space="preserve">.10 By eliding settler colonialism in Africa, </w:t>
      </w:r>
      <w:r w:rsidRPr="00292257">
        <w:rPr>
          <w:sz w:val="16"/>
        </w:rPr>
        <w:lastRenderedPageBreak/>
        <w:t xml:space="preserve">Traces of History not only fails to account for labor regimes in which the native is simultaneously “eliminated” and exploited; it forecloses a discussion of what it means to decolonize settler societies. </w:t>
      </w:r>
      <w:r w:rsidRPr="00292257">
        <w:rPr>
          <w:rStyle w:val="StyleUnderline"/>
        </w:rPr>
        <w:t>In Algeria, Kenya, and Mozambique, decolonization involved the withdrawal of settlers who had never intended to leave, whereas in Zimbabwe and South Africa the white settler population continues to exist but no lon- ger rules. Whether the structure of settler colonialism persists or can ever be fully dismantled is a critical source of debate in the historiography.</w:t>
      </w:r>
      <w:r w:rsidRPr="00292257">
        <w:rPr>
          <w:sz w:val="16"/>
        </w:rPr>
        <w:t xml:space="preserve"> “If settler colonization,” Veracini writes, “is an ultimate colonising act where settlers envisage no return, settler colonialism still tells a story of either total victory or total failure. Discontinuing settler colonial forms requires conceptual frames and supporting narratives of reconciliation that have yet to be fully developed and narrated. </w:t>
      </w:r>
      <w:r w:rsidRPr="00292257">
        <w:rPr>
          <w:rStyle w:val="StyleUnderline"/>
        </w:rPr>
        <w:t>Nation building in formerly colonized contexts can be difficult, but at least it can be conceptualized; enacting genuine postsettler passages in white settler nations is another matter</w:t>
      </w:r>
      <w:r w:rsidRPr="00292257">
        <w:rPr>
          <w:sz w:val="16"/>
        </w:rPr>
        <w:t xml:space="preserve">.”11 The question, in other words, is far from being resolved, especially if we understand decolonization as a process rather than an event. In South Africa, decolonization was not achieved with the election of Nelson Mandela; it is an ongoing process requiring truth and reconciliation. For others, decolonization is envisioned in the African National Congress’s (ANC) 1955 Freedom Charter, which adopts a socialist vision of restoring the land and wealth to the people, an industrial democracy based on the nationalization of resources and shared governance. </w:t>
      </w:r>
      <w:r w:rsidRPr="00292257">
        <w:rPr>
          <w:rStyle w:val="StyleUnderline"/>
        </w:rPr>
        <w:t>There is also a neoliberal version of decolonization based on a multicultural framework of tolerating difference and equal political rights for all, but as Veracini argues, it “allows for an expanded definition of who can claim belonging to the settler body politic that leaves settler colonial structures unchallenged</w:t>
      </w:r>
      <w:r w:rsidRPr="00292257">
        <w:rPr>
          <w:sz w:val="16"/>
        </w:rPr>
        <w:t xml:space="preserve">.”12 What about Europe? If settlers always come from elsewhere, how far is else- where? Can we think about the legacies of settler colonialism in Europe itself? In Black Marxism, Robinson argues that racialization within Europe was very much a colonial process—one involving invasion, settlement, expropriation, and racial hierarchy. He reminds us that driving German colonization of central Europe and “Slavic” territories was the ideology of herrenvolk, which “explained the inevitability and the naturalness of the domination of some Europeans by other Europeans.”13 He argues that modern European nationalism was bound up with these racialist myths—herrenvolk, Anglo-Saxonism, Celtism, Aryan and Nordic myths, and so forth, and that the </w:t>
      </w:r>
      <w:r w:rsidRPr="00292257">
        <w:rPr>
          <w:rStyle w:val="StyleUnderline"/>
        </w:rPr>
        <w:t xml:space="preserve">history of colonialism begins in Europe—and continues in Europe well after New World settler colonialism, well after the Berlin Conference, and is a principal feature in both world wars. </w:t>
      </w:r>
      <w:r w:rsidRPr="00292257">
        <w:rPr>
          <w:sz w:val="16"/>
        </w:rPr>
        <w:t>Robinson illustrates his point by examining the shifting, and increasingly violent, character of English colonization of Ireland in the late sixteenth and early seventeenth centuries. Planters and farmers from Scotland and the western counties of England settled large swaths of land—by some estimates 260,000 Protestant colonists—followed by the rebellion of 1641 and deepening repres- sion of the Irish (known as the Penal Era). What he describes echoes Wolfe’s descriptions of the racialization of indigenous peoples by dispossession, except they cannot be entirely disappeared. Those who are not killed are dispersed, often ending up as indentures on ships to the New World or migrant labor on the English mainland. Robinson observes that these historical experiences shaped Irish nationalism and determined the Irish relationship with their Eng- lish working-class counterparts. And he goes on to show how the Irish came to be understood as “an inferior race.” The main point, as Robinson puts it, is that “</w:t>
      </w:r>
      <w:r w:rsidRPr="00292257">
        <w:rPr>
          <w:rStyle w:val="StyleUnderline"/>
        </w:rPr>
        <w:t>the tendency of European civilization through capitalism was thus not to homogenize but to differentiate—to exaggerate regional, subcultural, and dialectical differences into ‘racial’ ones</w:t>
      </w:r>
      <w:r w:rsidRPr="00292257">
        <w:rPr>
          <w:sz w:val="16"/>
        </w:rPr>
        <w:t xml:space="preserve">.”14 But here Wolfe would disagree with Robinson. Though both Robinson and Wolfe treat race as a “trace history,” the former pushes the genesis of racialism much earlier, even before the first signs of merchant capital in the thirteenth century, whereas the latter (Wolfe) sees race as “a distinctive configuration of ideological elements that we do not find configured in this way before the late eighteenth century.” For Wolfe, </w:t>
      </w:r>
      <w:r w:rsidRPr="00292257">
        <w:rPr>
          <w:rStyle w:val="StyleUnderline"/>
        </w:rPr>
        <w:t>race comes into being “with the shift from mercantilism to an industrial economy, which transformed colonial social organisation in the century following the Enlightenment</w:t>
      </w:r>
      <w:r w:rsidRPr="00292257">
        <w:rPr>
          <w:sz w:val="16"/>
        </w:rPr>
        <w:t xml:space="preserve">.” The problem with this formulation, of course, is that it will almost always see the enactment of race making occurring outside Europe, by way of encoun- tering the other, and the idea of race a product of Enlightenment rationality and scientific classification, rather than see both processes as deeply embedded in Western civilization. </w:t>
      </w:r>
      <w:r w:rsidRPr="00292257">
        <w:rPr>
          <w:rStyle w:val="StyleUnderline"/>
        </w:rPr>
        <w:t>This bifurcation separates or occludes the processes of dispossession, racialization, and colonization within Europe from the settler colonial project</w:t>
      </w:r>
      <w:r w:rsidRPr="00292257">
        <w:rPr>
          <w:sz w:val="16"/>
        </w:rPr>
        <w:t xml:space="preserve">. To be clear, I am not suggesting that Robinson treats racializa- tion as transhistorical, fixed over time; rather, for him, it is extremely unstable and always changing. And he, too, traces the genesis of modern racism to the eighteenth century.15 In fact, Robinson insists that while the power of racial regimes is real and formidable, they are surprisingly unstable. He writes: “The covering conceit of a racial regime is a makeshift patchwork masquerading as memory and the immutable. Nevertheless, racial regimes do possess history, that is, discernible origins and mechanisms of assembly. But racial regimes are unrelentingly hostile to their exhibition.”16 This is the sort of history Patrick Wolfe begins to write in Traces of History, and he does so brilliantly. But I do think it demands a wider geographic optic. </w:t>
      </w:r>
      <w:r w:rsidRPr="00292257">
        <w:rPr>
          <w:rStyle w:val="StyleUnderline"/>
        </w:rPr>
        <w:t xml:space="preserve">The study of settler colonialism in Africa avoids the tendency to reduce Africans to the category of slave </w:t>
      </w:r>
      <w:r w:rsidRPr="00292257">
        <w:rPr>
          <w:rStyle w:val="StyleUnderline"/>
        </w:rPr>
        <w:lastRenderedPageBreak/>
        <w:t>labor, to ignore how the principle of terra nullius was applied to parts of Africa, and challenges the assertion that settlers want land and not indigenous labor, or that settler rule is almost indestructible.</w:t>
      </w:r>
      <w:r w:rsidRPr="00292257">
        <w:rPr>
          <w:sz w:val="16"/>
        </w:rPr>
        <w:t xml:space="preserve"> </w:t>
      </w:r>
      <w:r w:rsidRPr="00292257">
        <w:rPr>
          <w:rStyle w:val="StyleUnderline"/>
        </w:rPr>
        <w:t>And to turn the lens to settler regimes inside Europe may help us understand the dynamic and shifting categories of class—or how it is possible to move from native to colonized, to dispossessed, to proletarian, to unfree laborer, to settler (and from “Black” to “white”) in a single generation</w:t>
      </w:r>
      <w:r w:rsidRPr="00292257">
        <w:rPr>
          <w:sz w:val="16"/>
        </w:rPr>
        <w:t xml:space="preserve">. </w:t>
      </w:r>
    </w:p>
    <w:p w:rsidR="003377F8" w:rsidRPr="00292257" w:rsidRDefault="003377F8" w:rsidP="005027D7">
      <w:pPr>
        <w:pStyle w:val="Heading3"/>
      </w:pPr>
      <w:r w:rsidRPr="00292257">
        <w:lastRenderedPageBreak/>
        <w:t>Extinction</w:t>
      </w:r>
    </w:p>
    <w:p w:rsidR="00310FE2" w:rsidRPr="00292257" w:rsidRDefault="00310FE2" w:rsidP="00310FE2">
      <w:pPr>
        <w:pStyle w:val="Heading4"/>
      </w:pPr>
      <w:r w:rsidRPr="00292257">
        <w:t>Colonial IR justifies extermination – their invocation of human extinction is an ideological move to absolve us of responsibility for the consequences of imperialism</w:t>
      </w:r>
    </w:p>
    <w:p w:rsidR="00310FE2" w:rsidRPr="00292257" w:rsidRDefault="00310FE2" w:rsidP="00310FE2">
      <w:r w:rsidRPr="00292257">
        <w:rPr>
          <w:rStyle w:val="Style13ptBold"/>
        </w:rPr>
        <w:t>Saurin 06</w:t>
      </w:r>
      <w:r w:rsidRPr="00292257">
        <w:rPr>
          <w:rStyle w:val="Style13ptBold"/>
        </w:rPr>
        <w:t xml:space="preserve"> </w:t>
      </w:r>
      <w:r w:rsidRPr="00292257">
        <w:t>(Julian Saurin, B.S., University of Southampton, Ph.D., University of Southampton Associate Professor of IR and Poly Sci “International Relations as the Imperial Illusion; or, the Need to Decolonize IR in Decolonizing International Relations” 2006)</w:t>
      </w:r>
    </w:p>
    <w:p w:rsidR="00310FE2" w:rsidRPr="00292257" w:rsidRDefault="00310FE2" w:rsidP="00310FE2">
      <w:pPr>
        <w:rPr>
          <w:sz w:val="16"/>
        </w:rPr>
      </w:pPr>
      <w:r w:rsidRPr="00292257">
        <w:rPr>
          <w:sz w:val="16"/>
        </w:rPr>
        <w:t xml:space="preserve">Whatever the paucity of references to or uses of the history of the colonized (subaltern and otherwise dispossessed), </w:t>
      </w:r>
      <w:r w:rsidRPr="00292257">
        <w:rPr>
          <w:bCs/>
          <w:szCs w:val="26"/>
          <w:u w:val="single"/>
        </w:rPr>
        <w:t>IR scholarship is able to present the colonized as much through omission and unspoken assumption as by direct reference.</w:t>
      </w:r>
      <w:r w:rsidRPr="00292257">
        <w:rPr>
          <w:sz w:val="16"/>
        </w:rPr>
        <w:t xml:space="preserve"> There are four principal (and no doubt complementary) paths one can take in exposing the nature and effects of these omissions and assumptions. First, there is the general critique of Eurocentrism in which </w:t>
      </w:r>
      <w:r w:rsidRPr="00292257">
        <w:rPr>
          <w:bCs/>
          <w:szCs w:val="26"/>
          <w:u w:val="single"/>
        </w:rPr>
        <w:t>the</w:t>
      </w:r>
      <w:r w:rsidRPr="00292257">
        <w:rPr>
          <w:sz w:val="16"/>
        </w:rPr>
        <w:t xml:space="preserve"> now global dominance, indeed </w:t>
      </w:r>
      <w:r w:rsidRPr="00292257">
        <w:rPr>
          <w:bCs/>
          <w:szCs w:val="26"/>
          <w:u w:val="single"/>
        </w:rPr>
        <w:t>intellectual hegemony, of</w:t>
      </w:r>
      <w:r w:rsidRPr="00292257">
        <w:rPr>
          <w:sz w:val="16"/>
        </w:rPr>
        <w:t xml:space="preserve"> the European "</w:t>
      </w:r>
      <w:r w:rsidRPr="00292257">
        <w:rPr>
          <w:bCs/>
          <w:szCs w:val="26"/>
          <w:u w:val="single"/>
        </w:rPr>
        <w:t>enlightenment" social scientific traditions has effected the silencing or permanent subordination of subaltern knowledge</w:t>
      </w:r>
      <w:r w:rsidRPr="00292257">
        <w:rPr>
          <w:sz w:val="16"/>
        </w:rPr>
        <w:t xml:space="preserve">, including historical knowledge. Here, "subaltern" and "colonized" are synonymous. Second, there is the profoundly important critique of "oriental ism" in which the Western imagination tells us little or nothing about "the rest" but everything about the West. Here, " nothing" and "the rest" are synonymous. Third, there is the recording, tracing, and critique of </w:t>
      </w:r>
      <w:r w:rsidRPr="00292257">
        <w:rPr>
          <w:bCs/>
          <w:szCs w:val="26"/>
          <w:u w:val="single"/>
        </w:rPr>
        <w:t>the profound political economic inequalities that were generated by colonial (or imperial) international order and that</w:t>
      </w:r>
      <w:r w:rsidRPr="00292257">
        <w:rPr>
          <w:sz w:val="16"/>
        </w:rPr>
        <w:t xml:space="preserve"> have </w:t>
      </w:r>
      <w:r w:rsidRPr="00292257">
        <w:rPr>
          <w:bCs/>
          <w:szCs w:val="26"/>
          <w:u w:val="single"/>
        </w:rPr>
        <w:t xml:space="preserve">resulted in the </w:t>
      </w:r>
      <w:r w:rsidRPr="00292257">
        <w:rPr>
          <w:b/>
          <w:bCs/>
          <w:szCs w:val="26"/>
          <w:u w:val="single"/>
        </w:rPr>
        <w:t>perennial extermination</w:t>
      </w:r>
      <w:r w:rsidRPr="00292257">
        <w:rPr>
          <w:bCs/>
          <w:szCs w:val="26"/>
          <w:u w:val="single"/>
        </w:rPr>
        <w:t xml:space="preserve"> of the colonized</w:t>
      </w:r>
      <w:r w:rsidRPr="00292257">
        <w:rPr>
          <w:sz w:val="16"/>
        </w:rPr>
        <w:t xml:space="preserve">. Here, "colonial order" and "inequality" are synonymous. Finally, one could demonstrate the contradiction, partiality, differentiation, and inconsistency of ostensibly universalist doctrines, most obviously of human rights and human equality, in the constitution of the colonial (or imperial) order. Here, "partiality" and "universality" are synonymous. The removal or discounting of the subordinated from their own history is secured often through the simplest of techniques, such as in the repetition of simple phrases. Thus, in his critical assessment of Said's work, Bruce Robbins takes Disraeli's imperial dictum that "the East is a career" and comments that his phrase is briefly and brilliantly offensive. Activating the convention by which an empty, immobile point on the compass is held capable of condensing millions of undescribed personal destinies, the sentence equates these missing millions with a single individual 's rising curve of professional accomplishment. The individual who is to enjoy the career is elided, as if in pretense of equal exchange for the elision of the colossal human diversity that is to be its raw material; in the space of symmetrical impersonality thus cleared , the static East can be spurred into movement, metamorphosed into the kinesis of a (Western) '·pursuit.,,25 So, in a phrase, is captured the essence of imperial administration and the attitude to subject peoples. And </w:t>
      </w:r>
      <w:r w:rsidRPr="00292257">
        <w:rPr>
          <w:bCs/>
          <w:szCs w:val="26"/>
          <w:u w:val="single"/>
        </w:rPr>
        <w:t>it is the task of overturning a deep and long established attitude that any call for decolonizing lR must face</w:t>
      </w:r>
      <w:r w:rsidRPr="00292257">
        <w:rPr>
          <w:sz w:val="16"/>
        </w:rPr>
        <w:t xml:space="preserve"> . This attitude in fact tells the story of Western supremacy-its historical and historiographical evolution- by presupposing Western supremacism. Guha identifies the problem clearly when he counterposes Hegel's characterization of world history with what is historically entailed in the production of that world history. Thus, quoting Hegel, world history moves on a higher plane than that to which morality properly belongs .... The deeds of great men who are individuals of world history . .. appear justified not only in their inner significance ... but also in a secular sense.26 In this way, the historical function and purpose of the imperial nation or state is presented as already peculiar and elevated and not prone to the limiting conditions and considerations that characterize the subordinate. What does this abstraction mean concretely? </w:t>
      </w:r>
      <w:r w:rsidRPr="00292257">
        <w:rPr>
          <w:bCs/>
          <w:szCs w:val="26"/>
          <w:u w:val="single"/>
        </w:rPr>
        <w:t>Imperialism is author of history, author of law, author of historical subject, author of indictment, author of judgment.</w:t>
      </w:r>
      <w:r w:rsidRPr="00292257">
        <w:rPr>
          <w:sz w:val="16"/>
        </w:rPr>
        <w:t xml:space="preserve"> For example, "</w:t>
      </w:r>
      <w:r w:rsidRPr="00292257">
        <w:rPr>
          <w:bCs/>
          <w:szCs w:val="26"/>
          <w:u w:val="single"/>
        </w:rPr>
        <w:t xml:space="preserve">By </w:t>
      </w:r>
      <w:r w:rsidRPr="00292257">
        <w:rPr>
          <w:b/>
          <w:bCs/>
          <w:szCs w:val="26"/>
          <w:u w:val="single"/>
        </w:rPr>
        <w:t>inventing a universal humanity</w:t>
      </w:r>
      <w:r w:rsidRPr="00292257">
        <w:rPr>
          <w:bCs/>
          <w:szCs w:val="26"/>
          <w:u w:val="single"/>
        </w:rPr>
        <w:t xml:space="preserve"> and endowing this juridical abstraction with inalienable rights, it absolved Europe of crimes both past and future</w:t>
      </w:r>
      <w:r w:rsidRPr="00292257">
        <w:rPr>
          <w:sz w:val="16"/>
        </w:rPr>
        <w:t xml:space="preserve"> ," Bess is opines before asking whether "</w:t>
      </w:r>
      <w:r w:rsidRPr="00292257">
        <w:rPr>
          <w:bCs/>
          <w:szCs w:val="26"/>
          <w:u w:val="single"/>
        </w:rPr>
        <w:t>Enlightenment thought, like storm-bearing Clouds, already carries future horrors within it, formulating the limits of universality in such a way as to make Europe its sole guardian</w:t>
      </w:r>
      <w:r w:rsidRPr="00292257">
        <w:rPr>
          <w:sz w:val="16"/>
        </w:rPr>
        <w:t xml:space="preserve">?"27 Correspondingly, Guha argues that </w:t>
      </w:r>
      <w:r w:rsidRPr="00292257">
        <w:rPr>
          <w:bCs/>
          <w:szCs w:val="26"/>
          <w:u w:val="single"/>
        </w:rPr>
        <w:t xml:space="preserve">from the point of view of those left out of World-history this advice amounts to </w:t>
      </w:r>
      <w:r w:rsidRPr="00292257">
        <w:rPr>
          <w:b/>
          <w:bCs/>
          <w:szCs w:val="26"/>
          <w:u w:val="single"/>
        </w:rPr>
        <w:t>condoning</w:t>
      </w:r>
      <w:r w:rsidRPr="00292257">
        <w:rPr>
          <w:bCs/>
          <w:szCs w:val="26"/>
          <w:u w:val="single"/>
        </w:rPr>
        <w:t xml:space="preserve"> </w:t>
      </w:r>
      <w:r w:rsidRPr="00292257">
        <w:rPr>
          <w:bCs/>
          <w:sz w:val="16"/>
          <w:szCs w:val="26"/>
        </w:rPr>
        <w:t>precisely such</w:t>
      </w:r>
      <w:r w:rsidRPr="00292257">
        <w:rPr>
          <w:sz w:val="16"/>
        </w:rPr>
        <w:t xml:space="preserve"> " world-hi storical deeds"-</w:t>
      </w:r>
      <w:r w:rsidRPr="00292257">
        <w:rPr>
          <w:bCs/>
          <w:szCs w:val="26"/>
          <w:u w:val="single"/>
        </w:rPr>
        <w:t xml:space="preserve">the </w:t>
      </w:r>
      <w:r w:rsidRPr="00292257">
        <w:rPr>
          <w:b/>
          <w:bCs/>
          <w:szCs w:val="26"/>
          <w:u w:val="single"/>
        </w:rPr>
        <w:t>rape of continents, the destruction of cultures, the poisoning of the environment</w:t>
      </w:r>
      <w:r w:rsidRPr="00292257">
        <w:rPr>
          <w:sz w:val="16"/>
        </w:rPr>
        <w:t>-as helpe</w:t>
      </w:r>
      <w:r w:rsidRPr="00292257">
        <w:rPr>
          <w:bCs/>
          <w:szCs w:val="26"/>
          <w:u w:val="single"/>
        </w:rPr>
        <w:t>d " the great men who [were] the individuals of world history" to build empires and trap their subject populations</w:t>
      </w:r>
      <w:r w:rsidRPr="00292257">
        <w:rPr>
          <w:sz w:val="16"/>
        </w:rPr>
        <w:t xml:space="preserve"> in what in the pseudo-historical language of imperialism could describe as Prehistory.28 </w:t>
      </w:r>
      <w:r w:rsidRPr="00292257">
        <w:rPr>
          <w:bCs/>
          <w:szCs w:val="26"/>
          <w:u w:val="single"/>
        </w:rPr>
        <w:t xml:space="preserve">Imperial rule makes itself known as imperial rule through the power of universalizing its own story and </w:t>
      </w:r>
      <w:r w:rsidRPr="00292257">
        <w:rPr>
          <w:b/>
          <w:bCs/>
          <w:szCs w:val="26"/>
          <w:u w:val="single"/>
        </w:rPr>
        <w:t>self-validating its own story</w:t>
      </w:r>
      <w:r w:rsidRPr="00292257">
        <w:rPr>
          <w:sz w:val="16"/>
        </w:rPr>
        <w:t xml:space="preserve">. </w:t>
      </w:r>
      <w:r w:rsidRPr="00292257">
        <w:rPr>
          <w:sz w:val="16"/>
        </w:rPr>
        <w:lastRenderedPageBreak/>
        <w:t>The twin of this is to deprive the subordinated of the capacity to tell their own story and to determine an alternative legitimation and self-validation. (33-4)</w:t>
      </w:r>
    </w:p>
    <w:p w:rsidR="003377F8" w:rsidRPr="00292257" w:rsidRDefault="003377F8" w:rsidP="003377F8">
      <w:pPr>
        <w:pStyle w:val="Heading4"/>
        <w:rPr>
          <w:rFonts w:eastAsia="MS Gothic" w:cs="Times New Roman"/>
        </w:rPr>
      </w:pPr>
      <w:r w:rsidRPr="00292257">
        <w:rPr>
          <w:rFonts w:eastAsia="MS Gothic" w:cs="Times New Roman"/>
        </w:rPr>
        <w:t>The aff’s spectacularized claims of extinction are an act of settler futurity that hide the ongoing violence of settler colonialism</w:t>
      </w:r>
    </w:p>
    <w:p w:rsidR="003377F8" w:rsidRPr="00292257" w:rsidRDefault="003377F8" w:rsidP="003377F8">
      <w:pPr>
        <w:spacing w:after="0" w:line="240" w:lineRule="auto"/>
        <w:rPr>
          <w:rFonts w:ascii="Times New Roman" w:hAnsi="Times New Roman" w:cs="Times New Roman"/>
          <w:sz w:val="24"/>
        </w:rPr>
      </w:pPr>
      <w:r w:rsidRPr="00292257">
        <w:rPr>
          <w:rStyle w:val="Style13ptBold"/>
        </w:rPr>
        <w:t>Dalley 16</w:t>
      </w:r>
      <w:r w:rsidRPr="00292257">
        <w:t xml:space="preserve"> </w:t>
      </w:r>
      <w:r w:rsidRPr="00292257">
        <w:t>Dr. Hamish Dalley is an assistant professor of English at Daemen College and teaches in the areas of ancient and modern world literature, contemporary literatures from South Asia, Africa, and the Caribbean, first-year writing and literature, and postcolonial studies. He also serves on the college’s Council for Diversity and Inclusion and the Global Education Task Force.</w:t>
      </w:r>
      <w:r w:rsidRPr="00292257">
        <w:t xml:space="preserve"> “The deaths of settler colonialism: extinction as a metaphor of decolonization in contemporary settler literature”, Settler Colonial Studies. 2016. </w:t>
      </w:r>
    </w:p>
    <w:p w:rsidR="003377F8" w:rsidRPr="00292257" w:rsidRDefault="003377F8" w:rsidP="003377F8">
      <w:pPr>
        <w:rPr>
          <w:rFonts w:eastAsia="Calibri" w:cs="Times New Roman"/>
          <w:u w:val="single"/>
        </w:rPr>
      </w:pPr>
      <w:r w:rsidRPr="00292257">
        <w:rPr>
          <w:rFonts w:eastAsia="Calibri" w:cs="Times New Roman"/>
          <w:u w:val="single"/>
        </w:rPr>
        <w:t>Settlers love to contemplate the possibility of their own extinction</w:t>
      </w:r>
      <w:r w:rsidRPr="00292257">
        <w:rPr>
          <w:rFonts w:eastAsia="Calibri" w:cs="Times New Roman"/>
          <w:sz w:val="16"/>
        </w:rPr>
        <w:t xml:space="preserve">; to read many contemporary literary representations of settler colonialism is to find settlers strangely satisfied in dreaming of ends that never come. This tendency is widely prevalent in English-language representations of settler colonialism produced since the 1980s: the possibility of an ending – </w:t>
      </w:r>
      <w:r w:rsidRPr="00292257">
        <w:rPr>
          <w:rFonts w:eastAsia="Calibri" w:cs="Times New Roman"/>
          <w:u w:val="single"/>
        </w:rPr>
        <w:t>the likelihood that the settler race will one day die out – is a common theme in</w:t>
      </w:r>
      <w:r w:rsidRPr="00292257">
        <w:rPr>
          <w:rFonts w:eastAsia="Calibri" w:cs="Times New Roman"/>
          <w:sz w:val="16"/>
        </w:rPr>
        <w:t xml:space="preserve"> literary and pop culture co</w:t>
      </w:r>
      <w:r w:rsidRPr="00292257">
        <w:rPr>
          <w:rFonts w:eastAsia="Calibri" w:cs="Times New Roman"/>
          <w:u w:val="single"/>
        </w:rPr>
        <w:t xml:space="preserve">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t>
      </w:r>
      <w:r w:rsidRPr="00292257">
        <w:rPr>
          <w:rFonts w:eastAsia="Calibri" w:cs="Times New Roman"/>
          <w:sz w:val="16"/>
        </w:rPr>
        <w:t xml:space="preserve">With a few exceptions (French Algeria being the largest), the </w:t>
      </w:r>
      <w:r w:rsidRPr="00292257">
        <w:rPr>
          <w:rFonts w:eastAsia="Calibri" w:cs="Times New Roman"/>
          <w:u w:val="single"/>
        </w:rPr>
        <w:t>settler societies</w:t>
      </w:r>
      <w:r w:rsidRPr="00292257">
        <w:rPr>
          <w:rFonts w:eastAsia="Calibri" w:cs="Times New Roman"/>
          <w:sz w:val="16"/>
        </w:rPr>
        <w:t xml:space="preserve"> established in the last 300 years in the Americas, Australasia, and Southern Africa </w:t>
      </w:r>
      <w:r w:rsidRPr="00292257">
        <w:rPr>
          <w:rFonts w:eastAsia="Calibri" w:cs="Times New Roman"/>
          <w:u w:val="single"/>
        </w:rPr>
        <w:t>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w:t>
      </w:r>
      <w:r w:rsidRPr="00292257">
        <w:rPr>
          <w:rFonts w:eastAsia="Calibri" w:cs="Times New Roman"/>
          <w:sz w:val="16"/>
        </w:rPr>
        <w:t xml:space="preserve"> trading as that has been mounted whenever such an order has been built. </w:t>
      </w:r>
      <w:r w:rsidRPr="00292257">
        <w:rPr>
          <w:rFonts w:eastAsia="Calibri" w:cs="Times New Roman"/>
          <w:u w:val="single"/>
        </w:rPr>
        <w:t>Settlers think all the time that they might one day end, even though (perhaps because) that ending seems unlikely ever to happen</w:t>
      </w:r>
      <w:r w:rsidRPr="00292257">
        <w:rPr>
          <w:rFonts w:eastAsia="Calibri" w:cs="Times New Roman"/>
          <w:sz w:val="16"/>
        </w:rPr>
        <w:t>. The significance of this paradox for settler-colonial literature is the subject of this article</w:t>
      </w:r>
      <w:r w:rsidRPr="00292257">
        <w:rPr>
          <w:rFonts w:eastAsia="Calibri" w:cs="Times New Roman"/>
          <w:u w:val="single"/>
        </w:rPr>
        <w:t>. Considering the problem of futurity offers a useful foil to traditional analyses of settler colonial narrative, which typically examine settlers’ attitudes towards history in order to highlight a constitutive anxiety about the past – about origins</w:t>
      </w:r>
      <w:r w:rsidRPr="00292257">
        <w:rPr>
          <w:rFonts w:eastAsia="Calibri" w:cs="Times New Roman"/>
          <w:sz w:val="16"/>
        </w:rPr>
        <w:t xml:space="preserve">. Settler colonialism, the argument goes, has a problem with historical narration that arises from a contradiction in its founding mythology. In Stephen Turner’s formulation, </w:t>
      </w:r>
      <w:r w:rsidRPr="00292257">
        <w:rPr>
          <w:rFonts w:eastAsia="Calibri" w:cs="Times New Roman"/>
          <w:u w:val="single"/>
        </w:rPr>
        <w:t xml:space="preserve">the settler </w:t>
      </w:r>
      <w:r w:rsidRPr="00292257">
        <w:rPr>
          <w:rFonts w:eastAsia="Calibri" w:cs="Times New Roman"/>
          <w:sz w:val="16"/>
        </w:rPr>
        <w:t xml:space="preserve">subject is by definition one who </w:t>
      </w:r>
      <w:r w:rsidRPr="00292257">
        <w:rPr>
          <w:rFonts w:eastAsia="Calibri" w:cs="Times New Roman"/>
          <w:u w:val="single"/>
        </w:rPr>
        <w:t>comes from elsewhere but</w:t>
      </w:r>
      <w:r w:rsidRPr="00292257">
        <w:rPr>
          <w:rFonts w:eastAsia="Calibri" w:cs="Times New Roman"/>
          <w:sz w:val="16"/>
        </w:rPr>
        <w:t xml:space="preserve"> who</w:t>
      </w:r>
      <w:r w:rsidRPr="00292257">
        <w:rPr>
          <w:rFonts w:eastAsia="Calibri" w:cs="Times New Roman"/>
          <w:u w:val="single"/>
        </w:rPr>
        <w:t xml:space="preserve">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w:t>
      </w:r>
      <w:r w:rsidRPr="00292257">
        <w:rPr>
          <w:rFonts w:eastAsia="Calibri" w:cs="Times New Roman"/>
          <w:sz w:val="16"/>
        </w:rPr>
        <w:t xml:space="preserve">.1 </w:t>
      </w:r>
      <w:r w:rsidRPr="00292257">
        <w:rPr>
          <w:rFonts w:eastAsia="Calibri" w:cs="Times New Roman"/>
          <w:u w:val="single"/>
        </w:rPr>
        <w:t>Settler-colonial narrative is thus shaped around its need to erase and evoke the native, to make the indigene both invisible and present in a contradictory pattern that prevents settlers from ever moving on from the moment of colonization</w:t>
      </w:r>
      <w:r w:rsidRPr="00292257">
        <w:rPr>
          <w:rFonts w:eastAsia="Calibri" w:cs="Times New Roman"/>
          <w:sz w:val="16"/>
        </w:rPr>
        <w:t xml:space="preserve">.2 As evidence of this constitutive contradiction, critics have identified in settler-colonial discourse symptoms of psychic distress such as disavowal, inversion, and repression.3 Indeed, </w:t>
      </w:r>
      <w:r w:rsidRPr="00292257">
        <w:rPr>
          <w:rFonts w:eastAsia="Calibri" w:cs="Times New Roman"/>
          <w:u w:val="single"/>
        </w:rPr>
        <w:t xml:space="preserve">the frozen temporality of settler-colonial narrative, fixated on the moment of the frontier, recalls nothing so much as </w:t>
      </w:r>
      <w:r w:rsidRPr="00292257">
        <w:rPr>
          <w:rFonts w:eastAsia="Calibri" w:cs="Times New Roman"/>
          <w:sz w:val="16"/>
        </w:rPr>
        <w:t>Freud’s description of the ‘</w:t>
      </w:r>
      <w:r w:rsidRPr="00292257">
        <w:rPr>
          <w:rFonts w:eastAsia="Calibri" w:cs="Times New Roman"/>
          <w:u w:val="single"/>
        </w:rPr>
        <w:t>repetition compulsion’ attending trauma</w:t>
      </w:r>
      <w:r w:rsidRPr="00292257">
        <w:rPr>
          <w:rFonts w:eastAsia="Calibri" w:cs="Times New Roman"/>
          <w:sz w:val="16"/>
        </w:rPr>
        <w:t xml:space="preserve">.4 As Lorenzo Veracini puts it, </w:t>
      </w:r>
      <w:r w:rsidRPr="00292257">
        <w:rPr>
          <w:rFonts w:eastAsia="Calibri" w:cs="Times New Roman"/>
          <w:u w:val="single"/>
        </w:rPr>
        <w:t>because: ‘settler society’ can thus be seen as a fantasy where a perception of a constant struggle is juxtaposed against an ideal of ‘peace’ that can never be reached, settler projects embrace and reject violence at the same time</w:t>
      </w:r>
      <w:r w:rsidRPr="00292257">
        <w:rPr>
          <w:rFonts w:eastAsia="Calibri" w:cs="Times New Roman"/>
          <w:sz w:val="16"/>
        </w:rPr>
        <w:t xml:space="preserve">. The settler colonial situation is thus a circumstance where the </w:t>
      </w:r>
      <w:r w:rsidRPr="00292257">
        <w:rPr>
          <w:rFonts w:eastAsia="Calibri" w:cs="Times New Roman"/>
          <w:sz w:val="16"/>
        </w:rPr>
        <w:lastRenderedPageBreak/>
        <w:t xml:space="preserve">tension between contradictory impulses produces long-lasting psychic conflicts and a number of associated psychopathologies.5 </w:t>
      </w:r>
      <w:r w:rsidRPr="00292257">
        <w:rPr>
          <w:rFonts w:eastAsia="Calibri" w:cs="Times New Roman"/>
          <w:u w:val="single"/>
        </w:rPr>
        <w:t>Current scholarship has thus focused primarily on settler-colonial narrative’s view of the past</w:t>
      </w:r>
      <w:r w:rsidRPr="00292257">
        <w:rPr>
          <w:rFonts w:eastAsia="Calibri" w:cs="Times New Roman"/>
          <w:sz w:val="16"/>
        </w:rPr>
        <w:t xml:space="preserve">, asking how such a contradictory and troubled relationship to history might affect present-day ideological formations. Critics have </w:t>
      </w:r>
      <w:r w:rsidRPr="00292257">
        <w:rPr>
          <w:rFonts w:eastAsia="Calibri" w:cs="Times New Roman"/>
          <w:u w:val="single"/>
        </w:rPr>
        <w:t>rarely considered what such narratological tensions might produce when the settler gaze is turned to the futur</w:t>
      </w:r>
      <w:r w:rsidRPr="00292257">
        <w:rPr>
          <w:rFonts w:eastAsia="Calibri" w:cs="Times New Roman"/>
          <w:sz w:val="16"/>
        </w:rPr>
        <w:t xml:space="preserve">e. </w:t>
      </w:r>
      <w:r w:rsidRPr="00292257">
        <w:rPr>
          <w:rFonts w:eastAsia="Calibri" w:cs="Times New Roman"/>
          <w:u w:val="single"/>
        </w:rPr>
        <w:t>Few social formations are more stubbornly resistant to change than settlement, suggesting that a future beyond settler colonialism might be simply unthinkable.</w:t>
      </w:r>
      <w:r w:rsidRPr="00292257">
        <w:rPr>
          <w:rFonts w:eastAsia="Calibri" w:cs="Times New Roman"/>
          <w:sz w:val="16"/>
        </w:rPr>
        <w:t xml:space="preserv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292257">
        <w:rPr>
          <w:rFonts w:eastAsia="Calibri" w:cs="Times New Roman"/>
          <w:u w:val="single"/>
        </w:rPr>
        <w:t>settlers do often try to imagine their demise – but they do so in a way that reasserts the paradoxes of their founding ideology, with the result that the radical potentiality of decolonization is undone even as it is invoked</w:t>
      </w:r>
      <w:r w:rsidRPr="00292257">
        <w:rPr>
          <w:rFonts w:eastAsia="Calibri" w:cs="Times New Roman"/>
          <w:sz w:val="16"/>
        </w:rPr>
        <w:t xml:space="preserve">. I argue that, notwithstanding Veracini’s analysis, there is a metaphor via which the end of settler colonialism unspools – </w:t>
      </w:r>
      <w:r w:rsidRPr="00292257">
        <w:rPr>
          <w:rFonts w:eastAsia="Calibri" w:cs="Times New Roman"/>
          <w:u w:val="single"/>
        </w:rPr>
        <w:t>the quasi-biological concept of extinction, which, when deployed as a narrative trope, offers settlers a chance to consider and disavow their demise, just as they consider and then disavow the violence of their origins.</w:t>
      </w:r>
      <w:r w:rsidRPr="00292257">
        <w:rPr>
          <w:rFonts w:eastAsia="Calibri" w:cs="Times New Roman"/>
          <w:sz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 </w:t>
      </w:r>
      <w:r w:rsidRPr="00292257">
        <w:rPr>
          <w:rFonts w:eastAsia="Calibri" w:cs="Times New Roman"/>
          <w:u w:val="single"/>
        </w:rPr>
        <w:t>That ‘extinction’ should be a key word in the settler-colonial lexicon is no surprise.</w:t>
      </w:r>
      <w:r w:rsidRPr="00292257">
        <w:rPr>
          <w:rFonts w:eastAsia="Calibri" w:cs="Times New Roman"/>
          <w:sz w:val="16"/>
        </w:rPr>
        <w:t xml:space="preserve"> In Patrick Wolfe’s phrase,7 </w:t>
      </w:r>
      <w:r w:rsidRPr="00292257">
        <w:rPr>
          <w:rFonts w:eastAsia="Calibri" w:cs="Times New Roman"/>
          <w:u w:val="single"/>
        </w:rPr>
        <w:t>settler colonialism is predicated on a ‘logic of elimination’ that tends towards the extermination – by one means or another – of indigenous peoples</w:t>
      </w:r>
      <w:r w:rsidRPr="00292257">
        <w:rPr>
          <w:rFonts w:eastAsia="Calibri" w:cs="Times New Roman"/>
          <w:sz w:val="16"/>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w:t>
      </w:r>
      <w:r w:rsidRPr="00292257">
        <w:rPr>
          <w:rFonts w:eastAsia="Calibri" w:cs="Times New Roman"/>
          <w:u w:val="single"/>
        </w:rPr>
        <w:t>Concepts like</w:t>
      </w:r>
      <w:r w:rsidRPr="00292257">
        <w:rPr>
          <w:rFonts w:eastAsia="Calibri" w:cs="Times New Roman"/>
          <w:sz w:val="16"/>
        </w:rPr>
        <w:t xml:space="preserve"> ‘stadial development’ – by which societies </w:t>
      </w:r>
      <w:r w:rsidRPr="00292257">
        <w:rPr>
          <w:rFonts w:eastAsia="Calibri" w:cs="Times New Roman"/>
          <w:u w:val="single"/>
        </w:rPr>
        <w:t>progress</w:t>
      </w:r>
      <w:r w:rsidRPr="00292257">
        <w:rPr>
          <w:rFonts w:eastAsia="Calibri" w:cs="Times New Roman"/>
          <w:sz w:val="16"/>
        </w:rPr>
        <w:t xml:space="preserve"> through stages, progressively eliminating earlier social forms – and ‘fatal impact’ – which names the biological inevitability of strong peoples supplanting weak – all </w:t>
      </w:r>
      <w:r w:rsidRPr="00292257">
        <w:rPr>
          <w:rFonts w:eastAsia="Calibri" w:cs="Times New Roman"/>
          <w:u w:val="single"/>
        </w:rPr>
        <w:t>contribute to the notion that</w:t>
      </w:r>
      <w:r w:rsidRPr="00292257">
        <w:rPr>
          <w:rFonts w:eastAsia="Calibri" w:cs="Times New Roman"/>
          <w:sz w:val="16"/>
        </w:rPr>
        <w:t xml:space="preserve"> </w:t>
      </w:r>
      <w:r w:rsidRPr="00292257">
        <w:rPr>
          <w:rFonts w:eastAsia="Calibri" w:cs="Times New Roman"/>
          <w:u w:val="single"/>
        </w:rPr>
        <w:t>settler colonialism is a kind of ‘ecological process’ 9 that necessitates the extinction of inferior races.</w:t>
      </w:r>
      <w:r w:rsidRPr="00292257">
        <w:rPr>
          <w:rFonts w:eastAsia="Calibri" w:cs="Times New Roman"/>
          <w:sz w:val="16"/>
        </w:rPr>
        <w:t xml:space="preserve"> </w:t>
      </w:r>
      <w:r w:rsidRPr="00292257">
        <w:rPr>
          <w:rFonts w:eastAsia="Calibri" w:cs="Times New Roman"/>
          <w:u w:val="single"/>
        </w:rPr>
        <w:t>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292257">
        <w:rPr>
          <w:rFonts w:eastAsia="Calibri" w:cs="Times New Roman"/>
          <w:sz w:val="16"/>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SETTLER COLONIAL STUDIES 3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w:t>
      </w:r>
      <w:r w:rsidRPr="00292257">
        <w:rPr>
          <w:rFonts w:eastAsia="Calibri" w:cs="Times New Roman"/>
          <w:u w:val="single"/>
        </w:rPr>
        <w:t xml:space="preserve">11 The fear of looming annihilation serves a powerful ideological function in settler communities, working to foster racial solidarity, suppress dissent, </w:t>
      </w:r>
      <w:r w:rsidRPr="00292257">
        <w:rPr>
          <w:rFonts w:eastAsia="Calibri" w:cs="Times New Roman"/>
          <w:u w:val="single"/>
        </w:rPr>
        <w:lastRenderedPageBreak/>
        <w:t>and legitimate violence against indigenous populations who, by any objective measure, are far more at risk of extermination than the settlers who fear them</w:t>
      </w:r>
      <w:r w:rsidRPr="00292257">
        <w:rPr>
          <w:rFonts w:eastAsia="Calibri" w:cs="Times New Roman"/>
          <w:sz w:val="16"/>
        </w:rPr>
        <w:t xml:space="preserve">. Ann Curthoys and Dirk Moses have traced this pattern in Australia and Israel-Palestine, respectively.12 This scholarship suggests </w:t>
      </w:r>
      <w:r w:rsidRPr="00292257">
        <w:rPr>
          <w:rFonts w:eastAsia="Calibri" w:cs="Times New Roman"/>
          <w:u w:val="single"/>
        </w:rPr>
        <w:t>that narratives of settler extinction are acts of ideological mystification, obscuring the brutal inequalities of the frontier behind a mask of white vulnerability</w:t>
      </w:r>
      <w:r w:rsidRPr="00292257">
        <w:rPr>
          <w:rFonts w:eastAsia="Calibri" w:cs="Times New Roman"/>
          <w:sz w:val="16"/>
        </w:rPr>
        <w:t xml:space="preserve"> – an argument with which I sympathize. However, this article shows how </w:t>
      </w:r>
      <w:r w:rsidRPr="00292257">
        <w:rPr>
          <w:rFonts w:eastAsia="Calibri" w:cs="Times New Roman"/>
          <w:u w:val="single"/>
        </w:rPr>
        <w:t>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w:t>
      </w:r>
      <w:r w:rsidRPr="00292257">
        <w:rPr>
          <w:rFonts w:eastAsia="Calibri" w:cs="Times New Roman"/>
          <w:sz w:val="16"/>
        </w:rPr>
        <w:t xml:space="preserv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Veracini, who suggests that </w:t>
      </w:r>
      <w:r w:rsidRPr="00292257">
        <w:rPr>
          <w:rFonts w:eastAsia="Calibri" w:cs="Times New Roman"/>
          <w:u w:val="single"/>
        </w:rPr>
        <w:t>progressive change to settler-colonial relationships will only happen if narratives can be found that make decolonization thinkable</w:t>
      </w:r>
      <w:r w:rsidRPr="00292257">
        <w:rPr>
          <w:rFonts w:eastAsia="Calibri" w:cs="Times New Roman"/>
          <w:sz w:val="16"/>
        </w:rPr>
        <w:t xml:space="preserve">.14 This article enters the debate between these two perspectives by asking what it means for settler writers to imagine the future via the trope of extinction. </w:t>
      </w:r>
      <w:r w:rsidRPr="00292257">
        <w:rPr>
          <w:rFonts w:eastAsia="Calibri" w:cs="Times New Roman"/>
          <w:u w:val="single"/>
        </w:rPr>
        <w:t>Does extinction offer a meaningful way to think about ending settler colonialism, or does it re-activate settler-colonial patterns of thought that allow exclusionary social structures to persist?</w:t>
      </w:r>
      <w:r w:rsidRPr="00292257">
        <w:rPr>
          <w:rFonts w:eastAsia="Calibri" w:cs="Times New Roman"/>
          <w:sz w:val="16"/>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w:t>
      </w:r>
      <w:r w:rsidRPr="00292257">
        <w:rPr>
          <w:rFonts w:eastAsia="Calibri" w:cs="Times New Roman"/>
          <w:u w:val="single"/>
        </w:rPr>
        <w:t>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 more or less conscious 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w:t>
      </w:r>
      <w:r w:rsidRPr="00292257">
        <w:rPr>
          <w:rFonts w:eastAsia="Calibri" w:cs="Times New Roman"/>
          <w:sz w:val="16"/>
        </w:rPr>
        <w:t xml:space="preserve"> Overall, my central claim is that </w:t>
      </w:r>
      <w:r w:rsidRPr="00292257">
        <w:rPr>
          <w:rFonts w:eastAsia="Calibri" w:cs="Times New Roman"/>
          <w:u w:val="single"/>
        </w:rPr>
        <w:t>extinction is a core trope through which settler futurity emerges, one with crucial narrative and ideological effects that shape much of the contemporary literature emerging from white colonial settings</w:t>
      </w:r>
      <w:r w:rsidRPr="00292257">
        <w:rPr>
          <w:rFonts w:eastAsia="Calibri" w:cs="Times New Roman"/>
          <w:sz w:val="16"/>
        </w:rPr>
        <w:t xml:space="preserve">.   </w:t>
      </w:r>
    </w:p>
    <w:p w:rsidR="005027D7" w:rsidRPr="00292257" w:rsidRDefault="005027D7" w:rsidP="005027D7">
      <w:pPr>
        <w:pStyle w:val="Heading3"/>
      </w:pPr>
      <w:r w:rsidRPr="00292257">
        <w:lastRenderedPageBreak/>
        <w:t>Israel</w:t>
      </w:r>
    </w:p>
    <w:p w:rsidR="005027D7" w:rsidRPr="00292257" w:rsidRDefault="005027D7" w:rsidP="005027D7">
      <w:pPr>
        <w:pStyle w:val="Heading4"/>
      </w:pPr>
      <w:r w:rsidRPr="00292257">
        <w:t>Israel is</w:t>
      </w:r>
      <w:r w:rsidR="00185302" w:rsidRPr="00292257">
        <w:t xml:space="preserve"> a settler-colonial state – restrictions on arms sales work to sanitize US relationship with fundamentally unethical settler colonialists states </w:t>
      </w:r>
    </w:p>
    <w:p w:rsidR="005027D7" w:rsidRPr="00292257" w:rsidRDefault="005027D7" w:rsidP="005027D7">
      <w:r w:rsidRPr="00292257">
        <w:rPr>
          <w:rStyle w:val="Style13ptBold"/>
        </w:rPr>
        <w:t>Lloyd</w:t>
      </w:r>
      <w:r w:rsidRPr="00292257">
        <w:t xml:space="preserve"> and </w:t>
      </w:r>
      <w:r w:rsidRPr="00292257">
        <w:rPr>
          <w:rStyle w:val="Style13ptBold"/>
        </w:rPr>
        <w:t>Wolfe</w:t>
      </w:r>
      <w:r w:rsidRPr="00292257">
        <w:t xml:space="preserve"> </w:t>
      </w:r>
      <w:r w:rsidRPr="00292257">
        <w:rPr>
          <w:rStyle w:val="Style13ptBold"/>
        </w:rPr>
        <w:t>’16</w:t>
      </w:r>
      <w:r w:rsidRPr="00292257">
        <w:t xml:space="preserve"> (David, Distinguished Professor of English at the University of California, Riverside, works primarily on Irish culture and on postcolonial and cultural theory, and Patrick, a freelance historian who lives and works in Wurundjeri country near Healesville, Australia. He has written, taught, and lectured, in comparative vein, on colonialism, race, genocide, theories of imperialism, Aboriginal histories, and the history of anthropology, Settler colonial logics and the neoliberal regime, Settler Colonial Studies, 6:2, 109-118, DOI: 10.1080/2201473X.2015.1035361)CN</w:t>
      </w:r>
    </w:p>
    <w:p w:rsidR="005027D7" w:rsidRPr="00292257" w:rsidRDefault="005027D7" w:rsidP="005027D7">
      <w:pPr>
        <w:rPr>
          <w:sz w:val="16"/>
        </w:rPr>
      </w:pPr>
      <w:r w:rsidRPr="00292257">
        <w:rPr>
          <w:rStyle w:val="StyleUnderline"/>
        </w:rPr>
        <w:t xml:space="preserve">It is </w:t>
      </w:r>
      <w:r w:rsidRPr="00292257">
        <w:rPr>
          <w:sz w:val="16"/>
        </w:rPr>
        <w:t xml:space="preserve">highly </w:t>
      </w:r>
      <w:r w:rsidRPr="00292257">
        <w:rPr>
          <w:rStyle w:val="StyleUnderline"/>
        </w:rPr>
        <w:t>significant that the</w:t>
      </w:r>
      <w:r w:rsidRPr="00292257">
        <w:rPr>
          <w:sz w:val="16"/>
        </w:rPr>
        <w:t xml:space="preserve"> distinctive </w:t>
      </w:r>
      <w:r w:rsidRPr="00292257">
        <w:rPr>
          <w:rStyle w:val="StyleUnderline"/>
        </w:rPr>
        <w:t>characteristics of this</w:t>
      </w:r>
      <w:r w:rsidRPr="00292257">
        <w:rPr>
          <w:sz w:val="16"/>
        </w:rPr>
        <w:t xml:space="preserve"> emergent global </w:t>
      </w:r>
      <w:r w:rsidRPr="00292257">
        <w:rPr>
          <w:rStyle w:val="StyleUnderline"/>
        </w:rPr>
        <w:t xml:space="preserve">regime have been locally prefigured in modes of repression developed internally by settler colonial states. </w:t>
      </w:r>
      <w:r w:rsidRPr="00292257">
        <w:rPr>
          <w:sz w:val="16"/>
        </w:rPr>
        <w:t xml:space="preserve">As Israeli architect and specialist on urban warfare, Eyal Weizman, has argued, for instance, </w:t>
      </w:r>
      <w:r w:rsidRPr="00292257">
        <w:rPr>
          <w:rStyle w:val="Emphasis"/>
        </w:rPr>
        <w:t>the West Bank can be seen as an extreme model</w:t>
      </w:r>
      <w:r w:rsidRPr="00292257">
        <w:rPr>
          <w:sz w:val="16"/>
        </w:rPr>
        <w:t xml:space="preserve"> – perhaps a laboratory – </w:t>
      </w:r>
      <w:r w:rsidRPr="00292257">
        <w:rPr>
          <w:rStyle w:val="Emphasis"/>
        </w:rPr>
        <w:t>of a territorial and urban conflict that can take place in other places</w:t>
      </w:r>
      <w:r w:rsidRPr="00292257">
        <w:rPr>
          <w:sz w:val="16"/>
        </w:rPr>
        <w:t xml:space="preserve">. Globalization takes the periphery straight to the center, the frontier between the First and Third worlds starts running through the middle of world cities.3 </w:t>
      </w:r>
      <w:r w:rsidRPr="00292257">
        <w:rPr>
          <w:rStyle w:val="StyleUnderline"/>
        </w:rPr>
        <w:t>Weizmann’s phrasing signals a genealogy for contemporary transformations in the longer history of colonialism as a repertoire of</w:t>
      </w:r>
      <w:r w:rsidRPr="00292257">
        <w:rPr>
          <w:sz w:val="16"/>
        </w:rPr>
        <w:t xml:space="preserve"> both </w:t>
      </w:r>
      <w:r w:rsidRPr="00292257">
        <w:rPr>
          <w:rStyle w:val="StyleUnderline"/>
        </w:rPr>
        <w:t>tropes and practices of social control,</w:t>
      </w:r>
      <w:r w:rsidRPr="00292257">
        <w:rPr>
          <w:sz w:val="16"/>
        </w:rPr>
        <w:t xml:space="preserve"> </w:t>
      </w:r>
      <w:r w:rsidRPr="00292257">
        <w:rPr>
          <w:rStyle w:val="StyleUnderline"/>
        </w:rPr>
        <w:t>brought together</w:t>
      </w:r>
      <w:r w:rsidRPr="00292257">
        <w:rPr>
          <w:sz w:val="16"/>
        </w:rPr>
        <w:t xml:space="preserve"> today </w:t>
      </w:r>
      <w:r w:rsidRPr="00292257">
        <w:rPr>
          <w:rStyle w:val="StyleUnderline"/>
        </w:rPr>
        <w:t>in Israel’s operations as a settler colonial state</w:t>
      </w:r>
      <w:r w:rsidRPr="00292257">
        <w:rPr>
          <w:sz w:val="16"/>
        </w:rPr>
        <w:t xml:space="preserve">, anomalous only in that its project of expansion remains unfinished.4 </w:t>
      </w:r>
      <w:r w:rsidRPr="00292257">
        <w:rPr>
          <w:rStyle w:val="Emphasis"/>
        </w:rPr>
        <w:t>The</w:t>
      </w:r>
      <w:r w:rsidRPr="00292257">
        <w:rPr>
          <w:sz w:val="16"/>
        </w:rPr>
        <w:t xml:space="preserve"> notable </w:t>
      </w:r>
      <w:r w:rsidRPr="00292257">
        <w:rPr>
          <w:rStyle w:val="Emphasis"/>
        </w:rPr>
        <w:t>convergence of Israel and the USA</w:t>
      </w:r>
      <w:r w:rsidRPr="00292257">
        <w:rPr>
          <w:sz w:val="16"/>
        </w:rPr>
        <w:t xml:space="preserve"> (together with an ever-compliant Australia), </w:t>
      </w:r>
      <w:r w:rsidRPr="00292257">
        <w:rPr>
          <w:rStyle w:val="Emphasis"/>
        </w:rPr>
        <w:t>expressed as much in their political solidarity as in their military and security collaborations, suggests to us a wider historical affinity between states that share a settler colonial history, one that continues to impress itself on both psychic and institutional formations</w:t>
      </w:r>
      <w:r w:rsidRPr="00292257">
        <w:rPr>
          <w:sz w:val="16"/>
        </w:rPr>
        <w:t xml:space="preserve">. In this respect, to Weizmann’s invocation of the first and third worlds, we should add the histories of dispossession and resistance through which </w:t>
      </w:r>
      <w:r w:rsidRPr="00292257">
        <w:rPr>
          <w:rStyle w:val="StyleUnderline"/>
        </w:rPr>
        <w:t>Indigenous</w:t>
      </w:r>
      <w:r w:rsidRPr="00292257">
        <w:rPr>
          <w:sz w:val="16"/>
        </w:rPr>
        <w:t xml:space="preserve"> </w:t>
      </w:r>
      <w:r w:rsidRPr="00292257">
        <w:rPr>
          <w:rStyle w:val="StyleUnderline"/>
        </w:rPr>
        <w:t>peoples of the ‘fourth world’ have shaped our understanding of the dynamics of settler colonialism</w:t>
      </w:r>
      <w:r w:rsidRPr="00292257">
        <w:rPr>
          <w:sz w:val="16"/>
        </w:rPr>
        <w:t xml:space="preserve"> and its lessons for the present. We suggest that </w:t>
      </w:r>
      <w:r w:rsidRPr="00292257">
        <w:rPr>
          <w:rStyle w:val="Emphasis"/>
        </w:rPr>
        <w:t>the</w:t>
      </w:r>
      <w:r w:rsidRPr="00292257">
        <w:rPr>
          <w:sz w:val="16"/>
        </w:rPr>
        <w:t xml:space="preserve"> fundamental </w:t>
      </w:r>
      <w:r w:rsidRPr="00292257">
        <w:rPr>
          <w:rStyle w:val="Emphasis"/>
        </w:rPr>
        <w:t>continuity</w:t>
      </w:r>
      <w:r w:rsidRPr="00292257">
        <w:rPr>
          <w:sz w:val="16"/>
        </w:rPr>
        <w:t xml:space="preserve"> </w:t>
      </w:r>
      <w:r w:rsidRPr="00292257">
        <w:rPr>
          <w:rStyle w:val="Emphasis"/>
        </w:rPr>
        <w:t>between the historical development of European settler colonialism and the present-day development of the neoliberal world order resides in the exigencies of managing surplus populations</w:t>
      </w:r>
      <w:r w:rsidRPr="00292257">
        <w:rPr>
          <w:sz w:val="16"/>
        </w:rPr>
        <w:t xml:space="preserve">. </w:t>
      </w:r>
      <w:r w:rsidRPr="00292257">
        <w:rPr>
          <w:rStyle w:val="StyleUnderline"/>
        </w:rPr>
        <w:t>So far as settlers have been concerned</w:t>
      </w:r>
      <w:r w:rsidRPr="00292257">
        <w:rPr>
          <w:sz w:val="16"/>
        </w:rPr>
        <w:t xml:space="preserve">, </w:t>
      </w:r>
      <w:r w:rsidRPr="00292257">
        <w:rPr>
          <w:rStyle w:val="StyleUnderline"/>
        </w:rPr>
        <w:t>the</w:t>
      </w:r>
      <w:r w:rsidRPr="00292257">
        <w:rPr>
          <w:sz w:val="16"/>
        </w:rPr>
        <w:t xml:space="preserve"> salient </w:t>
      </w:r>
      <w:r w:rsidRPr="00292257">
        <w:rPr>
          <w:rStyle w:val="StyleUnderline"/>
        </w:rPr>
        <w:t>surplus has</w:t>
      </w:r>
      <w:r w:rsidRPr="00292257">
        <w:rPr>
          <w:sz w:val="16"/>
        </w:rPr>
        <w:t xml:space="preserve">, of course, </w:t>
      </w:r>
      <w:r w:rsidRPr="00292257">
        <w:rPr>
          <w:rStyle w:val="StyleUnderline"/>
        </w:rPr>
        <w:t>been the Native population</w:t>
      </w:r>
      <w:r w:rsidRPr="00292257">
        <w:rPr>
          <w:sz w:val="16"/>
        </w:rPr>
        <w:t xml:space="preserve">, </w:t>
      </w:r>
      <w:r w:rsidRPr="00292257">
        <w:rPr>
          <w:rStyle w:val="Emphasis"/>
        </w:rPr>
        <w:t>whose refractory presence has prompted a range of techniques of elimination</w:t>
      </w:r>
      <w:r w:rsidRPr="00292257">
        <w:rPr>
          <w:sz w:val="16"/>
        </w:rPr>
        <w:t xml:space="preserve"> – </w:t>
      </w:r>
      <w:r w:rsidRPr="00292257">
        <w:rPr>
          <w:rStyle w:val="Emphasis"/>
        </w:rPr>
        <w:t>from</w:t>
      </w:r>
      <w:r w:rsidRPr="00292257">
        <w:rPr>
          <w:sz w:val="16"/>
        </w:rPr>
        <w:t xml:space="preserve"> outright </w:t>
      </w:r>
      <w:r w:rsidRPr="00292257">
        <w:rPr>
          <w:rStyle w:val="Emphasis"/>
        </w:rPr>
        <w:t>homicide to various forms of removal and/ or confinement, and, once their numbers have been appropriately reduced in the post-frontier era, to Natives’ assimilation into settler society</w:t>
      </w:r>
      <w:r w:rsidRPr="00292257">
        <w:rPr>
          <w:sz w:val="16"/>
        </w:rPr>
        <w:t xml:space="preserve"> – techniques that have met with mixed success in the face of Native modes of resistance which have varied as creatively as the settlers’ own repertoire of strategies. In this overall historical process, </w:t>
      </w:r>
      <w:r w:rsidRPr="00292257">
        <w:rPr>
          <w:rStyle w:val="StyleUnderline"/>
        </w:rPr>
        <w:t>the key shift is the ending of the frontier</w:t>
      </w:r>
      <w:r w:rsidRPr="00292257">
        <w:rPr>
          <w:sz w:val="16"/>
        </w:rPr>
        <w:t xml:space="preserve">, </w:t>
      </w:r>
      <w:r w:rsidRPr="00292257">
        <w:rPr>
          <w:rStyle w:val="StyleUnderline"/>
        </w:rPr>
        <w:t>which</w:t>
      </w:r>
      <w:r w:rsidRPr="00292257">
        <w:rPr>
          <w:sz w:val="16"/>
        </w:rPr>
        <w:t xml:space="preserve"> generally </w:t>
      </w:r>
      <w:r w:rsidRPr="00292257">
        <w:rPr>
          <w:rStyle w:val="StyleUnderline"/>
        </w:rPr>
        <w:t>coincides with the consolidation of the settler state</w:t>
      </w:r>
      <w:r w:rsidRPr="00292257">
        <w:rPr>
          <w:sz w:val="16"/>
        </w:rPr>
        <w:t xml:space="preserve">, and </w:t>
      </w:r>
      <w:r w:rsidRPr="00292257">
        <w:rPr>
          <w:rStyle w:val="StyleUnderline"/>
        </w:rPr>
        <w:t>which is typically</w:t>
      </w:r>
      <w:r w:rsidRPr="00292257">
        <w:rPr>
          <w:sz w:val="16"/>
        </w:rPr>
        <w:t xml:space="preserve"> </w:t>
      </w:r>
      <w:r w:rsidRPr="00292257">
        <w:rPr>
          <w:rStyle w:val="StyleUnderline"/>
        </w:rPr>
        <w:t>marked by intensified programs of Native assimilation,</w:t>
      </w:r>
      <w:r w:rsidRPr="00292257">
        <w:rPr>
          <w:sz w:val="16"/>
        </w:rPr>
        <w:t xml:space="preserve"> so many mopping-up exercises for civilization. Thus it is consistent that </w:t>
      </w:r>
      <w:r w:rsidRPr="00292257">
        <w:rPr>
          <w:rStyle w:val="Emphasis"/>
        </w:rPr>
        <w:t>Israel, which remains bogged down in an incomplete expansion of its frontier, should rigorously eschew any semblance of Native assimilation, insisting instead on the sharpest of distinctions between Palestinians, who may or may not be citizen/residents of the Israeli state, and members of the so-called ‘Jewish nation’ wherever they may live</w:t>
      </w:r>
      <w:r w:rsidRPr="00292257">
        <w:rPr>
          <w:sz w:val="16"/>
        </w:rPr>
        <w:t xml:space="preserve">. </w:t>
      </w:r>
      <w:r w:rsidRPr="00292257">
        <w:rPr>
          <w:rStyle w:val="StyleUnderline"/>
        </w:rPr>
        <w:t>The exclusion of the Palestinian population is particularly apparent in the ease with which shifting economic and demographic circumstances</w:t>
      </w:r>
      <w:r w:rsidRPr="00292257">
        <w:rPr>
          <w:sz w:val="16"/>
        </w:rPr>
        <w:t xml:space="preserve"> – especially the large-scale immigration of Arab-Jews (Mizrahim) and Russians – have transformed what was once a reserve Palestinian labor force into a largely unemployed surplus. Bereft of potential productive utility, and with pauperization attenuating its value as a market, th</w:t>
      </w:r>
      <w:r w:rsidRPr="00292257">
        <w:rPr>
          <w:rStyle w:val="Emphasis"/>
        </w:rPr>
        <w:t xml:space="preserve">e Palestinian population has become </w:t>
      </w:r>
      <w:r w:rsidRPr="00292257">
        <w:rPr>
          <w:rStyle w:val="Emphasis"/>
        </w:rPr>
        <w:lastRenderedPageBreak/>
        <w:t>subject to policies of removal</w:t>
      </w:r>
      <w:r w:rsidRPr="00292257">
        <w:rPr>
          <w:sz w:val="16"/>
        </w:rPr>
        <w:t xml:space="preserve"> and confinement </w:t>
      </w:r>
      <w:r w:rsidRPr="00292257">
        <w:rPr>
          <w:rStyle w:val="Emphasis"/>
        </w:rPr>
        <w:t>that recall those adopted by other settler states</w:t>
      </w:r>
      <w:r w:rsidRPr="00292257">
        <w:rPr>
          <w:sz w:val="16"/>
        </w:rPr>
        <w:t xml:space="preserve"> while the expansion of their frontiers remained incomplete. Locally, therefore</w:t>
      </w:r>
      <w:r w:rsidRPr="00292257">
        <w:rPr>
          <w:rStyle w:val="Emphasis"/>
        </w:rPr>
        <w:t>, Israel is straightforwardly settler colonial and bears comparison in important respects to the respective histories of settler societies such as Australia or the USA</w:t>
      </w:r>
      <w:r w:rsidRPr="00292257">
        <w:rPr>
          <w:sz w:val="16"/>
        </w:rPr>
        <w:t xml:space="preserve"> in the eras before these societies had completed the initial seizure of Native peoples’ land and inheritances. Globally, however, the twenty-first century context in which Israel is seeking to complete the seizure of what remains of Mandate Palestine differs crucially from the nineteenth-century Settler Colonial Studies 111 context in which settlers in Australia and North America completed their seizure of the Native estate. Globally, the dispossession of Indigenous peoples in Australia and North America took place in the context of (and formatively enabled) the titanic growth of industrial capitalism. As Karl Polanyi observed, doing scant justice to Marx, an unprecedented feature of the emergence of industrial society was the sheer scale of the investment that was involved in factories. Not even shipbuilding had previously come close to the financial input required by the establishment of factories, with their heavy plant and infrastructure. Nor had any previous investment required maintenance for the length of time that it took factories to become profitable. To vouchsafe these investments, and to project factories’ viability forward through generations, required the total reorganization of society, complete with novel forms of surveillance, policing and war-making, that marked industrialization in the nineteenth century.5 This much is hardly novel. For our purposes, the crucial feature of the great nineteenth-century transformation is that it did not necessarily conduce to permanently superfluous populations. Rather, working populations grew dramatically. In addition to providing capital with its labor, the industrial proletariat provided a market for the fruits of its own alienated production. True, temporary labor surpluses were generated in the course of the periodic slumps and depressions that overtook the capitalist economy, especially after the 1870s, but this labor could be re-employed, even if only for warfare, once industrial demand was reinstated. Moreover, throughout this period, colonial settlement provided an outlet for the Malthusian excess, industrial society’s surplus poor, who departed their Dickensian slums for Indigenous people’s stolen homelands.</w:t>
      </w:r>
    </w:p>
    <w:p w:rsidR="005027D7" w:rsidRPr="00292257" w:rsidRDefault="005027D7" w:rsidP="005027D7">
      <w:pPr>
        <w:pStyle w:val="Heading2"/>
      </w:pPr>
      <w:r w:rsidRPr="00292257">
        <w:lastRenderedPageBreak/>
        <w:t>Alts</w:t>
      </w:r>
    </w:p>
    <w:p w:rsidR="006109EA" w:rsidRPr="00292257" w:rsidRDefault="00185302" w:rsidP="006109EA">
      <w:pPr>
        <w:pStyle w:val="Heading3"/>
      </w:pPr>
      <w:r w:rsidRPr="00292257">
        <w:lastRenderedPageBreak/>
        <w:t>Geography of Decolonization</w:t>
      </w:r>
    </w:p>
    <w:p w:rsidR="005027D7" w:rsidRPr="00292257" w:rsidRDefault="005027D7" w:rsidP="005027D7">
      <w:pPr>
        <w:pStyle w:val="Heading4"/>
      </w:pPr>
      <w:r w:rsidRPr="00292257">
        <w:t xml:space="preserve">Vote neg to endorse a geography of decolonization </w:t>
      </w:r>
    </w:p>
    <w:p w:rsidR="005027D7" w:rsidRPr="00292257" w:rsidRDefault="005027D7" w:rsidP="005027D7">
      <w:r w:rsidRPr="00292257">
        <w:rPr>
          <w:rStyle w:val="Style13ptBold"/>
        </w:rPr>
        <w:t>Bonds and Inwood, 2016</w:t>
      </w:r>
      <w:r w:rsidRPr="00292257">
        <w:t>, Anne Bonds - PhD, Geography, University of Washington, 2008 MA, Women’s Studies, University of Arizona, 2003 BS, Economics, University of Wyoming, 2001. Joshua Inwood - Ph.D. Geography 2007. [Vol. 40(6) 715–733 - “Beyond white privilege: Geographies of white supremacy and settler colonialism”] //rm</w:t>
      </w:r>
    </w:p>
    <w:p w:rsidR="006109EA" w:rsidRPr="00292257" w:rsidRDefault="005027D7" w:rsidP="00310FE2">
      <w:pPr>
        <w:rPr>
          <w:u w:val="single"/>
        </w:rPr>
      </w:pPr>
      <w:r w:rsidRPr="00292257">
        <w:rPr>
          <w:rStyle w:val="StyleUnderline"/>
        </w:rPr>
        <w:t>We argue that a focus on white supremacy and settler colonialism illuminates the material practices of domination that lead to the exposure to premature death and sustain racism within settler societies.</w:t>
      </w:r>
      <w:r w:rsidRPr="00292257">
        <w:rPr>
          <w:sz w:val="16"/>
        </w:rPr>
        <w:t xml:space="preserve"> </w:t>
      </w:r>
      <w:r w:rsidRPr="00292257">
        <w:rPr>
          <w:rStyle w:val="Emphasis"/>
        </w:rPr>
        <w:t xml:space="preserve">White supremacy is wrapped up in everyday geographies that continue to sustain material advantages of whiteness within settler colonial </w:t>
      </w:r>
      <w:r w:rsidRPr="00292257">
        <w:rPr>
          <w:rStyle w:val="StyleUnderline"/>
        </w:rPr>
        <w:t xml:space="preserve">states. </w:t>
      </w:r>
      <w:r w:rsidRPr="00292257">
        <w:t>Our</w:t>
      </w:r>
      <w:r w:rsidRPr="00292257">
        <w:rPr>
          <w:rStyle w:val="StyleUnderline"/>
        </w:rPr>
        <w:t xml:space="preserve"> focus on white supremacy builds on studies of whiteness and white privilege to refocus discussions around questions of power and violence. </w:t>
      </w:r>
      <w:r w:rsidRPr="00292257">
        <w:rPr>
          <w:sz w:val="16"/>
        </w:rPr>
        <w:t xml:space="preserve">While </w:t>
      </w:r>
      <w:r w:rsidRPr="00292257">
        <w:rPr>
          <w:rStyle w:val="StyleUnderline"/>
        </w:rPr>
        <w:t>analysis of white privilege in geography reveals the systematized and often taken-for-granted power of whiteness</w:t>
      </w:r>
      <w:r w:rsidRPr="00292257">
        <w:rPr>
          <w:sz w:val="16"/>
        </w:rPr>
        <w:t xml:space="preserve">, we argue that </w:t>
      </w:r>
      <w:r w:rsidRPr="00292257">
        <w:rPr>
          <w:rStyle w:val="Emphasis"/>
        </w:rPr>
        <w:t xml:space="preserve">white supremacy is a more useful analytic that challenges and destabilizes the geographic reproduction of ‘white worlds’ </w:t>
      </w:r>
      <w:r w:rsidRPr="00292257">
        <w:rPr>
          <w:sz w:val="16"/>
        </w:rPr>
        <w:t xml:space="preserve">(Gilborn, 2004) </w:t>
      </w:r>
      <w:r w:rsidRPr="00292257">
        <w:rPr>
          <w:rStyle w:val="StyleUnderline"/>
        </w:rPr>
        <w:t>and white hegemony</w:t>
      </w:r>
      <w:r w:rsidRPr="00292257">
        <w:rPr>
          <w:sz w:val="16"/>
        </w:rPr>
        <w:t xml:space="preserve">. Recent critiques of white privilege underscore the ways whites are implicated in the reproduction of white supremacy and call antiracist praxis in the context of the privilege literature into question. Perhaps most notably, Robyn Wiegman has been critical of what she calls ‘the hegemony of liberal whiteness’ (1999: 121; see also Ahmed, 2004, 2012; Giroux, 1997). She contends that while </w:t>
      </w:r>
      <w:r w:rsidRPr="00292257">
        <w:rPr>
          <w:rStyle w:val="StyleUnderline"/>
        </w:rPr>
        <w:t>Whiteness Studies seeks to produce a white anti-racist subject that is disaffiliated from white supremacy, this ultimately requires a re-articulation of whiteness, thus reifying the material practices that give whiteness its power and meaning</w:t>
      </w:r>
      <w:r w:rsidRPr="00292257">
        <w:rPr>
          <w:sz w:val="16"/>
        </w:rPr>
        <w:t xml:space="preserve">. In other words, </w:t>
      </w:r>
      <w:r w:rsidRPr="00292257">
        <w:rPr>
          <w:rStyle w:val="StyleUnderline"/>
        </w:rPr>
        <w:t>seeking to disidentify from liberal whiteness reconstitutes a kind of counter-whiteness that allows white scholars and activists to hold onto the underlying structural condition of white supremacy while disassociating themselves from the ‘unearned’ privileges of the present</w:t>
      </w:r>
      <w:r w:rsidRPr="00292257">
        <w:rPr>
          <w:sz w:val="16"/>
        </w:rPr>
        <w:t xml:space="preserve">. Similarly, Sarah de Leeuw, Margo Greenwood, and Nicole Lindsey (2013) problematize the ‘good intentions’ of liberal scholars and academic policies ostensibly seeking to redress racist and colonial histories (see also Ahmed, 2012; Berg, 2012). They argue that just as racial awareness has given rise to new subjectivies shaped by ‘good intentions’ and the desire to be anti-racist, subjective investments in unsettling colonialism are both situated within and actively expanding settler colonialism. As with Wiegman’s (1999) critique of whiteness studies, De Leeuw, Greenwood, and Lindsey argue that well-intended scholarship and policies – produced through white settler subjectivities and embedded within settler institutions – often rely on gestures rather than structural change, which re-entrenches rather than destabilizes settler social formations. </w:t>
      </w:r>
      <w:r w:rsidRPr="00292257">
        <w:rPr>
          <w:rStyle w:val="StyleUnderline"/>
        </w:rPr>
        <w:t>We are particularly interested in these lines of inquiry as we think beyond white privilege to focus on white supremacy and settler colonialism.</w:t>
      </w:r>
      <w:r w:rsidRPr="00292257">
        <w:rPr>
          <w:sz w:val="16"/>
        </w:rPr>
        <w:t xml:space="preserve"> </w:t>
      </w:r>
      <w:r w:rsidRPr="00292257">
        <w:rPr>
          <w:rStyle w:val="Emphasis"/>
        </w:rPr>
        <w:t xml:space="preserve">Moreover, we’ve argued that there is much to gain in engaging with the insights of settler colonialism in building a more robustly anti-racist geography </w:t>
      </w:r>
      <w:r w:rsidRPr="00292257">
        <w:rPr>
          <w:sz w:val="16"/>
        </w:rPr>
        <w:t xml:space="preserve">(see De Leeuw et al., 2013; De Leeuw, 2014; Hunt, 2014; Hunt and Holmes, 2015; Pasternak, 2015; Dempsey et al., 2011). </w:t>
      </w:r>
      <w:r w:rsidRPr="00292257">
        <w:rPr>
          <w:rStyle w:val="StyleUnderline"/>
        </w:rPr>
        <w:t>A settler colonial perspective illuminates the interconnections between colonization and anti-black and anti-indigenous racisms and understands them as an ongoing structure rather than a series of historic events.</w:t>
      </w:r>
      <w:r w:rsidRPr="00292257">
        <w:rPr>
          <w:sz w:val="16"/>
        </w:rPr>
        <w:t xml:space="preserve"> The example of the Bundy ranch is a ‘colonial moment’ (Kempf, 2010; Seawright, 2014), illustrating the unremarked ‘expansion of the settler state’ and the ways in which this social condition is premised on the interconnections of racial hierarchies and place (Arvin et al., 2013: 10). While this instance is grounded in a US context, </w:t>
      </w:r>
      <w:r w:rsidRPr="00292257">
        <w:rPr>
          <w:rStyle w:val="StyleUnderline"/>
        </w:rPr>
        <w:t xml:space="preserve">broader understandings of white supremacy and settler colonialism that engage with processes of colonial dispossession have the potential to broaden anti-racist and anti-capitalist struggles </w:t>
      </w:r>
      <w:r w:rsidRPr="00292257">
        <w:rPr>
          <w:sz w:val="16"/>
        </w:rPr>
        <w:t xml:space="preserve">(Inwood and Bonds, 2013). That is, within settler colonial nation-states, one cannot challenge the unfettered accumulation of capital without also advocating for decolonization, and as a consequence, a robust anti-racist agenda cannot be developed in settler nations without recognizing the material conditions that gave rise to the differentially racialized geographies (Pulido, 2006) of settler nations in the first place. Finally, </w:t>
      </w:r>
      <w:r w:rsidRPr="00292257">
        <w:rPr>
          <w:rStyle w:val="StyleUnderline"/>
        </w:rPr>
        <w:t xml:space="preserve">the lack of a broader engagement with settler colonialism distorts our understanding of the central and ongoing roles that genocide and slavery play in the continuously and always unfolding white </w:t>
      </w:r>
      <w:r w:rsidRPr="00292257">
        <w:rPr>
          <w:rStyle w:val="StyleUnderline"/>
        </w:rPr>
        <w:lastRenderedPageBreak/>
        <w:t>supremacist, settler colonial landscape and leads to incomplete understandings of the role race and whiteness continue to play in our everyday geographies</w:t>
      </w:r>
      <w:r w:rsidRPr="00292257">
        <w:rPr>
          <w:sz w:val="16"/>
        </w:rPr>
        <w:t xml:space="preserve">. The idea of race is mediated on and through local histories that not only have come to define different groups, but is also the result of historically grounded structures and struggles (Allen, 2004). These historic struggles are important to contextualize because they form the basis for processes of ‘differential racialization’ (Pulido, 2006). </w:t>
      </w:r>
      <w:r w:rsidRPr="00292257">
        <w:rPr>
          <w:rStyle w:val="StyleUnderline"/>
        </w:rPr>
        <w:t>This shifts focus from the social condition of whiteness and emphasis on individual experiences and unrecognized privileges to underscore the underlying institutions, structures, and power relations that sustain whiteness and its attendant privileges.</w:t>
      </w:r>
      <w:r w:rsidRPr="00292257">
        <w:rPr>
          <w:sz w:val="16"/>
        </w:rPr>
        <w:t xml:space="preserve"> </w:t>
      </w:r>
      <w:r w:rsidRPr="00292257">
        <w:rPr>
          <w:rStyle w:val="Emphasis"/>
        </w:rPr>
        <w:t>By placing the genocidal geographies of forced removal and slavery centrally, settler colonialism accentuates a historicized focus on the underlying foundations of white supremacy as a continuously unfolding set of social, economic and political processes across the landscape</w:t>
      </w:r>
      <w:r w:rsidRPr="00292257">
        <w:rPr>
          <w:sz w:val="16"/>
        </w:rPr>
        <w:t xml:space="preserve">. Seeing white supremacy this way allows us to relationally situate it within different historical and geographical contexts and to examine how it changes and morphs through time and space. </w:t>
      </w:r>
      <w:r w:rsidRPr="00292257">
        <w:rPr>
          <w:rStyle w:val="StyleUnderline"/>
        </w:rPr>
        <w:t>We believe geographers have much to offer broader treatments of settler colonialism and understandings of white supremacy. Antiracist geographic scholarship can not only problematize settler colonialism, it can also illustrate the ways in which the discipline itself has been complicit with white supremacist settler projects.</w:t>
      </w:r>
      <w:r w:rsidRPr="00292257">
        <w:rPr>
          <w:sz w:val="16"/>
        </w:rPr>
        <w:t xml:space="preserve"> </w:t>
      </w:r>
      <w:r w:rsidRPr="00292257">
        <w:rPr>
          <w:rStyle w:val="StyleUnderline"/>
        </w:rPr>
        <w:t>Calling attention to the intertwined logics of settler colonialism and white supremacy not only foregrounds analysis of race, but broadens geographic engagements with race beyond the black/white binary that dominates much of the literature on race and racism within Anglogeographic scholarship.</w:t>
      </w:r>
      <w:r w:rsidRPr="00292257">
        <w:rPr>
          <w:sz w:val="16"/>
        </w:rPr>
        <w:t xml:space="preserve"> As such, efforts to centralize race within the discipline must consolidate analysis of ongoing processes of colonization in settler nation-states. </w:t>
      </w:r>
      <w:r w:rsidRPr="00292257">
        <w:rPr>
          <w:rStyle w:val="StyleUnderline"/>
        </w:rPr>
        <w:t>Geography, in particular, is well positioned to explore how land use practices and histories connect to the legacies and permanence of these structures and to the development of new understandings of the ways in which genocide, land appropriation, and labor exploitation are tied to white supremacy and other structures of oppression.</w:t>
      </w:r>
      <w:r w:rsidRPr="00292257">
        <w:rPr>
          <w:sz w:val="16"/>
        </w:rPr>
        <w:t xml:space="preserve"> As a discipline we have much to offer in illustrating the materiality of racism and the uneven geographies of the ill-gotten wealth of colonialism. </w:t>
      </w:r>
      <w:r w:rsidRPr="00292257">
        <w:rPr>
          <w:rStyle w:val="StyleUnderline"/>
        </w:rPr>
        <w:t>The effort to contextual settler societies necessarily pushes us beyond a focus on white privilege and instead places emphasis on the white supremacist foundations of the socio-spatial dialectic and the unfolding of space and place across settler colonial nations.</w:t>
      </w:r>
    </w:p>
    <w:p w:rsidR="006109EA" w:rsidRPr="00292257" w:rsidRDefault="006109EA" w:rsidP="003377F8">
      <w:pPr>
        <w:pStyle w:val="Heading3"/>
      </w:pPr>
      <w:r w:rsidRPr="00292257">
        <w:lastRenderedPageBreak/>
        <w:t>Deconstruction</w:t>
      </w:r>
    </w:p>
    <w:p w:rsidR="005027D7" w:rsidRPr="00292257" w:rsidRDefault="005027D7" w:rsidP="005027D7">
      <w:pPr>
        <w:pStyle w:val="Heading4"/>
      </w:pPr>
      <w:r w:rsidRPr="00292257">
        <w:t xml:space="preserve">The alternative is a critical </w:t>
      </w:r>
      <w:r w:rsidR="00185302" w:rsidRPr="00292257">
        <w:t xml:space="preserve">deconstruction of US settler colonial logics </w:t>
      </w:r>
    </w:p>
    <w:p w:rsidR="005027D7" w:rsidRPr="00292257" w:rsidRDefault="005027D7" w:rsidP="005027D7">
      <w:r w:rsidRPr="00292257">
        <w:rPr>
          <w:rStyle w:val="Style13ptBold"/>
        </w:rPr>
        <w:t>Mathur</w:t>
      </w:r>
      <w:r w:rsidRPr="00292257">
        <w:t xml:space="preserve"> </w:t>
      </w:r>
      <w:r w:rsidRPr="00292257">
        <w:rPr>
          <w:rStyle w:val="Style13ptBold"/>
        </w:rPr>
        <w:t>’14</w:t>
      </w:r>
      <w:r w:rsidRPr="00292257">
        <w:t xml:space="preserve"> (Ritu, PhD in Political Science and Assistant Professor in the Department of Political Science and Geography at UT Austin, ‘The West and the Rest’: A Civilizational Mantra in Arms Control and Disarmament?, Contemporary Security Policy, 35:3, 332-355, DOI: 10.1080/13523260.2014.960164)CN</w:t>
      </w:r>
    </w:p>
    <w:p w:rsidR="005027D7" w:rsidRPr="00292257" w:rsidRDefault="005027D7" w:rsidP="005027D7">
      <w:pPr>
        <w:rPr>
          <w:sz w:val="16"/>
        </w:rPr>
      </w:pPr>
      <w:r w:rsidRPr="00292257">
        <w:rPr>
          <w:sz w:val="16"/>
        </w:rPr>
        <w:t>On the other hand, Barkawi and Laffey are emphatic in their demand that a ‘contrapuntal analysis’ of ‘events, developments and processes in core and periphery together’ be undertaken in security studies.135 They insist that ‘</w:t>
      </w:r>
      <w:r w:rsidRPr="00292257">
        <w:rPr>
          <w:rStyle w:val="StyleUnderline"/>
        </w:rPr>
        <w:t>making sense of security relations requires putting the weak and the strong in a common analytic framework’</w:t>
      </w:r>
      <w:r w:rsidRPr="00292257">
        <w:rPr>
          <w:sz w:val="16"/>
        </w:rPr>
        <w:t xml:space="preserve"> </w:t>
      </w:r>
      <w:r w:rsidRPr="00292257">
        <w:rPr>
          <w:rStyle w:val="StyleUnderline"/>
        </w:rPr>
        <w:t>instead of discrete categories of weak and strong states</w:t>
      </w:r>
      <w:r w:rsidRPr="00292257">
        <w:rPr>
          <w:sz w:val="16"/>
        </w:rPr>
        <w:t xml:space="preserve">.136 </w:t>
      </w:r>
      <w:r w:rsidRPr="00292257">
        <w:rPr>
          <w:rStyle w:val="Emphasis"/>
        </w:rPr>
        <w:t xml:space="preserve">They question </w:t>
      </w:r>
      <w:r w:rsidRPr="00292257">
        <w:rPr>
          <w:sz w:val="16"/>
        </w:rPr>
        <w:t xml:space="preserve">‘the politics of </w:t>
      </w:r>
      <w:r w:rsidRPr="00292257">
        <w:rPr>
          <w:rStyle w:val="Emphasis"/>
        </w:rPr>
        <w:t>conventional security studies’ that assumes that ‘the powerful</w:t>
      </w:r>
      <w:r w:rsidRPr="00292257">
        <w:rPr>
          <w:sz w:val="16"/>
        </w:rPr>
        <w:t>, m</w:t>
      </w:r>
      <w:r w:rsidRPr="00292257">
        <w:rPr>
          <w:rStyle w:val="Emphasis"/>
        </w:rPr>
        <w:t>ost prominently the West,</w:t>
      </w:r>
      <w:r w:rsidRPr="00292257">
        <w:rPr>
          <w:sz w:val="16"/>
        </w:rPr>
        <w:t xml:space="preserve"> other great powers and their clients </w:t>
      </w:r>
      <w:r w:rsidRPr="00292257">
        <w:rPr>
          <w:rStyle w:val="Emphasis"/>
        </w:rPr>
        <w:t>... have the right to bear arms’</w:t>
      </w:r>
      <w:r w:rsidRPr="00292257">
        <w:rPr>
          <w:sz w:val="16"/>
        </w:rPr>
        <w:t xml:space="preserve">.137 </w:t>
      </w:r>
      <w:r w:rsidRPr="00292257">
        <w:rPr>
          <w:rStyle w:val="StyleUnderline"/>
        </w:rPr>
        <w:t>In the face of such ‘profound inequalities’</w:t>
      </w:r>
      <w:r w:rsidRPr="00292257">
        <w:rPr>
          <w:sz w:val="16"/>
        </w:rPr>
        <w:t xml:space="preserve">, </w:t>
      </w:r>
      <w:r w:rsidRPr="00292257">
        <w:rPr>
          <w:rStyle w:val="StyleUnderline"/>
        </w:rPr>
        <w:t>they insist that it is ‘only to be expected’ that ‘the “natives” have the right to bear arms</w:t>
      </w:r>
      <w:r w:rsidRPr="00292257">
        <w:rPr>
          <w:sz w:val="16"/>
        </w:rPr>
        <w:t xml:space="preserve"> for purposes of their own liberatory projects, even those we profoundly disagree with’.138 This position is further defended by their argument that </w:t>
      </w:r>
      <w:r w:rsidRPr="00292257">
        <w:rPr>
          <w:rStyle w:val="StyleUnderline"/>
        </w:rPr>
        <w:t>their point ‘is not to make definitive normative judgements concerning the relative merits of these efforts</w:t>
      </w:r>
      <w:r w:rsidRPr="00292257">
        <w:rPr>
          <w:sz w:val="16"/>
        </w:rPr>
        <w:t xml:space="preserve">. Rather, </w:t>
      </w:r>
      <w:r w:rsidRPr="00292257">
        <w:rPr>
          <w:rStyle w:val="Emphasis"/>
        </w:rPr>
        <w:t>the purpose is to draw out the political implications of our critique of Eurocentrism in security studies</w:t>
      </w:r>
      <w:r w:rsidRPr="00292257">
        <w:rPr>
          <w:sz w:val="16"/>
        </w:rPr>
        <w:t xml:space="preserve">’.139 While the need for a contrapuntal analysis of practices of arms control and disarmament is desirable, the emphasis on a tit-for-tat approach with regard to acquisition and use of weapons will fail to address the menace of weapons. This approach smacks of a dearth of creative thinking even as it seeks to question and undermine the dominant assumptions that control and regulate practices of arms control and disarmament. While Barkawi and Laffey are driven to suggest that given the inequalities embedded in practices of arms control and disarmament it is justified for the nonWestern world to arm itself, Hugh </w:t>
      </w:r>
      <w:r w:rsidRPr="00292257">
        <w:rPr>
          <w:rStyle w:val="StyleUnderline"/>
        </w:rPr>
        <w:t>Gusterson asserts that artificial polarized divisions</w:t>
      </w:r>
      <w:r w:rsidRPr="00292257">
        <w:rPr>
          <w:sz w:val="16"/>
        </w:rPr>
        <w:t xml:space="preserve"> </w:t>
      </w:r>
      <w:r w:rsidRPr="00292257">
        <w:rPr>
          <w:rStyle w:val="StyleUnderline"/>
        </w:rPr>
        <w:t>maintained between the nuclear haves and have-nots are an ‘unsustainable binary opposition’ that cannot be maintained</w:t>
      </w:r>
      <w:r w:rsidRPr="00292257">
        <w:rPr>
          <w:sz w:val="16"/>
        </w:rPr>
        <w:t xml:space="preserve"> in the long run.140 </w:t>
      </w:r>
      <w:r w:rsidRPr="00292257">
        <w:rPr>
          <w:rStyle w:val="StyleUnderline"/>
        </w:rPr>
        <w:t>This encourages him to even more strongly champion the cause of disarmament</w:t>
      </w:r>
      <w:r w:rsidRPr="00292257">
        <w:rPr>
          <w:sz w:val="16"/>
        </w:rPr>
        <w:t>. Gusterson recognizes that ‘</w:t>
      </w:r>
      <w:r w:rsidRPr="00292257">
        <w:rPr>
          <w:rStyle w:val="Emphasis"/>
        </w:rPr>
        <w:t>our conversations about policy</w:t>
      </w:r>
      <w:r w:rsidRPr="00292257">
        <w:rPr>
          <w:sz w:val="16"/>
        </w:rPr>
        <w:t xml:space="preserve"> choices </w:t>
      </w:r>
      <w:r w:rsidRPr="00292257">
        <w:rPr>
          <w:rStyle w:val="Emphasis"/>
        </w:rPr>
        <w:t>on the nuclear issue may</w:t>
      </w:r>
      <w:r w:rsidRPr="00292257">
        <w:rPr>
          <w:sz w:val="16"/>
        </w:rPr>
        <w:t xml:space="preserve"> unthinkingly </w:t>
      </w:r>
      <w:r w:rsidRPr="00292257">
        <w:rPr>
          <w:rStyle w:val="Emphasis"/>
        </w:rPr>
        <w:t>incorporate</w:t>
      </w:r>
      <w:r w:rsidRPr="00292257">
        <w:rPr>
          <w:sz w:val="16"/>
        </w:rPr>
        <w:t xml:space="preserve"> certain </w:t>
      </w:r>
      <w:r w:rsidRPr="00292257">
        <w:rPr>
          <w:rStyle w:val="Emphasis"/>
        </w:rPr>
        <w:t>neocolonial hierarchies and assumptions that</w:t>
      </w:r>
      <w:r w:rsidRPr="00292257">
        <w:rPr>
          <w:sz w:val="16"/>
        </w:rPr>
        <w:t xml:space="preserve">, when drawn to our attention, </w:t>
      </w:r>
      <w:r w:rsidRPr="00292257">
        <w:rPr>
          <w:rStyle w:val="Emphasis"/>
        </w:rPr>
        <w:t>many of us would disown’</w:t>
      </w:r>
      <w:r w:rsidRPr="00292257">
        <w:rPr>
          <w:sz w:val="16"/>
        </w:rPr>
        <w:t xml:space="preserve">.141 He is critical of the racial undertones of these conversations and insists that in addressing these dangers, </w:t>
      </w:r>
      <w:r w:rsidRPr="00292257">
        <w:rPr>
          <w:rStyle w:val="Emphasis"/>
        </w:rPr>
        <w:t>efforts should be made not to ‘demean the peoples of the Third World</w:t>
      </w:r>
      <w:r w:rsidRPr="00292257">
        <w:rPr>
          <w:sz w:val="16"/>
        </w:rPr>
        <w:t xml:space="preserve">. </w:t>
      </w:r>
      <w:r w:rsidRPr="00292257">
        <w:rPr>
          <w:rStyle w:val="Emphasis"/>
        </w:rPr>
        <w:t>Nor should they be represented in ways that obscure both the dangers inherent in the continued maintenance of our own nuclear arsenals and the fact that our own actions are often a source of the instabilities we so fear in Third World nations</w:t>
      </w:r>
      <w:r w:rsidRPr="00292257">
        <w:rPr>
          <w:sz w:val="16"/>
        </w:rPr>
        <w:t xml:space="preserve">’.142 In an effort to discard the existing binaries, </w:t>
      </w:r>
      <w:r w:rsidRPr="00292257">
        <w:rPr>
          <w:rStyle w:val="StyleUnderline"/>
        </w:rPr>
        <w:t xml:space="preserve">Gusterson suggests three </w:t>
      </w:r>
      <w:r w:rsidRPr="00292257">
        <w:rPr>
          <w:sz w:val="16"/>
        </w:rPr>
        <w:t xml:space="preserve">discursive </w:t>
      </w:r>
      <w:r w:rsidRPr="00292257">
        <w:rPr>
          <w:rStyle w:val="StyleUnderline"/>
        </w:rPr>
        <w:t>strategies of ‘exclusion’, ‘participation’, and ‘renunciation’</w:t>
      </w:r>
      <w:r w:rsidRPr="00292257">
        <w:rPr>
          <w:sz w:val="16"/>
        </w:rPr>
        <w:t>.143 The strategy of</w:t>
      </w:r>
      <w:r w:rsidRPr="00292257">
        <w:rPr>
          <w:rStyle w:val="StyleUnderline"/>
        </w:rPr>
        <w:t xml:space="preserve"> </w:t>
      </w:r>
      <w:r w:rsidRPr="00292257">
        <w:rPr>
          <w:rStyle w:val="Emphasis"/>
        </w:rPr>
        <w:t>exclusion demands an</w:t>
      </w:r>
      <w:r w:rsidRPr="00292257">
        <w:rPr>
          <w:rStyle w:val="StyleUnderline"/>
        </w:rPr>
        <w:t xml:space="preserve"> honest</w:t>
      </w:r>
      <w:r w:rsidRPr="00292257">
        <w:rPr>
          <w:sz w:val="16"/>
        </w:rPr>
        <w:t xml:space="preserve"> </w:t>
      </w:r>
      <w:r w:rsidRPr="00292257">
        <w:rPr>
          <w:rStyle w:val="Emphasis"/>
        </w:rPr>
        <w:t>rejection of ‘easy racism’ and ‘phony moralism’</w:t>
      </w:r>
      <w:r w:rsidRPr="00292257">
        <w:rPr>
          <w:sz w:val="16"/>
        </w:rPr>
        <w:t xml:space="preserve"> </w:t>
      </w:r>
      <w:r w:rsidRPr="00292257">
        <w:rPr>
          <w:rStyle w:val="Emphasis"/>
        </w:rPr>
        <w:t>with an acknowledgement that nuclear weapons ‘are a prerogative of power,</w:t>
      </w:r>
      <w:r w:rsidRPr="00292257">
        <w:rPr>
          <w:sz w:val="16"/>
        </w:rPr>
        <w:t xml:space="preserve"> </w:t>
      </w:r>
      <w:r w:rsidRPr="00292257">
        <w:rPr>
          <w:rStyle w:val="Emphasis"/>
        </w:rPr>
        <w:t>and the powerful have no intention of allowing the powerless to acquire them’.</w:t>
      </w:r>
      <w:r w:rsidRPr="00292257">
        <w:rPr>
          <w:sz w:val="16"/>
        </w:rPr>
        <w:t xml:space="preserve">144 The strategy of </w:t>
      </w:r>
      <w:r w:rsidRPr="00292257">
        <w:rPr>
          <w:rStyle w:val="StyleUnderline"/>
        </w:rPr>
        <w:t>participation accepts that</w:t>
      </w:r>
      <w:r w:rsidRPr="00292257">
        <w:rPr>
          <w:sz w:val="16"/>
        </w:rPr>
        <w:t xml:space="preserve"> </w:t>
      </w:r>
      <w:r w:rsidRPr="00292257">
        <w:rPr>
          <w:rStyle w:val="StyleUnderline"/>
        </w:rPr>
        <w:t>all countries pursue nuclear weapons</w:t>
      </w:r>
      <w:r w:rsidRPr="00292257">
        <w:rPr>
          <w:sz w:val="16"/>
        </w:rPr>
        <w:t xml:space="preserve"> ‘</w:t>
      </w:r>
      <w:r w:rsidRPr="00292257">
        <w:rPr>
          <w:rStyle w:val="StyleUnderline"/>
        </w:rPr>
        <w:t xml:space="preserve">in search of greater security </w:t>
      </w:r>
      <w:r w:rsidRPr="00292257">
        <w:rPr>
          <w:sz w:val="16"/>
        </w:rPr>
        <w:t xml:space="preserve">vis-a`-vis regional rivals and out of a desire to shift the balance of power in their client relationships with the superpowers’.145 </w:t>
      </w:r>
      <w:r w:rsidRPr="00292257">
        <w:rPr>
          <w:rStyle w:val="StyleUnderline"/>
        </w:rPr>
        <w:t>Third is</w:t>
      </w:r>
      <w:r w:rsidRPr="00292257">
        <w:rPr>
          <w:rStyle w:val="Emphasis"/>
        </w:rPr>
        <w:t xml:space="preserve"> </w:t>
      </w:r>
      <w:r w:rsidRPr="00292257">
        <w:rPr>
          <w:rStyle w:val="StyleUnderline"/>
        </w:rPr>
        <w:t>the</w:t>
      </w:r>
      <w:r w:rsidRPr="00292257">
        <w:rPr>
          <w:sz w:val="16"/>
        </w:rPr>
        <w:t xml:space="preserve"> more demanding </w:t>
      </w:r>
      <w:r w:rsidRPr="00292257">
        <w:rPr>
          <w:rStyle w:val="StyleUnderline"/>
        </w:rPr>
        <w:t>strategy of renunciation</w:t>
      </w:r>
      <w:r w:rsidRPr="00292257">
        <w:rPr>
          <w:sz w:val="16"/>
        </w:rPr>
        <w:t xml:space="preserve">, </w:t>
      </w:r>
      <w:r w:rsidRPr="00292257">
        <w:rPr>
          <w:rStyle w:val="Emphasis"/>
        </w:rPr>
        <w:t xml:space="preserve">which urges the need for greater reflexivity on orientalist </w:t>
      </w:r>
      <w:r w:rsidRPr="00292257">
        <w:rPr>
          <w:sz w:val="16"/>
        </w:rPr>
        <w:t xml:space="preserve">350 CONTEMPORARY SECURITY POLICY Contemporary Security Policy 2014.35:332-355. </w:t>
      </w:r>
      <w:r w:rsidRPr="00292257">
        <w:rPr>
          <w:rStyle w:val="Emphasis"/>
        </w:rPr>
        <w:t>discourses</w:t>
      </w:r>
      <w:r w:rsidRPr="00292257">
        <w:rPr>
          <w:sz w:val="16"/>
        </w:rPr>
        <w:t xml:space="preserve"> that accompany weapons proliferation. </w:t>
      </w:r>
      <w:r w:rsidRPr="00292257">
        <w:rPr>
          <w:rStyle w:val="StyleUnderline"/>
        </w:rPr>
        <w:t>This reflexivity will enable</w:t>
      </w:r>
      <w:r w:rsidRPr="00292257">
        <w:rPr>
          <w:sz w:val="16"/>
        </w:rPr>
        <w:t xml:space="preserve"> </w:t>
      </w:r>
      <w:r w:rsidRPr="00292257">
        <w:rPr>
          <w:rStyle w:val="StyleUnderline"/>
        </w:rPr>
        <w:t>a confrontation with</w:t>
      </w:r>
      <w:r w:rsidRPr="00292257">
        <w:rPr>
          <w:sz w:val="16"/>
        </w:rPr>
        <w:t xml:space="preserve"> ‘those parts of our own personality and culture which appear as the childish, irrational, lawless, or feminine aspects of the Other’ but which conceal ‘</w:t>
      </w:r>
      <w:r w:rsidRPr="00292257">
        <w:rPr>
          <w:rStyle w:val="StyleUnderline"/>
        </w:rPr>
        <w:t>our doubts about ourselves</w:t>
      </w:r>
      <w:r w:rsidRPr="00292257">
        <w:rPr>
          <w:sz w:val="16"/>
        </w:rPr>
        <w:t xml:space="preserve"> </w:t>
      </w:r>
      <w:r w:rsidRPr="00292257">
        <w:rPr>
          <w:rStyle w:val="StyleUnderline"/>
        </w:rPr>
        <w:t>instead of harping continuously on our doubts about others’</w:t>
      </w:r>
      <w:r w:rsidRPr="00292257">
        <w:rPr>
          <w:sz w:val="16"/>
        </w:rPr>
        <w:t>.14</w:t>
      </w:r>
    </w:p>
    <w:p w:rsidR="003377F8" w:rsidRPr="00292257" w:rsidRDefault="003377F8" w:rsidP="003377F8">
      <w:pPr>
        <w:pStyle w:val="Heading3"/>
      </w:pPr>
      <w:r w:rsidRPr="00292257">
        <w:lastRenderedPageBreak/>
        <w:t>Decolonial Demand</w:t>
      </w:r>
    </w:p>
    <w:p w:rsidR="003377F8" w:rsidRPr="00292257" w:rsidRDefault="003377F8" w:rsidP="005C59F8">
      <w:pPr>
        <w:spacing w:after="0" w:line="240" w:lineRule="auto"/>
      </w:pPr>
      <w:r w:rsidRPr="00292257">
        <w:rPr>
          <w:rFonts w:eastAsiaTheme="majorEastAsia" w:cstheme="majorBidi"/>
          <w:b/>
          <w:bCs/>
          <w:sz w:val="26"/>
          <w:szCs w:val="26"/>
        </w:rPr>
        <w:t>The alternative is a decolonial demand, an insurrection against the logic of elimination that drives the clearing of the land and reproduction of violent colonial relations</w:t>
      </w:r>
      <w:r w:rsidRPr="00292257">
        <w:t xml:space="preserve"> </w:t>
      </w:r>
      <w:r w:rsidRPr="00292257">
        <w:br/>
      </w:r>
      <w:r w:rsidRPr="00292257">
        <w:rPr>
          <w:rStyle w:val="Style13ptBold"/>
        </w:rPr>
        <w:t>Verracini 16</w:t>
      </w:r>
      <w:r w:rsidRPr="00292257">
        <w:t xml:space="preserve"> (Lorenzo Veracini is an associate Professor in History at Swinburne University of Technology in Melbourne, Australia. His research focuses on the comparative history of colonial systems and settler colonialism. (2016) “Afterword: a history of the settler colonial present, Settler Colonial Studies”, 6:2, 174-179, DOI: 10.1080/00048623.2015.1024304//JrH)</w:t>
      </w:r>
      <w:r w:rsidRPr="00292257">
        <w:br/>
        <w:t xml:space="preserve">A type of </w:t>
      </w:r>
      <w:r w:rsidRPr="00292257">
        <w:rPr>
          <w:rStyle w:val="StyleUnderline"/>
        </w:rPr>
        <w:t>possession that systematically disavows</w:t>
      </w:r>
      <w:r w:rsidRPr="00292257">
        <w:t xml:space="preserve"> previous </w:t>
      </w:r>
      <w:r w:rsidRPr="00292257">
        <w:rPr>
          <w:rStyle w:val="StyleUnderline"/>
        </w:rPr>
        <w:t>relationships to the land</w:t>
      </w:r>
      <w:r w:rsidRPr="00292257">
        <w:t xml:space="preserve">, the </w:t>
      </w:r>
      <w:r w:rsidRPr="00292257">
        <w:rPr>
          <w:rStyle w:val="StyleUnderline"/>
        </w:rPr>
        <w:t>pervasive influence of settler colonial geographies</w:t>
      </w:r>
      <w:r w:rsidRPr="00292257">
        <w:t xml:space="preserve">, </w:t>
      </w:r>
      <w:r w:rsidRPr="00292257">
        <w:rPr>
          <w:rStyle w:val="StyleUnderline"/>
        </w:rPr>
        <w:t>projects of elimination</w:t>
      </w:r>
      <w:r w:rsidRPr="00292257">
        <w:t xml:space="preserve"> that target indigenous socio-reproductive capacities, the pervasive influence of specifically </w:t>
      </w:r>
      <w:r w:rsidRPr="00292257">
        <w:rPr>
          <w:rStyle w:val="StyleUnderline"/>
        </w:rPr>
        <w:t>settler colonial violent attacks against indigenous and exogenous alterities, and</w:t>
      </w:r>
      <w:r w:rsidRPr="00292257">
        <w:t xml:space="preserve"> an old/new type of </w:t>
      </w:r>
      <w:r w:rsidRPr="00292257">
        <w:rPr>
          <w:rStyle w:val="StyleUnderline"/>
        </w:rPr>
        <w:t xml:space="preserve">capitalist accumulation </w:t>
      </w:r>
      <w:r w:rsidRPr="00292257">
        <w:t xml:space="preserve">that ‘indigenises’ colonial subjectivities: </w:t>
      </w:r>
      <w:r w:rsidRPr="00292257">
        <w:rPr>
          <w:rStyle w:val="Emphasis"/>
        </w:rPr>
        <w:t>this is the settler colonial present.</w:t>
      </w:r>
      <w:r w:rsidRPr="00292257">
        <w:t xml:space="preserve"> However, as they critically analyse the settler colonial present, these papers </w:t>
      </w:r>
      <w:r w:rsidRPr="00292257">
        <w:rPr>
          <w:rStyle w:val="StyleUnderline"/>
        </w:rPr>
        <w:t>also</w:t>
      </w:r>
      <w:r w:rsidRPr="00292257">
        <w:t xml:space="preserve"> suggest </w:t>
      </w:r>
      <w:r w:rsidRPr="00292257">
        <w:rPr>
          <w:rStyle w:val="Emphasis"/>
        </w:rPr>
        <w:t>ways out of the settler colonial relation</w:t>
      </w:r>
      <w:r w:rsidRPr="00292257">
        <w:t xml:space="preserve">. They </w:t>
      </w:r>
      <w:r w:rsidRPr="00292257">
        <w:rPr>
          <w:rStyle w:val="StyleUnderline"/>
        </w:rPr>
        <w:t>identify its specific structures</w:t>
      </w:r>
      <w:r w:rsidRPr="00292257">
        <w:t xml:space="preserve">. They recommend that we </w:t>
      </w:r>
      <w:r w:rsidRPr="00292257">
        <w:rPr>
          <w:rStyle w:val="StyleUnderline"/>
        </w:rPr>
        <w:t>challenge notions of possession that negate the legitimate claims of prior owners</w:t>
      </w:r>
      <w:r w:rsidRPr="00292257">
        <w:t xml:space="preserve">, that sustain indigenous isolation, and that prevent the social reproduction of indigenous communities. They challenge </w:t>
      </w:r>
      <w:r w:rsidRPr="00292257">
        <w:rPr>
          <w:rStyle w:val="StyleUnderline"/>
        </w:rPr>
        <w:t>the ongoing power of</w:t>
      </w:r>
      <w:r w:rsidRPr="00292257">
        <w:t xml:space="preserve"> typically </w:t>
      </w:r>
      <w:r w:rsidRPr="00292257">
        <w:rPr>
          <w:rStyle w:val="StyleUnderline"/>
        </w:rPr>
        <w:t>settler colonial narratives, the permanence of specifically settler colonial modes of violence, and</w:t>
      </w:r>
      <w:r w:rsidRPr="00292257">
        <w:t xml:space="preserve"> ongoing </w:t>
      </w:r>
      <w:r w:rsidRPr="00292257">
        <w:rPr>
          <w:rStyle w:val="StyleUnderline"/>
        </w:rPr>
        <w:t>processes of accumulation by dispossession</w:t>
      </w:r>
      <w:r w:rsidRPr="00292257">
        <w:t xml:space="preserve">. Collectively, the authors contributing to this collection propose </w:t>
      </w:r>
      <w:r w:rsidRPr="00292257">
        <w:rPr>
          <w:rStyle w:val="Emphasis"/>
        </w:rPr>
        <w:t>a decolonial strategy</w:t>
      </w:r>
      <w:r w:rsidRPr="00292257">
        <w:t xml:space="preserve">. As a way to conclude, I want to very briefly add to this strategy. The </w:t>
      </w:r>
      <w:r w:rsidRPr="00292257">
        <w:rPr>
          <w:rStyle w:val="StyleUnderline"/>
        </w:rPr>
        <w:t>decolonisation of settler colonial forms should begin from the appraisal of the settler colonial ‘situation’.</w:t>
      </w:r>
      <w:r w:rsidRPr="00292257">
        <w:t xml:space="preserve"> </w:t>
      </w:r>
      <w:r w:rsidRPr="00292257">
        <w:rPr>
          <w:rStyle w:val="Emphasis"/>
        </w:rPr>
        <w:t>A fundamental and unrelenting demand</w:t>
      </w:r>
      <w:r w:rsidRPr="00292257">
        <w:t xml:space="preserve"> that indigenous people ‘go die’ ultimately envisages a non-relation. Hypothetical settler departure, however, would also constitute a non-relation. </w:t>
      </w:r>
      <w:r w:rsidRPr="00292257">
        <w:rPr>
          <w:rStyle w:val="StyleUnderline"/>
        </w:rPr>
        <w:t>A decolonised post-settler colonial relation must be ongoing</w:t>
      </w:r>
      <w:r w:rsidRPr="00292257">
        <w:t>. If settler colonialism is fundamentally characterised, to use Patrick Wolfe’s terminology and framework, by settlers that ‘come to stay’ and by an unrelenting ‘logic of elimination’, the way out needs to turn the former against the latter</w:t>
      </w:r>
      <w:r w:rsidRPr="00292257">
        <w:rPr>
          <w:rStyle w:val="StyleUnderline"/>
        </w:rPr>
        <w:t>. Settlers must renounce and denounce the logic of elimination</w:t>
      </w:r>
      <w:r w:rsidRPr="00292257">
        <w:t>. For this they need indigenous leadership.</w:t>
      </w:r>
    </w:p>
    <w:p w:rsidR="005C59F8" w:rsidRPr="00292257" w:rsidRDefault="005C59F8" w:rsidP="005C59F8">
      <w:pPr>
        <w:spacing w:after="0" w:line="240" w:lineRule="auto"/>
      </w:pPr>
    </w:p>
    <w:p w:rsidR="00305313" w:rsidRPr="00292257" w:rsidRDefault="00305313" w:rsidP="00305313">
      <w:pPr>
        <w:pStyle w:val="Heading4"/>
        <w:rPr>
          <w:rFonts w:cs="Arial"/>
        </w:rPr>
      </w:pPr>
      <w:r w:rsidRPr="00292257">
        <w:rPr>
          <w:rFonts w:cs="Arial"/>
        </w:rPr>
        <w:t>Education is inseparable from the notion of decolonial justice—dominant pedagogies repeat genocide against indigenous peoples through structural violence</w:t>
      </w:r>
    </w:p>
    <w:p w:rsidR="00305313" w:rsidRPr="00292257" w:rsidRDefault="00305313" w:rsidP="00305313">
      <w:r w:rsidRPr="00292257">
        <w:rPr>
          <w:rStyle w:val="Style13ptBold"/>
        </w:rPr>
        <w:t>Courtney-Lawson 2013</w:t>
      </w:r>
      <w:r w:rsidRPr="00292257">
        <w:t xml:space="preserve"> (Summerbrook, Elon University, “The Cultural Decline of Native Americans”, </w:t>
      </w:r>
      <w:hyperlink r:id="rId20" w:history="1">
        <w:r w:rsidRPr="00292257">
          <w:rPr>
            <w:rStyle w:val="Hyperlink"/>
          </w:rPr>
          <w:t>http://www.elon.edu/e-web/academics/writing_excellence/contest/Contest%20Entry%20Courtney-Lawson%20Essay.xhtml</w:t>
        </w:r>
      </w:hyperlink>
      <w:r w:rsidRPr="00292257">
        <w:t>)</w:t>
      </w:r>
    </w:p>
    <w:p w:rsidR="00305313" w:rsidRPr="00292257" w:rsidRDefault="00305313" w:rsidP="005027D7">
      <w:r w:rsidRPr="00292257">
        <w:rPr>
          <w:sz w:val="16"/>
        </w:rPr>
        <w:t>Since the arrival of the Europeans, Native Americans have struggled to maintain ownership of their land and sacred burial grounds. American Indian author</w:t>
      </w:r>
      <w:r w:rsidRPr="00292257">
        <w:rPr>
          <w:rStyle w:val="Heading3Char"/>
          <w:rFonts w:cs="Arial"/>
          <w:sz w:val="22"/>
          <w:szCs w:val="22"/>
        </w:rPr>
        <w:t>, Vine Deloria</w:t>
      </w:r>
      <w:r w:rsidRPr="00292257">
        <w:rPr>
          <w:sz w:val="16"/>
        </w:rPr>
        <w:t xml:space="preserve">, Jr., author of “God is Red”, </w:t>
      </w:r>
      <w:r w:rsidRPr="00292257">
        <w:rPr>
          <w:rStyle w:val="Heading3Char"/>
          <w:rFonts w:cs="Arial"/>
          <w:sz w:val="22"/>
          <w:szCs w:val="22"/>
        </w:rPr>
        <w:t xml:space="preserve">wrote </w:t>
      </w:r>
      <w:r w:rsidRPr="00292257">
        <w:rPr>
          <w:sz w:val="16"/>
        </w:rPr>
        <w:t>about the Aboriginal World and Christian History. He explained that, “</w:t>
      </w:r>
      <w:r w:rsidRPr="00292257">
        <w:rPr>
          <w:rStyle w:val="Heading3Char"/>
          <w:rFonts w:cs="Arial"/>
          <w:sz w:val="22"/>
          <w:szCs w:val="22"/>
        </w:rPr>
        <w:t>The status of</w:t>
      </w:r>
      <w:r w:rsidRPr="00292257">
        <w:rPr>
          <w:sz w:val="16"/>
        </w:rPr>
        <w:t xml:space="preserve"> </w:t>
      </w:r>
      <w:r w:rsidRPr="00292257">
        <w:rPr>
          <w:rStyle w:val="Heading3Char"/>
          <w:rFonts w:cs="Arial"/>
          <w:sz w:val="22"/>
          <w:szCs w:val="22"/>
        </w:rPr>
        <w:t xml:space="preserve">native peoples around the globe was firmly cemented by the intervention of </w:t>
      </w:r>
      <w:r w:rsidRPr="00292257">
        <w:rPr>
          <w:sz w:val="16"/>
        </w:rPr>
        <w:t xml:space="preserve">Christianity into the political affairs of exploration and </w:t>
      </w:r>
      <w:r w:rsidRPr="00292257">
        <w:rPr>
          <w:rStyle w:val="Heading3Char"/>
          <w:rFonts w:cs="Arial"/>
          <w:sz w:val="22"/>
          <w:szCs w:val="22"/>
        </w:rPr>
        <w:t>colonization</w:t>
      </w:r>
      <w:r w:rsidRPr="00292257">
        <w:rPr>
          <w:sz w:val="16"/>
        </w:rPr>
        <w:t xml:space="preserve">. </w:t>
      </w:r>
      <w:r w:rsidRPr="00292257">
        <w:rPr>
          <w:rStyle w:val="Heading3Char"/>
          <w:rFonts w:cs="Arial"/>
          <w:sz w:val="22"/>
          <w:szCs w:val="22"/>
        </w:rPr>
        <w:t>They</w:t>
      </w:r>
      <w:r w:rsidRPr="00292257">
        <w:rPr>
          <w:sz w:val="16"/>
        </w:rPr>
        <w:t xml:space="preserve"> </w:t>
      </w:r>
      <w:r w:rsidRPr="00292257">
        <w:rPr>
          <w:rStyle w:val="Heading3Char"/>
          <w:rFonts w:cs="Arial"/>
          <w:sz w:val="22"/>
          <w:szCs w:val="22"/>
        </w:rPr>
        <w:t>were regarded as not having ownership of their lands, but as merely existing on them</w:t>
      </w:r>
      <w:r w:rsidRPr="00292257">
        <w:rPr>
          <w:sz w:val="16"/>
        </w:rPr>
        <w:t xml:space="preserve"> at the pleasure of the Christian God who had </w:t>
      </w:r>
      <w:r w:rsidRPr="00292257">
        <w:rPr>
          <w:rStyle w:val="Heading3Char"/>
          <w:rFonts w:cs="Arial"/>
          <w:sz w:val="22"/>
          <w:szCs w:val="22"/>
        </w:rPr>
        <w:t>now given</w:t>
      </w:r>
      <w:r w:rsidRPr="00292257">
        <w:rPr>
          <w:sz w:val="16"/>
        </w:rPr>
        <w:t xml:space="preserve"> them </w:t>
      </w:r>
      <w:r w:rsidRPr="00292257">
        <w:rPr>
          <w:rStyle w:val="Heading3Char"/>
          <w:rFonts w:cs="Arial"/>
          <w:sz w:val="22"/>
          <w:szCs w:val="22"/>
        </w:rPr>
        <w:t>to the nations of Europe</w:t>
      </w:r>
      <w:r w:rsidRPr="00292257">
        <w:rPr>
          <w:sz w:val="16"/>
        </w:rPr>
        <w:t xml:space="preserve">”. (Deloria, 255) The Spanish, upon meeting tribes recited their “requirement” which included the Creation and Garden of Eden, and ending with the pope sitting on the throne in Rome. The indigenous people were asked to surrender to Christianity and if they did not, the Spanish said it was legal to wage war and “an act </w:t>
      </w:r>
      <w:r w:rsidRPr="00292257">
        <w:rPr>
          <w:sz w:val="16"/>
        </w:rPr>
        <w:lastRenderedPageBreak/>
        <w:t xml:space="preserve">of religious piety for the Europeans to wage war to wrest the lands from the people. Consequently, by the time the other European nations began to discover the Western Hemisphere, the struggle for recognition of native legal rights had disappeared.” (256-257) This article recognizes the take over of European religion and forcing Native Americans to practice Christianity instead of being free to practice Native American spirituality. </w:t>
      </w:r>
      <w:r w:rsidRPr="00292257">
        <w:rPr>
          <w:rStyle w:val="Heading3Char"/>
          <w:rFonts w:cs="Arial"/>
          <w:sz w:val="22"/>
          <w:szCs w:val="22"/>
        </w:rPr>
        <w:t>Native Americans were being deprived of their land</w:t>
      </w:r>
      <w:r w:rsidRPr="00292257">
        <w:rPr>
          <w:sz w:val="16"/>
        </w:rPr>
        <w:t xml:space="preserve">, their rights, </w:t>
      </w:r>
      <w:r w:rsidRPr="00292257">
        <w:rPr>
          <w:rStyle w:val="Heading3Char"/>
          <w:rFonts w:cs="Arial"/>
          <w:sz w:val="22"/>
          <w:szCs w:val="22"/>
        </w:rPr>
        <w:t>and their culture</w:t>
      </w:r>
      <w:r w:rsidRPr="00292257">
        <w:rPr>
          <w:sz w:val="16"/>
        </w:rPr>
        <w:t xml:space="preserve">.  “The United States of America was founded on the principle of religious freedom, yet the indigenous peoples whose land was used to establish this country were denied this freedom.” (Locust, 315) </w:t>
      </w:r>
      <w:r w:rsidRPr="00292257">
        <w:rPr>
          <w:rStyle w:val="Heading3Char"/>
          <w:rFonts w:cs="Arial"/>
          <w:sz w:val="22"/>
          <w:szCs w:val="22"/>
        </w:rPr>
        <w:t>Native American spirituality has declined drastically due to Europeans forcefully trying to convert Native Americans</w:t>
      </w:r>
      <w:r w:rsidRPr="00292257">
        <w:rPr>
          <w:sz w:val="16"/>
        </w:rPr>
        <w:t xml:space="preserve"> to Christianity. Research conducted by Carol Locust from </w:t>
      </w:r>
      <w:r w:rsidRPr="00292257">
        <w:rPr>
          <w:rStyle w:val="Heading3Char"/>
          <w:rFonts w:cs="Arial"/>
          <w:sz w:val="22"/>
          <w:szCs w:val="22"/>
        </w:rPr>
        <w:t>the Harvard Educational Review reported, “American Indians were not granted religious freedom until 1978</w:t>
      </w:r>
      <w:r w:rsidRPr="00292257">
        <w:rPr>
          <w:sz w:val="16"/>
        </w:rPr>
        <w:t xml:space="preserve">, when Congress passed the American Indian Religious Freedom Act.” (316). </w:t>
      </w:r>
      <w:r w:rsidRPr="00292257">
        <w:rPr>
          <w:rStyle w:val="Heading3Char"/>
          <w:rFonts w:cs="Arial"/>
          <w:sz w:val="22"/>
          <w:szCs w:val="22"/>
        </w:rPr>
        <w:t>This proves</w:t>
      </w:r>
      <w:r w:rsidRPr="00292257">
        <w:rPr>
          <w:sz w:val="16"/>
        </w:rPr>
        <w:t xml:space="preserve"> that </w:t>
      </w:r>
      <w:r w:rsidRPr="00292257">
        <w:rPr>
          <w:rStyle w:val="Heading3Char"/>
          <w:rFonts w:cs="Arial"/>
          <w:sz w:val="22"/>
          <w:szCs w:val="22"/>
        </w:rPr>
        <w:t>even after</w:t>
      </w:r>
      <w:r w:rsidRPr="00292257">
        <w:rPr>
          <w:sz w:val="16"/>
        </w:rPr>
        <w:t xml:space="preserve"> the passing </w:t>
      </w:r>
      <w:r w:rsidRPr="00292257">
        <w:rPr>
          <w:rStyle w:val="Heading3Char"/>
          <w:rFonts w:cs="Arial"/>
          <w:sz w:val="22"/>
          <w:szCs w:val="22"/>
        </w:rPr>
        <w:t>the Bill of Rights and the banning of slavery, it</w:t>
      </w:r>
      <w:r w:rsidRPr="00292257">
        <w:rPr>
          <w:sz w:val="16"/>
        </w:rPr>
        <w:t xml:space="preserve"> still </w:t>
      </w:r>
      <w:r w:rsidRPr="00292257">
        <w:rPr>
          <w:rStyle w:val="Heading3Char"/>
          <w:rFonts w:cs="Arial"/>
          <w:sz w:val="22"/>
          <w:szCs w:val="22"/>
        </w:rPr>
        <w:t>took</w:t>
      </w:r>
      <w:r w:rsidRPr="00292257">
        <w:rPr>
          <w:sz w:val="16"/>
        </w:rPr>
        <w:t xml:space="preserve"> over </w:t>
      </w:r>
      <w:r w:rsidRPr="00292257">
        <w:rPr>
          <w:rStyle w:val="Heading3Char"/>
          <w:rFonts w:cs="Arial"/>
          <w:sz w:val="22"/>
          <w:szCs w:val="22"/>
        </w:rPr>
        <w:t>two hundred years for Native American to be granted religious freedom</w:t>
      </w:r>
      <w:r w:rsidRPr="00292257">
        <w:rPr>
          <w:sz w:val="16"/>
        </w:rPr>
        <w:t xml:space="preserve">. </w:t>
      </w:r>
      <w:r w:rsidRPr="00292257">
        <w:rPr>
          <w:rStyle w:val="Heading3Char"/>
          <w:rFonts w:cs="Arial"/>
          <w:sz w:val="22"/>
          <w:szCs w:val="22"/>
        </w:rPr>
        <w:t>On the other hand</w:t>
      </w:r>
      <w:r w:rsidRPr="00292257">
        <w:rPr>
          <w:sz w:val="16"/>
        </w:rPr>
        <w:t xml:space="preserve">, this “cannot bring change quickly after decades of discrimination; </w:t>
      </w:r>
      <w:r w:rsidRPr="00292257">
        <w:rPr>
          <w:rStyle w:val="Heading3Char"/>
          <w:rFonts w:cs="Arial"/>
          <w:sz w:val="22"/>
          <w:szCs w:val="22"/>
        </w:rPr>
        <w:t>racist attitudes toward traditional Indian religions still exist</w:t>
      </w:r>
      <w:r w:rsidRPr="00292257">
        <w:rPr>
          <w:sz w:val="16"/>
        </w:rPr>
        <w:t>.” (316) In addition, even though religious freedom became law in 1978, religious freedom and religious customs still have been denied. In 2003, the North Carolina Prison system denied Dayle Rousey, death row inmate, a traditional spiritual advisor, ceremony, and his medicine bag. A Baptist minister was assigned to Rousey. The Baptist minister commented, “Dayle was void of any spirituality, but he (the minister) was sure he could convert him (Rousey) when he got to the death chamber.” (Cooper, 12). Dayle Rousey’s wife was informed that if she brought his medicine bag to the death chamber, she would not be granted permission to have his final moments with him. There is no program for those facing execution who seek to maintain their traditional ceremonies. Outside of death row, the general population, are not given an opportunity to worship as well. They are only allowed to receive a minimum amount of traditional articles—a feather, a few headbands, and pipe that can only be purchased. Even if this were not insult enough, these items must be purchased only through an approved vendor by the state. (12) These material items are not the basics of traditional spirituality</w:t>
      </w:r>
      <w:r w:rsidRPr="00292257">
        <w:t xml:space="preserve">. </w:t>
      </w:r>
      <w:r w:rsidRPr="00292257">
        <w:rPr>
          <w:rStyle w:val="Heading3Char"/>
          <w:rFonts w:cs="Arial"/>
          <w:sz w:val="22"/>
          <w:szCs w:val="22"/>
        </w:rPr>
        <w:t>It is depressing to think</w:t>
      </w:r>
      <w:r w:rsidRPr="00292257">
        <w:rPr>
          <w:sz w:val="16"/>
        </w:rPr>
        <w:t xml:space="preserve"> that </w:t>
      </w:r>
      <w:r w:rsidRPr="00292257">
        <w:rPr>
          <w:rStyle w:val="Heading3Char"/>
          <w:rFonts w:cs="Arial"/>
          <w:sz w:val="22"/>
          <w:szCs w:val="22"/>
        </w:rPr>
        <w:t>the dominant culture feels that Native American spirituality can be shaved down to the possession of</w:t>
      </w:r>
      <w:r w:rsidRPr="00292257">
        <w:rPr>
          <w:sz w:val="16"/>
        </w:rPr>
        <w:t xml:space="preserve"> just a few </w:t>
      </w:r>
      <w:r w:rsidRPr="00292257">
        <w:rPr>
          <w:rStyle w:val="Heading3Char"/>
          <w:rFonts w:cs="Arial"/>
          <w:sz w:val="22"/>
          <w:szCs w:val="22"/>
        </w:rPr>
        <w:t>material articles</w:t>
      </w:r>
      <w:r w:rsidRPr="00292257">
        <w:rPr>
          <w:sz w:val="16"/>
        </w:rPr>
        <w:t xml:space="preserve">. Professor, and scholars, Theda Perdue and Michael Green state, “The United States insisted that the right of conquest doctrine, which had required England to surrender its claims to the United States, also applied to the tribes. </w:t>
      </w:r>
      <w:r w:rsidRPr="00292257">
        <w:rPr>
          <w:rStyle w:val="Heading3Char"/>
          <w:rFonts w:cs="Arial"/>
          <w:sz w:val="22"/>
          <w:szCs w:val="22"/>
        </w:rPr>
        <w:t>By this reasoning, the tribes had no rights to the land</w:t>
      </w:r>
      <w:r w:rsidRPr="00292257">
        <w:rPr>
          <w:sz w:val="16"/>
        </w:rPr>
        <w:t xml:space="preserve"> and could expect to receive no compensation for the county they had to relinquish.” (Perdue, 22-23) In addition, Patrick Minges from the American Indian Quarterly stated that, “Even into the nineteenth century, </w:t>
      </w:r>
      <w:r w:rsidRPr="00292257">
        <w:rPr>
          <w:rStyle w:val="Heading3Char"/>
          <w:rFonts w:cs="Arial"/>
          <w:sz w:val="22"/>
          <w:szCs w:val="22"/>
        </w:rPr>
        <w:t>the Cherokees were noted for their cultural accommodation</w:t>
      </w:r>
      <w:r w:rsidRPr="00292257">
        <w:rPr>
          <w:sz w:val="16"/>
        </w:rPr>
        <w:t xml:space="preserve">. Only years later, </w:t>
      </w:r>
      <w:r w:rsidRPr="00292257">
        <w:rPr>
          <w:rStyle w:val="Heading3Char"/>
          <w:rFonts w:cs="Arial"/>
          <w:sz w:val="22"/>
          <w:szCs w:val="22"/>
        </w:rPr>
        <w:t>following the</w:t>
      </w:r>
      <w:r w:rsidRPr="00292257">
        <w:rPr>
          <w:sz w:val="16"/>
        </w:rPr>
        <w:t xml:space="preserve"> </w:t>
      </w:r>
      <w:r w:rsidRPr="00292257">
        <w:rPr>
          <w:rStyle w:val="Heading3Char"/>
          <w:rFonts w:cs="Arial"/>
          <w:sz w:val="22"/>
          <w:szCs w:val="22"/>
        </w:rPr>
        <w:t>introduction of Christian traditions</w:t>
      </w:r>
      <w:r w:rsidRPr="00292257">
        <w:rPr>
          <w:sz w:val="16"/>
        </w:rPr>
        <w:t xml:space="preserve"> and the ideology of race as a component within human interactions, would </w:t>
      </w:r>
      <w:r w:rsidRPr="00292257">
        <w:rPr>
          <w:rStyle w:val="Heading3Char"/>
          <w:rFonts w:cs="Arial"/>
          <w:sz w:val="22"/>
          <w:szCs w:val="22"/>
        </w:rPr>
        <w:t>a Cherokee myth of multiple origins and racial hierarchy be developed</w:t>
      </w:r>
      <w:r w:rsidRPr="00292257">
        <w:rPr>
          <w:sz w:val="16"/>
        </w:rPr>
        <w:t xml:space="preserve">.” (Minges, 456) </w:t>
      </w:r>
      <w:r w:rsidRPr="00292257">
        <w:rPr>
          <w:rStyle w:val="Heading3Char"/>
          <w:rFonts w:cs="Arial"/>
          <w:sz w:val="22"/>
          <w:szCs w:val="22"/>
        </w:rPr>
        <w:t xml:space="preserve">Due to </w:t>
      </w:r>
      <w:r w:rsidRPr="00292257">
        <w:rPr>
          <w:sz w:val="16"/>
        </w:rPr>
        <w:t>the influence of Christianity and</w:t>
      </w:r>
      <w:r w:rsidRPr="00292257">
        <w:rPr>
          <w:rStyle w:val="Heading3Char"/>
          <w:rFonts w:cs="Arial"/>
          <w:sz w:val="22"/>
          <w:szCs w:val="22"/>
        </w:rPr>
        <w:t xml:space="preserve"> the government forcing Native Americans to live on reservations, cultural expansion has been restricted</w:t>
      </w:r>
      <w:r w:rsidRPr="00292257">
        <w:rPr>
          <w:sz w:val="16"/>
        </w:rPr>
        <w:t xml:space="preserve"> and limited. In several situations, </w:t>
      </w:r>
      <w:r w:rsidRPr="00292257">
        <w:rPr>
          <w:rStyle w:val="Heading3Char"/>
          <w:rFonts w:cs="Arial"/>
          <w:sz w:val="22"/>
          <w:szCs w:val="22"/>
        </w:rPr>
        <w:t>school systems have deprived Native Americans of their culture</w:t>
      </w:r>
      <w:r w:rsidRPr="00292257">
        <w:rPr>
          <w:sz w:val="16"/>
        </w:rPr>
        <w:t xml:space="preserve"> and forbidden to speak their own language. “Discrimination against persons because of their beliefs is the most insidious kind of injustice; Ridicule of one’s spiritual beliefs or cultural teachings wounds the spirit, leaving anger and hurt that may be masked by a proud silence. </w:t>
      </w:r>
      <w:r w:rsidRPr="00292257">
        <w:rPr>
          <w:rStyle w:val="Emphasis"/>
        </w:rPr>
        <w:t>American Indians* experience</w:t>
      </w:r>
      <w:r w:rsidRPr="00292257">
        <w:rPr>
          <w:sz w:val="16"/>
        </w:rPr>
        <w:t xml:space="preserve"> this </w:t>
      </w:r>
      <w:r w:rsidRPr="00292257">
        <w:rPr>
          <w:rStyle w:val="Emphasis"/>
        </w:rPr>
        <w:t>discrimination in abundance for the sake of their traditional beliefs</w:t>
      </w:r>
      <w:r w:rsidRPr="00292257">
        <w:rPr>
          <w:sz w:val="16"/>
        </w:rPr>
        <w:t>, especially when such beliefs conflict with those of the dominate culture’s educational systems.”(Locust, 315</w:t>
      </w:r>
      <w:r w:rsidRPr="00292257">
        <w:rPr>
          <w:rStyle w:val="Heading3Char"/>
          <w:rFonts w:cs="Arial"/>
          <w:sz w:val="22"/>
          <w:szCs w:val="22"/>
        </w:rPr>
        <w:t>) The Education for All Handicapped Children Act of 1975 created a negative label for</w:t>
      </w:r>
      <w:r w:rsidRPr="00292257">
        <w:rPr>
          <w:sz w:val="16"/>
        </w:rPr>
        <w:t xml:space="preserve"> some </w:t>
      </w:r>
      <w:r w:rsidRPr="00292257">
        <w:rPr>
          <w:rStyle w:val="Heading3Char"/>
          <w:rFonts w:cs="Arial"/>
          <w:sz w:val="22"/>
          <w:szCs w:val="22"/>
        </w:rPr>
        <w:t>Native American children</w:t>
      </w:r>
      <w:r w:rsidRPr="00292257">
        <w:rPr>
          <w:sz w:val="16"/>
        </w:rPr>
        <w:t xml:space="preserve">. “It caused multitudes of children </w:t>
      </w:r>
      <w:r w:rsidRPr="00292257">
        <w:rPr>
          <w:rStyle w:val="Heading3Char"/>
          <w:rFonts w:cs="Arial"/>
          <w:sz w:val="22"/>
          <w:szCs w:val="22"/>
        </w:rPr>
        <w:t>to be labeled mentally retarded</w:t>
      </w:r>
      <w:r w:rsidRPr="00292257">
        <w:rPr>
          <w:sz w:val="16"/>
        </w:rPr>
        <w:t xml:space="preserve"> or learning disabled </w:t>
      </w:r>
      <w:r w:rsidRPr="00292257">
        <w:rPr>
          <w:rStyle w:val="Heading3Char"/>
          <w:rFonts w:cs="Arial"/>
          <w:sz w:val="22"/>
          <w:szCs w:val="22"/>
        </w:rPr>
        <w:t>who up</w:t>
      </w:r>
      <w:r w:rsidRPr="00292257">
        <w:rPr>
          <w:sz w:val="16"/>
        </w:rPr>
        <w:t xml:space="preserve"> until that time </w:t>
      </w:r>
      <w:r w:rsidRPr="00292257">
        <w:rPr>
          <w:rStyle w:val="Heading3Char"/>
          <w:rFonts w:cs="Arial"/>
          <w:sz w:val="22"/>
          <w:szCs w:val="22"/>
        </w:rPr>
        <w:t>were not considered handicapped in their own cultures</w:t>
      </w:r>
      <w:r w:rsidRPr="00292257">
        <w:rPr>
          <w:sz w:val="16"/>
        </w:rPr>
        <w:t xml:space="preserve">.” (Locust, 326) </w:t>
      </w:r>
      <w:r w:rsidRPr="00292257">
        <w:rPr>
          <w:rStyle w:val="Heading3Char"/>
          <w:rFonts w:cs="Arial"/>
          <w:sz w:val="22"/>
          <w:szCs w:val="22"/>
        </w:rPr>
        <w:t>Psychological evaluation tests</w:t>
      </w:r>
      <w:r w:rsidRPr="00292257">
        <w:rPr>
          <w:sz w:val="16"/>
        </w:rPr>
        <w:t xml:space="preserve"> </w:t>
      </w:r>
      <w:r w:rsidRPr="00292257">
        <w:rPr>
          <w:rStyle w:val="Heading3Char"/>
          <w:rFonts w:cs="Arial"/>
          <w:sz w:val="22"/>
          <w:szCs w:val="22"/>
        </w:rPr>
        <w:t>have been viewed as bias because the process does little to accommodate Native American language</w:t>
      </w:r>
      <w:r w:rsidRPr="00292257">
        <w:rPr>
          <w:sz w:val="16"/>
        </w:rPr>
        <w:t xml:space="preserve"> or “cognition styles” of other cultures. (326) </w:t>
      </w:r>
      <w:r w:rsidRPr="00292257">
        <w:rPr>
          <w:rStyle w:val="Heading3Char"/>
          <w:rFonts w:cs="Arial"/>
          <w:sz w:val="22"/>
          <w:szCs w:val="22"/>
        </w:rPr>
        <w:t>Another issue</w:t>
      </w:r>
      <w:r w:rsidRPr="00292257">
        <w:rPr>
          <w:sz w:val="16"/>
        </w:rPr>
        <w:t xml:space="preserve"> that has been disregarded in the school systems </w:t>
      </w:r>
      <w:r w:rsidRPr="00292257">
        <w:rPr>
          <w:rStyle w:val="Heading3Char"/>
          <w:rFonts w:cs="Arial"/>
          <w:sz w:val="22"/>
          <w:szCs w:val="22"/>
        </w:rPr>
        <w:t>is</w:t>
      </w:r>
      <w:r w:rsidRPr="00292257">
        <w:rPr>
          <w:sz w:val="16"/>
        </w:rPr>
        <w:t xml:space="preserve"> traditional Native American ceremonies. Locust goes on to say, “</w:t>
      </w:r>
      <w:r w:rsidRPr="00292257">
        <w:rPr>
          <w:rStyle w:val="Heading3Char"/>
          <w:rFonts w:cs="Arial"/>
          <w:sz w:val="22"/>
          <w:szCs w:val="22"/>
        </w:rPr>
        <w:t>School calendars include holidays based on Christian tradition</w:t>
      </w:r>
      <w:r w:rsidRPr="00292257">
        <w:rPr>
          <w:sz w:val="16"/>
        </w:rPr>
        <w:t xml:space="preserve"> and on national historical events. In most school systems, American Indian children do not enjoy religious freedom, but are penalized for being absent from classes while participating in traditional tribal ceremonies.” (327) In some situations, </w:t>
      </w:r>
      <w:r w:rsidRPr="00292257">
        <w:rPr>
          <w:rStyle w:val="Heading3Char"/>
          <w:rFonts w:cs="Arial"/>
          <w:sz w:val="22"/>
          <w:szCs w:val="22"/>
        </w:rPr>
        <w:t>Native American students would have to suffer humiliation by the teachers to make up for their absences</w:t>
      </w:r>
      <w:r w:rsidRPr="00292257">
        <w:rPr>
          <w:sz w:val="16"/>
        </w:rPr>
        <w:t xml:space="preserve">. In addition, </w:t>
      </w:r>
      <w:r w:rsidRPr="00292257">
        <w:rPr>
          <w:rStyle w:val="Emphasis"/>
        </w:rPr>
        <w:t>Native American students have been restricted in</w:t>
      </w:r>
      <w:r w:rsidRPr="00292257">
        <w:rPr>
          <w:rStyle w:val="Heading3Char"/>
          <w:rFonts w:cs="Arial"/>
          <w:sz w:val="22"/>
          <w:szCs w:val="22"/>
        </w:rPr>
        <w:t xml:space="preserve"> the past to </w:t>
      </w:r>
      <w:r w:rsidRPr="00292257">
        <w:rPr>
          <w:rStyle w:val="Emphasis"/>
        </w:rPr>
        <w:t>participation in academics</w:t>
      </w:r>
      <w:r w:rsidRPr="00292257">
        <w:rPr>
          <w:rStyle w:val="Heading3Char"/>
          <w:rFonts w:cs="Arial"/>
          <w:sz w:val="22"/>
          <w:szCs w:val="22"/>
        </w:rPr>
        <w:t>, clubs, and athletics.</w:t>
      </w:r>
      <w:r w:rsidRPr="00292257">
        <w:rPr>
          <w:sz w:val="16"/>
        </w:rPr>
        <w:t xml:space="preserve"> </w:t>
      </w:r>
      <w:r w:rsidRPr="00292257">
        <w:rPr>
          <w:rStyle w:val="Heading3Char"/>
          <w:rFonts w:cs="Arial"/>
          <w:sz w:val="22"/>
          <w:szCs w:val="22"/>
        </w:rPr>
        <w:t xml:space="preserve">“Indian students may not participate in group sports that </w:t>
      </w:r>
      <w:r w:rsidRPr="00292257">
        <w:rPr>
          <w:rStyle w:val="Heading3Char"/>
          <w:rFonts w:cs="Arial"/>
          <w:sz w:val="22"/>
          <w:szCs w:val="22"/>
        </w:rPr>
        <w:lastRenderedPageBreak/>
        <w:t>require uniforms</w:t>
      </w:r>
      <w:r w:rsidRPr="00292257">
        <w:rPr>
          <w:sz w:val="16"/>
        </w:rPr>
        <w:t xml:space="preserve"> or equipment that they must purchase, </w:t>
      </w:r>
      <w:r w:rsidRPr="00292257">
        <w:rPr>
          <w:rStyle w:val="Heading3Char"/>
          <w:rFonts w:cs="Arial"/>
          <w:sz w:val="22"/>
          <w:szCs w:val="22"/>
        </w:rPr>
        <w:t>for the school’s money spent on those things means that someone else must go without</w:t>
      </w:r>
      <w:r w:rsidRPr="00292257">
        <w:rPr>
          <w:sz w:val="16"/>
        </w:rPr>
        <w:t xml:space="preserve">.” (328) Locust provides a strong statement, “We remain positive that, once understanding has been established between tribal cultures and educational systems, discrimination will cease.” (329) Even in today’s society these rash actions impact the progression and teaching of Native American culture. </w:t>
      </w:r>
      <w:r w:rsidRPr="00292257">
        <w:rPr>
          <w:rStyle w:val="Heading3Char"/>
          <w:rFonts w:cs="Arial"/>
          <w:sz w:val="22"/>
          <w:szCs w:val="22"/>
        </w:rPr>
        <w:t>Discrimination towards Native Americans reaches further back into American history</w:t>
      </w:r>
      <w:r w:rsidRPr="00292257">
        <w:rPr>
          <w:sz w:val="16"/>
        </w:rPr>
        <w:t xml:space="preserve">. </w:t>
      </w:r>
      <w:r w:rsidRPr="00292257">
        <w:rPr>
          <w:rStyle w:val="Heading3Char"/>
          <w:rFonts w:cs="Arial"/>
          <w:sz w:val="22"/>
          <w:szCs w:val="22"/>
        </w:rPr>
        <w:t xml:space="preserve">In times of war, Native American soldiers were not considered equal to white soldiers. </w:t>
      </w:r>
      <w:r w:rsidRPr="00292257">
        <w:rPr>
          <w:sz w:val="16"/>
        </w:rPr>
        <w:t xml:space="preserve">During the Civil War, as white soldiers began to die by the thousands, the military began to accept Native Americans. Ely Parker, a Seneca Indian, became an aide to Ulysses S. Grant. Parker was ordered by Grant to draw up the articles of surrender for Robert E. Lee. At the surrender at Appomattox, Lee remarked, “I am glad to see one real American here,” to which Parker replied, “We are all Americans, Sir.” (Sutton and Latschar, 19) After the Civil War, the North discarded Parker’s brilliance and he died penniless. Ely Parker was discriminated against by the North because he was Native American. Parker stated, “I have little or no faith in the American Christian civilization methods of healing the Indians of this country. It has not been honest, pure or sincere. Black deception, damnable frauds and persistent oppression has been its characteristics, and its religion today is that the only good Indian is a dead one.” (19) The affiliation between Americans and Ely Parker (Native American) demonstrated the manipulation used for the selfishness of the Americans. Consequently, another innocent Native American life was lost. Following the Civil War, atrocities towards Native Americans continued. The Sand Creek Massacre in 1864 was one of the most brutal events for Native Americans. Colonel Chivington and 700 troops slaughtered over 500 Cheyenne and Arapahos who believed they were under the protection of the US Army. The majority of the dead were women, children, and elderly. (132) Many of the Cheyenne in the camp came out waving American flags, yelling, “don’t shoot”, but they were killed. The wife of Chief Black Kettle was shot nine times. Many of the survivors dragged themselves fifty miles over frozen ground to reach safety. (154-155) It was noted that, “By the time Lee surrendered to Grant, the groundwork for the final military defeat of American Indian nations had largely been laid.” (181) It can be concluded, if this group of people had been the “same” as the Europeans, tragic events such as The Sand Creek Massacre would not have even occurred. The United Methodist Church finally acknowledged their role in the Massacre (Chivington was a Methodist minister), in 1996 and as the 150th anniversary of the Massacre approaches the church is focusing on making amends to the Native people by making financial contributions towards the tribes. (Bloom, 1) </w:t>
      </w:r>
      <w:r w:rsidRPr="00292257">
        <w:rPr>
          <w:rStyle w:val="Emphasis"/>
        </w:rPr>
        <w:t>The notion of white dominance</w:t>
      </w:r>
      <w:r w:rsidRPr="00292257">
        <w:rPr>
          <w:rStyle w:val="Heading3Char"/>
          <w:rFonts w:cs="Arial"/>
          <w:sz w:val="22"/>
          <w:szCs w:val="22"/>
        </w:rPr>
        <w:t xml:space="preserve"> continued and </w:t>
      </w:r>
      <w:r w:rsidRPr="00292257">
        <w:rPr>
          <w:rStyle w:val="Emphasis"/>
        </w:rPr>
        <w:t>was displayed in horrible context during the rounding up of the Cherokee, Choctaw, Chickasaw, Creek, and Seminole tribes, forcing them on the Trail of Tears</w:t>
      </w:r>
      <w:r w:rsidRPr="00292257">
        <w:rPr>
          <w:sz w:val="16"/>
        </w:rPr>
        <w:t xml:space="preserve"> in 1838. </w:t>
      </w:r>
      <w:r w:rsidRPr="00292257">
        <w:rPr>
          <w:rStyle w:val="Heading3Char"/>
          <w:rFonts w:cs="Arial"/>
          <w:sz w:val="22"/>
          <w:szCs w:val="22"/>
        </w:rPr>
        <w:t>A direct account came from a Cherokee widow named Ooloocha. “The soldiers came and took us from home. They first surrounded our house and they took the mare</w:t>
      </w:r>
      <w:r w:rsidRPr="00292257">
        <w:rPr>
          <w:sz w:val="16"/>
        </w:rPr>
        <w:t xml:space="preserve"> while we were at work in the fields </w:t>
      </w:r>
      <w:r w:rsidRPr="00292257">
        <w:rPr>
          <w:rStyle w:val="Heading3Char"/>
          <w:rFonts w:cs="Arial"/>
          <w:sz w:val="22"/>
          <w:szCs w:val="22"/>
        </w:rPr>
        <w:t xml:space="preserve">and </w:t>
      </w:r>
      <w:r w:rsidRPr="00292257">
        <w:rPr>
          <w:sz w:val="16"/>
        </w:rPr>
        <w:t xml:space="preserve">they </w:t>
      </w:r>
      <w:r w:rsidRPr="00292257">
        <w:rPr>
          <w:rStyle w:val="Heading3Char"/>
          <w:rFonts w:cs="Arial"/>
          <w:sz w:val="22"/>
          <w:szCs w:val="22"/>
        </w:rPr>
        <w:t>drove us out of doors</w:t>
      </w:r>
      <w:r w:rsidRPr="00292257">
        <w:rPr>
          <w:sz w:val="16"/>
        </w:rPr>
        <w:t xml:space="preserve"> and did not permit us to take anything with us not even a second change of clothes, only the clothes we had on, and they shut the doors after they turned us out.” (Perdue, 124) </w:t>
      </w:r>
      <w:r w:rsidRPr="00292257">
        <w:rPr>
          <w:rStyle w:val="Heading3Char"/>
          <w:rFonts w:cs="Arial"/>
          <w:sz w:val="22"/>
          <w:szCs w:val="22"/>
        </w:rPr>
        <w:t>White ascendancy was sustained during the round up of the Cherokee. “A deaf man failed to respond to the soldiers’ commands, and they shot him dead</w:t>
      </w:r>
      <w:r w:rsidRPr="00292257">
        <w:rPr>
          <w:sz w:val="16"/>
        </w:rPr>
        <w:t xml:space="preserve">. Greedy whites often witnessed these scenes because they had flocked to the Cherokee Nation ‘to seize whatever property they could put their hands.’” (125) </w:t>
      </w:r>
      <w:r w:rsidRPr="00292257">
        <w:rPr>
          <w:rStyle w:val="Heading3Char"/>
          <w:rFonts w:cs="Arial"/>
          <w:sz w:val="22"/>
          <w:szCs w:val="22"/>
        </w:rPr>
        <w:t>The Cherokee widow and the deaf man are prime examples of how Native Americans have been discriminated against</w:t>
      </w:r>
      <w:r w:rsidRPr="00292257">
        <w:rPr>
          <w:sz w:val="16"/>
        </w:rPr>
        <w:t xml:space="preserve"> and abused. Professor and author, </w:t>
      </w:r>
      <w:r w:rsidRPr="00292257">
        <w:rPr>
          <w:rStyle w:val="Heading3Char"/>
          <w:rFonts w:cs="Arial"/>
          <w:sz w:val="22"/>
          <w:szCs w:val="22"/>
        </w:rPr>
        <w:t>Henry Shapiro, explains</w:t>
      </w:r>
      <w:r w:rsidRPr="00292257">
        <w:rPr>
          <w:sz w:val="16"/>
        </w:rPr>
        <w:t xml:space="preserve"> the mindset and behavior of </w:t>
      </w:r>
      <w:r w:rsidRPr="00292257">
        <w:rPr>
          <w:rStyle w:val="Heading3Char"/>
          <w:rFonts w:cs="Arial"/>
          <w:sz w:val="22"/>
          <w:szCs w:val="22"/>
        </w:rPr>
        <w:t>the European settler</w:t>
      </w:r>
      <w:r w:rsidRPr="00292257">
        <w:rPr>
          <w:sz w:val="16"/>
        </w:rPr>
        <w:t xml:space="preserve">. Many of them lived on tiny plots of land in Europe or Great Britain, where they barely eked out an existence. Others had never owned land. They lived at the mercy of huge landowners. Upon their arrival to the new world, “vacant” land was everywhere. The new arrivals </w:t>
      </w:r>
      <w:r w:rsidRPr="00292257">
        <w:rPr>
          <w:rStyle w:val="Heading3Char"/>
          <w:rFonts w:cs="Arial"/>
          <w:sz w:val="22"/>
          <w:szCs w:val="22"/>
        </w:rPr>
        <w:t>assumed that since it was not being occupied by the Indians, it was not being used. They had no concept of stewardship of lands</w:t>
      </w:r>
      <w:r w:rsidRPr="00292257">
        <w:rPr>
          <w:sz w:val="16"/>
        </w:rPr>
        <w:t xml:space="preserve"> or maintaining a balance in hunting grounds. </w:t>
      </w:r>
      <w:r w:rsidRPr="00292257">
        <w:rPr>
          <w:rStyle w:val="Heading3Char"/>
          <w:rFonts w:cs="Arial"/>
          <w:sz w:val="22"/>
          <w:szCs w:val="22"/>
        </w:rPr>
        <w:t>They also had no intention of keeping treaties</w:t>
      </w:r>
      <w:r w:rsidRPr="00292257">
        <w:rPr>
          <w:sz w:val="16"/>
        </w:rPr>
        <w:t xml:space="preserve"> or agreements. (Shapiro 42-55) Historian James C. Klotter states that in Kentucky, “From the first pioneer settlement in 1774 to statehood in 1892, white and red men battled over the hunting grounds…” (Klotter, 291) </w:t>
      </w:r>
      <w:r w:rsidRPr="00292257">
        <w:rPr>
          <w:rStyle w:val="Heading3Char"/>
          <w:rFonts w:cs="Arial"/>
          <w:sz w:val="22"/>
          <w:szCs w:val="22"/>
        </w:rPr>
        <w:t>The discovery of oil on Indian Reservations has once again created explosive situations endangering the land and Native Americans</w:t>
      </w:r>
      <w:r w:rsidRPr="00292257">
        <w:rPr>
          <w:sz w:val="16"/>
        </w:rPr>
        <w:t xml:space="preserve">. The </w:t>
      </w:r>
      <w:r w:rsidRPr="00292257">
        <w:rPr>
          <w:rStyle w:val="Heading3Char"/>
          <w:rFonts w:cs="Arial"/>
          <w:sz w:val="22"/>
          <w:szCs w:val="22"/>
        </w:rPr>
        <w:t>oil companies are releasing waste water onto tribal land.</w:t>
      </w:r>
      <w:r w:rsidRPr="00292257">
        <w:rPr>
          <w:sz w:val="16"/>
        </w:rPr>
        <w:t xml:space="preserve"> </w:t>
      </w:r>
      <w:r w:rsidRPr="00292257">
        <w:rPr>
          <w:rStyle w:val="Heading3Char"/>
          <w:rFonts w:cs="Arial"/>
          <w:sz w:val="22"/>
          <w:szCs w:val="22"/>
        </w:rPr>
        <w:t>Duke University environmental scientist, Robert Jackson, stated</w:t>
      </w:r>
      <w:r w:rsidRPr="00292257">
        <w:rPr>
          <w:sz w:val="16"/>
        </w:rPr>
        <w:t xml:space="preserve"> he was very surprised that this was allowed because </w:t>
      </w:r>
      <w:r w:rsidRPr="00292257">
        <w:rPr>
          <w:rStyle w:val="Emphasis"/>
        </w:rPr>
        <w:t>we should know better from previous experience</w:t>
      </w:r>
      <w:r w:rsidRPr="00292257">
        <w:rPr>
          <w:sz w:val="16"/>
        </w:rPr>
        <w:t xml:space="preserve"> (Shogren,2) In addition, non-Indians are moving onto Reservation land to work the oil fields. </w:t>
      </w:r>
      <w:r w:rsidRPr="00292257">
        <w:rPr>
          <w:rStyle w:val="Heading3Char"/>
          <w:rFonts w:cs="Arial"/>
          <w:sz w:val="22"/>
          <w:szCs w:val="22"/>
        </w:rPr>
        <w:t>The rise in violence has escalated and tribal officers are</w:t>
      </w:r>
      <w:r w:rsidRPr="00292257">
        <w:rPr>
          <w:sz w:val="16"/>
        </w:rPr>
        <w:t xml:space="preserve"> often </w:t>
      </w:r>
      <w:r w:rsidRPr="00292257">
        <w:rPr>
          <w:rStyle w:val="Heading3Char"/>
          <w:rFonts w:cs="Arial"/>
          <w:sz w:val="22"/>
          <w:szCs w:val="22"/>
        </w:rPr>
        <w:t>powerless to stop it.</w:t>
      </w:r>
      <w:r w:rsidRPr="00292257">
        <w:rPr>
          <w:sz w:val="16"/>
        </w:rPr>
        <w:t xml:space="preserve"> Freelance journalist, </w:t>
      </w:r>
      <w:r w:rsidRPr="00292257">
        <w:rPr>
          <w:rStyle w:val="Heading3Char"/>
          <w:rFonts w:cs="Arial"/>
          <w:sz w:val="22"/>
          <w:szCs w:val="22"/>
        </w:rPr>
        <w:t>Sierra Crane-Murdoch reports, “In 1978 the Supreme Court case Oliphant v. Suquamish</w:t>
      </w:r>
      <w:r w:rsidRPr="00292257">
        <w:rPr>
          <w:sz w:val="16"/>
        </w:rPr>
        <w:t xml:space="preserve"> stripped tribes of the right to arrest and prosecute non-Indians who commit crimes on Indian land.” (2) </w:t>
      </w:r>
      <w:r w:rsidRPr="00292257">
        <w:rPr>
          <w:rStyle w:val="Heading3Char"/>
          <w:rFonts w:cs="Arial"/>
          <w:sz w:val="22"/>
          <w:szCs w:val="22"/>
        </w:rPr>
        <w:t>Prosecuting crimes committed in Indian country is extremely difficult</w:t>
      </w:r>
      <w:r w:rsidRPr="00292257">
        <w:rPr>
          <w:sz w:val="16"/>
        </w:rPr>
        <w:t xml:space="preserve">. “In 2011, </w:t>
      </w:r>
      <w:r w:rsidRPr="00292257">
        <w:rPr>
          <w:rStyle w:val="Heading3Char"/>
          <w:rFonts w:cs="Arial"/>
          <w:sz w:val="22"/>
          <w:szCs w:val="22"/>
        </w:rPr>
        <w:t xml:space="preserve">the </w:t>
      </w:r>
      <w:r w:rsidRPr="00292257">
        <w:rPr>
          <w:rStyle w:val="Heading3Char"/>
          <w:rFonts w:cs="Arial"/>
          <w:sz w:val="22"/>
          <w:szCs w:val="22"/>
        </w:rPr>
        <w:lastRenderedPageBreak/>
        <w:t>U.S. Justice Department did not prosecute 65 percent of rape cases reported on reservations</w:t>
      </w:r>
      <w:r w:rsidRPr="00292257">
        <w:rPr>
          <w:sz w:val="16"/>
        </w:rPr>
        <w:t xml:space="preserve">. According to department records, </w:t>
      </w:r>
      <w:r w:rsidRPr="00292257">
        <w:rPr>
          <w:rStyle w:val="Heading3Char"/>
          <w:rFonts w:cs="Arial"/>
          <w:sz w:val="22"/>
          <w:szCs w:val="22"/>
        </w:rPr>
        <w:t>one in three Native American women are raped during their lifetimes-two-and-a-half times the likelihood for an average American woman-and in 86 percent of these cases, the assailant is non-Indian</w:t>
      </w:r>
      <w:r w:rsidRPr="00292257">
        <w:rPr>
          <w:sz w:val="16"/>
        </w:rPr>
        <w:t xml:space="preserve">.” (2-3) In April 2012, the Senate added a new provision to the Violence Against Women Act, which was first passed in 1994. This would allow tribal courts to prosecute non-Indians who sexually assaulted tribal members on Indian Land. Unfortunately the bill has stalled and set on a back shelf since House Republicans opposed the measure as “a dangerous expansion of tribal independence.” (Crane-Murdoch, 3) The movement of non-Indians onto reservations continues, as greedy corporate America drills for oil. Sadie Young Bird, director of the Fort Berthold Coalition Against Violence shared, “When the oil boom’s over, what’s it going to be like here? My staff talks about this a lot because we all want to know. They’re not going to take their trailers with them. It’ll just be deserted, with a lot of broken people.” (7) </w:t>
      </w:r>
      <w:r w:rsidRPr="00292257">
        <w:rPr>
          <w:rStyle w:val="Heading3Char"/>
          <w:rFonts w:cs="Arial"/>
          <w:sz w:val="22"/>
          <w:szCs w:val="22"/>
        </w:rPr>
        <w:t>Since the arrival of Europeans, Native American people suffered a great loss overall from the exposure of diseases</w:t>
      </w:r>
      <w:r w:rsidRPr="00292257">
        <w:rPr>
          <w:sz w:val="16"/>
        </w:rPr>
        <w:t xml:space="preserve"> that was </w:t>
      </w:r>
      <w:r w:rsidRPr="00292257">
        <w:rPr>
          <w:rStyle w:val="Heading3Char"/>
          <w:rFonts w:cs="Arial"/>
          <w:sz w:val="22"/>
          <w:szCs w:val="22"/>
        </w:rPr>
        <w:t>carried</w:t>
      </w:r>
      <w:r w:rsidRPr="00292257">
        <w:rPr>
          <w:sz w:val="16"/>
        </w:rPr>
        <w:t xml:space="preserve"> over </w:t>
      </w:r>
      <w:r w:rsidRPr="00292257">
        <w:rPr>
          <w:rStyle w:val="Heading3Char"/>
          <w:rFonts w:cs="Arial"/>
          <w:sz w:val="22"/>
          <w:szCs w:val="22"/>
        </w:rPr>
        <w:t>from Europe</w:t>
      </w:r>
      <w:r w:rsidRPr="00292257">
        <w:rPr>
          <w:sz w:val="16"/>
        </w:rPr>
        <w:t xml:space="preserve">. They had never been </w:t>
      </w:r>
      <w:r w:rsidRPr="00292257">
        <w:rPr>
          <w:rStyle w:val="Heading3Char"/>
          <w:rFonts w:cs="Arial"/>
          <w:sz w:val="22"/>
          <w:szCs w:val="22"/>
        </w:rPr>
        <w:t>exposed to measles or small pox. The impact of these diseases devastated tribes, wiping some out entirely</w:t>
      </w:r>
      <w:r w:rsidRPr="00292257">
        <w:rPr>
          <w:sz w:val="16"/>
        </w:rPr>
        <w:t xml:space="preserve">. During the trade process, Europeans acted maliciously by trading blankets that had been infected with small pox to unsuspecting Indians. Scholar, Ann Ramenofsky noted that, disease contact in the Americas has had its cultural consequences (Ramenofsky, 242) Similarly, the Pacific Coast people were forced from their ancestral lands to a reservation by the government, after their tribe was significantly reduced from epidemics. (Ruby, 185) As a result of disease and related deaths, </w:t>
      </w:r>
      <w:r w:rsidRPr="00292257">
        <w:rPr>
          <w:rStyle w:val="Heading3Char"/>
          <w:rFonts w:cs="Arial"/>
          <w:sz w:val="22"/>
          <w:szCs w:val="22"/>
        </w:rPr>
        <w:t>tribes have become extinct and a considerable amount of Native American culture has been lost forever.</w:t>
      </w:r>
      <w:r w:rsidRPr="00292257">
        <w:rPr>
          <w:sz w:val="16"/>
        </w:rPr>
        <w:t xml:space="preserve"> Despite </w:t>
      </w:r>
      <w:r w:rsidRPr="00292257">
        <w:rPr>
          <w:rStyle w:val="Heading3Char"/>
          <w:rFonts w:cs="Arial"/>
          <w:sz w:val="22"/>
          <w:szCs w:val="22"/>
        </w:rPr>
        <w:t>the recent emphasis on health care, the “health status disparities for</w:t>
      </w:r>
      <w:r w:rsidRPr="00292257">
        <w:rPr>
          <w:sz w:val="16"/>
        </w:rPr>
        <w:t xml:space="preserve"> many racial and ethnic minorities is not new in the U.S., especially among America’s </w:t>
      </w:r>
      <w:r w:rsidRPr="00292257">
        <w:rPr>
          <w:rStyle w:val="Heading3Char"/>
          <w:rFonts w:cs="Arial"/>
          <w:sz w:val="22"/>
          <w:szCs w:val="22"/>
        </w:rPr>
        <w:t>Native American population</w:t>
      </w:r>
      <w:r w:rsidRPr="00292257">
        <w:rPr>
          <w:sz w:val="16"/>
        </w:rPr>
        <w:t xml:space="preserve">.” (Grossm an, 579) Discrimination towards Native Americans has seeped into professional football and is currently being brought to the forefront. </w:t>
      </w:r>
      <w:r w:rsidRPr="00292257">
        <w:rPr>
          <w:rStyle w:val="Heading3Char"/>
          <w:rFonts w:cs="Arial"/>
          <w:sz w:val="22"/>
          <w:szCs w:val="22"/>
        </w:rPr>
        <w:t>The Washington Redskins</w:t>
      </w:r>
      <w:r w:rsidRPr="00292257">
        <w:rPr>
          <w:sz w:val="16"/>
        </w:rPr>
        <w:t xml:space="preserve">, named in 1932, </w:t>
      </w:r>
      <w:r w:rsidRPr="00292257">
        <w:rPr>
          <w:rStyle w:val="Heading3Char"/>
          <w:rFonts w:cs="Arial"/>
          <w:sz w:val="22"/>
          <w:szCs w:val="22"/>
        </w:rPr>
        <w:t>has a legacy and history rooted in racism and discrimination including the name of the team</w:t>
      </w:r>
      <w:r w:rsidRPr="00292257">
        <w:rPr>
          <w:sz w:val="16"/>
        </w:rPr>
        <w:t>. Thirty years after the race-based name was selected, the owner of the Redskins was forced to hire its first black football player in 1962, the last NFL team to do so. Dictionaries describe Redskin as offensive, taboo, disparaging, and to avoid using the word in public usage. President Barack Obama said, “I have to say that if I were the owner of the team and I knew that there was a name of my team—even if it had a storied history—that was offending a sizable group of people, I’d think about changing it.” (Newell) Attorney Gyasi Ross, a member of the Blackfeet Indian Nation asked, “</w:t>
      </w:r>
      <w:r w:rsidRPr="00292257">
        <w:rPr>
          <w:rStyle w:val="Heading3Char"/>
          <w:rFonts w:cs="Arial"/>
          <w:sz w:val="22"/>
          <w:szCs w:val="22"/>
        </w:rPr>
        <w:t>Would it be acceptable to name a professional sports team according to the color of someone else’s skin?</w:t>
      </w:r>
      <w:r w:rsidRPr="00292257">
        <w:rPr>
          <w:sz w:val="16"/>
        </w:rPr>
        <w:t xml:space="preserve"> Would it ever be cool to have a sports team called the Washington Blackskins…San Francisco Yellowskins?” Ross goes on to explain, that </w:t>
      </w:r>
      <w:r w:rsidRPr="00292257">
        <w:rPr>
          <w:rStyle w:val="Heading3Char"/>
          <w:rFonts w:cs="Arial"/>
          <w:sz w:val="22"/>
          <w:szCs w:val="22"/>
        </w:rPr>
        <w:t>the term Redskin predates the current conversation dating back to when white bounty hunters were paid for scalps only when they provided proof by showing the redskin</w:t>
      </w:r>
      <w:r w:rsidRPr="00292257">
        <w:rPr>
          <w:sz w:val="16"/>
        </w:rPr>
        <w:t xml:space="preserve">.” (Ross) Owners and fans of the Redskins have consistently maintained that Native Americans should be proud that the team is honoring them. Ross states that this debate is frustrating. He shares, “We Native people, the folks who are the only meaningful stakeholders in this debate—are not allowed to have a voice in the matter. Correct that: We can have an opinion so long as it is pro-Redskin. Otherwise, we’re being ‘too sensitive.’” (Ross) This on-going controversy has created an impact for some Native Americans because of the lack of interest for others to understand. Until recently, the majority of books written, research conducted, directors appointed to Native American museums, and university courses relating to Indian studies, have been conducted by whites. Native Americans are gradually filling these much-needed spaces. </w:t>
      </w:r>
      <w:r w:rsidRPr="00292257">
        <w:rPr>
          <w:rStyle w:val="Heading3Char"/>
          <w:rFonts w:cs="Arial"/>
          <w:sz w:val="22"/>
          <w:szCs w:val="22"/>
        </w:rPr>
        <w:t>It is imperative that Native American children are encouraged to further their education.</w:t>
      </w:r>
      <w:r w:rsidRPr="00292257">
        <w:rPr>
          <w:sz w:val="16"/>
        </w:rPr>
        <w:t xml:space="preserve"> For instance, the State of North Carolina has the largest population of Native Americans east of the Mississippi (122,000; eight state recognized tribes and one federally recognized tribe). </w:t>
      </w:r>
      <w:r w:rsidRPr="00292257">
        <w:rPr>
          <w:rStyle w:val="Heading3Char"/>
          <w:rFonts w:cs="Arial"/>
          <w:sz w:val="22"/>
          <w:szCs w:val="22"/>
        </w:rPr>
        <w:t>However, it wasn’t until the 1970s that the first Native American became a lawyer after graduating from UNC-Chapel Hill</w:t>
      </w:r>
      <w:r w:rsidRPr="00292257">
        <w:rPr>
          <w:sz w:val="16"/>
        </w:rPr>
        <w:t xml:space="preserve">. </w:t>
      </w:r>
      <w:r w:rsidRPr="00292257">
        <w:rPr>
          <w:rStyle w:val="Emphasis"/>
        </w:rPr>
        <w:t>A question no one is asking is how do we recruit Native Americans to become active</w:t>
      </w:r>
      <w:r w:rsidRPr="00292257">
        <w:rPr>
          <w:rStyle w:val="Heading3Char"/>
          <w:rFonts w:cs="Arial"/>
          <w:sz w:val="22"/>
          <w:szCs w:val="22"/>
        </w:rPr>
        <w:t xml:space="preserve"> citizens </w:t>
      </w:r>
      <w:r w:rsidRPr="00292257">
        <w:rPr>
          <w:rStyle w:val="Emphasis"/>
        </w:rPr>
        <w:t>in politics, education</w:t>
      </w:r>
      <w:r w:rsidRPr="00292257">
        <w:rPr>
          <w:sz w:val="16"/>
        </w:rPr>
        <w:t xml:space="preserve">, and diplomatic careers, medical </w:t>
      </w:r>
      <w:r w:rsidRPr="00292257">
        <w:rPr>
          <w:rStyle w:val="Emphasis"/>
        </w:rPr>
        <w:t>and legal fields?</w:t>
      </w:r>
      <w:r w:rsidRPr="00292257">
        <w:rPr>
          <w:sz w:val="16"/>
        </w:rPr>
        <w:t xml:space="preserve"> I predict that </w:t>
      </w:r>
      <w:r w:rsidRPr="00292257">
        <w:rPr>
          <w:rStyle w:val="Emphasis"/>
        </w:rPr>
        <w:t>in the next two generations, tribes such as the Eastern Band of the Cherokee will cease to exist.</w:t>
      </w:r>
      <w:r w:rsidRPr="00292257">
        <w:rPr>
          <w:sz w:val="16"/>
        </w:rPr>
        <w:t xml:space="preserve"> </w:t>
      </w:r>
      <w:r w:rsidRPr="00292257">
        <w:rPr>
          <w:rStyle w:val="Heading3Char"/>
          <w:rFonts w:cs="Arial"/>
          <w:sz w:val="22"/>
          <w:szCs w:val="22"/>
        </w:rPr>
        <w:t>There are few jobs available in or near the reservations. Tribes are moving away from what is left of the remnants of Native culture in order to find</w:t>
      </w:r>
      <w:r w:rsidRPr="00292257">
        <w:rPr>
          <w:sz w:val="16"/>
        </w:rPr>
        <w:t xml:space="preserve"> jobs and </w:t>
      </w:r>
      <w:r w:rsidRPr="00292257">
        <w:rPr>
          <w:rStyle w:val="Heading3Char"/>
          <w:rFonts w:cs="Arial"/>
          <w:sz w:val="22"/>
          <w:szCs w:val="22"/>
        </w:rPr>
        <w:t>better</w:t>
      </w:r>
      <w:r w:rsidRPr="00292257">
        <w:rPr>
          <w:sz w:val="16"/>
        </w:rPr>
        <w:t xml:space="preserve"> their </w:t>
      </w:r>
      <w:r w:rsidRPr="00292257">
        <w:rPr>
          <w:rStyle w:val="Heading3Char"/>
          <w:rFonts w:cs="Arial"/>
          <w:sz w:val="22"/>
          <w:szCs w:val="22"/>
        </w:rPr>
        <w:t>lives.</w:t>
      </w:r>
      <w:r w:rsidRPr="00292257">
        <w:rPr>
          <w:sz w:val="16"/>
        </w:rPr>
        <w:t xml:space="preserve"> It is important that today’s Americans know about their fellow Native American citizens. </w:t>
      </w:r>
      <w:r w:rsidRPr="00292257">
        <w:rPr>
          <w:rStyle w:val="Emphasis"/>
        </w:rPr>
        <w:t>History does repeat itself</w:t>
      </w:r>
      <w:r w:rsidRPr="00292257">
        <w:rPr>
          <w:sz w:val="16"/>
        </w:rPr>
        <w:t xml:space="preserve">, therefore, </w:t>
      </w:r>
      <w:r w:rsidRPr="00292257">
        <w:rPr>
          <w:rStyle w:val="Emphasis"/>
        </w:rPr>
        <w:t>it is important that Americans understand the horrible actions taken towards Native Americans in order for Americans to respond to future events and challenges.</w:t>
      </w:r>
    </w:p>
    <w:p w:rsidR="005027D7" w:rsidRPr="00292257" w:rsidRDefault="005027D7" w:rsidP="005027D7">
      <w:pPr>
        <w:pStyle w:val="Heading2"/>
      </w:pPr>
      <w:r w:rsidRPr="00292257">
        <w:lastRenderedPageBreak/>
        <w:t>Impact</w:t>
      </w:r>
      <w:r w:rsidR="00FE4E56" w:rsidRPr="00292257">
        <w:t>s</w:t>
      </w:r>
    </w:p>
    <w:p w:rsidR="00FA09C8" w:rsidRPr="00292257" w:rsidRDefault="00FA09C8" w:rsidP="00FA09C8">
      <w:pPr>
        <w:pStyle w:val="Heading3"/>
      </w:pPr>
      <w:r w:rsidRPr="00292257">
        <w:lastRenderedPageBreak/>
        <w:t>Move to innocence</w:t>
      </w:r>
    </w:p>
    <w:p w:rsidR="00305313" w:rsidRPr="00292257" w:rsidRDefault="00305313" w:rsidP="00DE6648">
      <w:pPr>
        <w:pStyle w:val="Heading4"/>
      </w:pPr>
      <w:r w:rsidRPr="00292257">
        <w:t>Settler identity is reconstituted through moves to innocence that distance us from guilt without having to change much at all</w:t>
      </w:r>
    </w:p>
    <w:p w:rsidR="00305313" w:rsidRPr="00292257" w:rsidRDefault="00305313" w:rsidP="00305313">
      <w:r w:rsidRPr="00292257">
        <w:rPr>
          <w:rStyle w:val="Style13ptBold"/>
        </w:rPr>
        <w:t xml:space="preserve">Tuck and Yang, 12 </w:t>
      </w:r>
      <w:r w:rsidRPr="00292257">
        <w:t>– PhD in Urban Education, Assistant Professor of Educational Foundations, and Coordinator of Native American Studies at the State University of New York AND Assist</w:t>
      </w:r>
      <w:r w:rsidR="00DE6648" w:rsidRPr="00292257">
        <w:t xml:space="preserve">ant Professor of Ethnic Studies </w:t>
      </w:r>
      <w:r w:rsidRPr="00292257">
        <w:t>(Eve and K.W., “Decolonization is not a metaphor Eve Tuck,” Decolonization: Indigeneity, Education &amp; Society, Vol. 1, No. 1, 2012, pp. 1-40)</w:t>
      </w:r>
    </w:p>
    <w:p w:rsidR="00305313" w:rsidRPr="00292257" w:rsidRDefault="00305313" w:rsidP="00305313">
      <w:pPr>
        <w:rPr>
          <w:sz w:val="16"/>
        </w:rPr>
      </w:pPr>
      <w:r w:rsidRPr="00292257">
        <w:rPr>
          <w:rStyle w:val="StyleUnderline"/>
        </w:rPr>
        <w:t>We observe</w:t>
      </w:r>
      <w:r w:rsidRPr="00292257">
        <w:rPr>
          <w:sz w:val="16"/>
        </w:rPr>
        <w:t xml:space="preserve"> that another component of a desire to play Indian is </w:t>
      </w:r>
      <w:r w:rsidRPr="00292257">
        <w:rPr>
          <w:rStyle w:val="StyleUnderline"/>
        </w:rPr>
        <w:t xml:space="preserve">a settler desire to be </w:t>
      </w:r>
      <w:r w:rsidRPr="00292257">
        <w:rPr>
          <w:rStyle w:val="Emphasis"/>
        </w:rPr>
        <w:t>made innocent</w:t>
      </w:r>
      <w:r w:rsidRPr="00292257">
        <w:rPr>
          <w:rStyle w:val="StyleUnderline"/>
        </w:rPr>
        <w:t xml:space="preserve">, to find some </w:t>
      </w:r>
      <w:r w:rsidRPr="00292257">
        <w:rPr>
          <w:rStyle w:val="Emphasis"/>
        </w:rPr>
        <w:t>mercy or relief</w:t>
      </w:r>
      <w:r w:rsidRPr="00292257">
        <w:rPr>
          <w:rStyle w:val="StyleUnderline"/>
        </w:rPr>
        <w:t xml:space="preserve"> in face of the </w:t>
      </w:r>
      <w:r w:rsidRPr="00292257">
        <w:rPr>
          <w:rStyle w:val="Emphasis"/>
        </w:rPr>
        <w:t>relentlessness of settler guilt and haunting</w:t>
      </w:r>
      <w:r w:rsidRPr="00292257">
        <w:rPr>
          <w:sz w:val="16"/>
        </w:rPr>
        <w:t xml:space="preserve"> (see Tuck and Ree, forthcoming, on mercy and haunting). Directly and </w:t>
      </w:r>
      <w:r w:rsidRPr="00292257">
        <w:rPr>
          <w:rStyle w:val="StyleUnderline"/>
        </w:rPr>
        <w:t xml:space="preserve">indirectly benefitting from the erasure and assimilation of Indigenous peoples is a </w:t>
      </w:r>
      <w:r w:rsidRPr="00292257">
        <w:rPr>
          <w:rStyle w:val="Emphasis"/>
        </w:rPr>
        <w:t>difficult reality</w:t>
      </w:r>
      <w:r w:rsidRPr="00292257">
        <w:rPr>
          <w:rStyle w:val="StyleUnderline"/>
        </w:rPr>
        <w:t xml:space="preserve"> for settlers to accept</w:t>
      </w:r>
      <w:r w:rsidRPr="00292257">
        <w:rPr>
          <w:sz w:val="16"/>
        </w:rPr>
        <w:t xml:space="preserve">. </w:t>
      </w:r>
      <w:r w:rsidRPr="00292257">
        <w:rPr>
          <w:rStyle w:val="StyleUnderline"/>
        </w:rPr>
        <w:t>The weight of this reality is uncomfortable; the misery of guilt makes one hurry toward any reprieve</w:t>
      </w:r>
      <w:r w:rsidRPr="00292257">
        <w:rPr>
          <w:sz w:val="16"/>
        </w:rPr>
        <w:t xml:space="preserve">. In her 1998 Master’s thesis, Janet Mawhinney analyzed the ways in which white people maintained and (re)produced white privilege in self-defined anti-racist settings and organizations.8 She examined the role of storytelling and self-confession - which serves to equate stories of personal exclusion with stories of structural racism and exclusion - and what she terms ‘moves to innocence,’ or “strategies to remove involvement in and culpability for systems of domination”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Mawhinney’s thesis theorizes </w:t>
      </w:r>
      <w:r w:rsidRPr="00292257">
        <w:rPr>
          <w:rStyle w:val="StyleUnderline"/>
        </w:rPr>
        <w:t>the self-positioning of white people</w:t>
      </w:r>
      <w:r w:rsidRPr="00292257">
        <w:rPr>
          <w:sz w:val="16"/>
        </w:rPr>
        <w:t xml:space="preserve"> as simultaneously the oppressed and never an oppressor, and </w:t>
      </w:r>
      <w:r w:rsidRPr="00292257">
        <w:rPr>
          <w:rStyle w:val="StyleUnderline"/>
        </w:rPr>
        <w:t>as having an absence of experience of oppressive power relations</w:t>
      </w:r>
      <w:r w:rsidRPr="00292257">
        <w:rPr>
          <w:sz w:val="16"/>
        </w:rPr>
        <w:t xml:space="preserve"> (p. 100). This simultaneous self-positioning afforded white people in various purportedly anti-racist settings to say to people of color, </w:t>
      </w:r>
      <w:r w:rsidRPr="00292257">
        <w:rPr>
          <w:rStyle w:val="StyleUnderline"/>
        </w:rPr>
        <w:t>“I don’t experience the problems you do, so I don’t think about it,”</w:t>
      </w:r>
      <w:r w:rsidRPr="00292257">
        <w:rPr>
          <w:sz w:val="16"/>
        </w:rPr>
        <w:t xml:space="preserve"> and “tell me what to do, you’re the experts here” (p. 103). </w:t>
      </w:r>
      <w:r w:rsidRPr="00292257">
        <w:rPr>
          <w:rStyle w:val="StyleUnderline"/>
        </w:rPr>
        <w:t xml:space="preserve">“The </w:t>
      </w:r>
      <w:r w:rsidRPr="00292257">
        <w:rPr>
          <w:rStyle w:val="Emphasis"/>
        </w:rPr>
        <w:t>commonsense appeal</w:t>
      </w:r>
      <w:r w:rsidRPr="00292257">
        <w:rPr>
          <w:rStyle w:val="StyleUnderline"/>
        </w:rPr>
        <w:t xml:space="preserve"> of such statements,”</w:t>
      </w:r>
      <w:r w:rsidRPr="00292257">
        <w:rPr>
          <w:sz w:val="16"/>
        </w:rPr>
        <w:t xml:space="preserve"> Malwhinney observes, enables white speakers to “utter them sanguine in [their] appearance of equanimity, </w:t>
      </w:r>
      <w:r w:rsidRPr="00292257">
        <w:rPr>
          <w:rStyle w:val="StyleUnderline"/>
        </w:rPr>
        <w:t xml:space="preserve">is rooted in the </w:t>
      </w:r>
      <w:r w:rsidRPr="00292257">
        <w:rPr>
          <w:rStyle w:val="Emphasis"/>
        </w:rPr>
        <w:t>normalization of a liberal analysis of power relations</w:t>
      </w:r>
      <w:r w:rsidRPr="00292257">
        <w:rPr>
          <w:rStyle w:val="StyleUnderline"/>
        </w:rPr>
        <w:t>”</w:t>
      </w:r>
      <w:r w:rsidRPr="00292257">
        <w:rPr>
          <w:sz w:val="16"/>
        </w:rPr>
        <w:t xml:space="preserve"> (ibid.). In the discussion that follows, </w:t>
      </w:r>
      <w:r w:rsidRPr="00292257">
        <w:rPr>
          <w:rStyle w:val="StyleUnderline"/>
        </w:rPr>
        <w:t>we will do</w:t>
      </w:r>
      <w:r w:rsidRPr="00292257">
        <w:rPr>
          <w:sz w:val="16"/>
        </w:rPr>
        <w:t xml:space="preserve"> some </w:t>
      </w:r>
      <w:r w:rsidRPr="00292257">
        <w:rPr>
          <w:rStyle w:val="StyleUnderline"/>
        </w:rPr>
        <w:t>work to identify and argue against</w:t>
      </w:r>
      <w:r w:rsidRPr="00292257">
        <w:rPr>
          <w:sz w:val="16"/>
        </w:rPr>
        <w:t xml:space="preserve"> a series of what we call ‘</w:t>
      </w:r>
      <w:r w:rsidRPr="00292257">
        <w:rPr>
          <w:rStyle w:val="StyleUnderline"/>
        </w:rPr>
        <w:t>settler moves to innocence’</w:t>
      </w:r>
      <w:r w:rsidRPr="00292257">
        <w:rPr>
          <w:sz w:val="16"/>
        </w:rPr>
        <w:t xml:space="preserve">. </w:t>
      </w:r>
      <w:r w:rsidRPr="00292257">
        <w:rPr>
          <w:rStyle w:val="StyleUnderline"/>
        </w:rPr>
        <w:t>Settler moves to innocence are</w:t>
      </w:r>
      <w:r w:rsidRPr="00292257">
        <w:rPr>
          <w:sz w:val="16"/>
        </w:rPr>
        <w:t xml:space="preserve"> those </w:t>
      </w:r>
      <w:r w:rsidRPr="00292257">
        <w:rPr>
          <w:rStyle w:val="StyleUnderline"/>
        </w:rPr>
        <w:t xml:space="preserve">strategies or positionings that attempt to </w:t>
      </w:r>
      <w:r w:rsidRPr="00292257">
        <w:rPr>
          <w:rStyle w:val="Emphasis"/>
        </w:rPr>
        <w:t>relieve the settler</w:t>
      </w:r>
      <w:r w:rsidRPr="00292257">
        <w:rPr>
          <w:rStyle w:val="StyleUnderline"/>
        </w:rPr>
        <w:t xml:space="preserve"> of</w:t>
      </w:r>
      <w:r w:rsidRPr="00292257">
        <w:rPr>
          <w:sz w:val="16"/>
        </w:rPr>
        <w:t xml:space="preserve"> feelings of </w:t>
      </w:r>
      <w:r w:rsidRPr="00292257">
        <w:rPr>
          <w:rStyle w:val="StyleUnderline"/>
        </w:rPr>
        <w:t xml:space="preserve">guilt or responsibility without giving up land or power or privilege, </w:t>
      </w:r>
      <w:r w:rsidRPr="00292257">
        <w:rPr>
          <w:rStyle w:val="Emphasis"/>
        </w:rPr>
        <w:t>without having to change much at all</w:t>
      </w:r>
      <w:r w:rsidRPr="00292257">
        <w:rPr>
          <w:sz w:val="16"/>
        </w:rPr>
        <w:t xml:space="preserve">. In fact, settler scholars may gain professional kudos or a boost in their reputations for being so sensitive or self-aware. Yet </w:t>
      </w:r>
      <w:r w:rsidRPr="00292257">
        <w:rPr>
          <w:rStyle w:val="StyleUnderline"/>
        </w:rPr>
        <w:t>settler moves to innocence are hollow, they only serve the settler. This discussion will likely cause discomfort</w:t>
      </w:r>
      <w:r w:rsidRPr="00292257">
        <w:rPr>
          <w:sz w:val="16"/>
        </w:rPr>
        <w:t xml:space="preserve"> in our settler readers, </w:t>
      </w:r>
      <w:r w:rsidRPr="00292257">
        <w:rPr>
          <w:rStyle w:val="StyleUnderline"/>
        </w:rPr>
        <w:t>may</w:t>
      </w:r>
      <w:r w:rsidRPr="00292257">
        <w:rPr>
          <w:sz w:val="16"/>
        </w:rPr>
        <w:t xml:space="preserve"> embarrass you/us or </w:t>
      </w:r>
      <w:r w:rsidRPr="00292257">
        <w:rPr>
          <w:rStyle w:val="StyleUnderline"/>
        </w:rPr>
        <w:t>make us/you feel implicated.</w:t>
      </w:r>
      <w:r w:rsidRPr="00292257">
        <w:rPr>
          <w:sz w:val="16"/>
        </w:rPr>
        <w:t xml:space="preserve"> 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 When it makes sense to do so, we attend to moves to innocence enacted differently by white people and by brown and Black people. 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t>
      </w:r>
      <w:r w:rsidRPr="00292257">
        <w:rPr>
          <w:rStyle w:val="StyleUnderline"/>
        </w:rPr>
        <w:t xml:space="preserve">We provide this framework so that we can be more impatient with each other, less likely to accept gestures and half-steps, and more willing to press for acts which </w:t>
      </w:r>
      <w:r w:rsidRPr="00292257">
        <w:rPr>
          <w:rStyle w:val="Emphasis"/>
        </w:rPr>
        <w:t>unsettle innocence</w:t>
      </w:r>
      <w:r w:rsidRPr="00292257">
        <w:rPr>
          <w:sz w:val="16"/>
        </w:rPr>
        <w:t>, which we discuss in the final section of this article.</w:t>
      </w:r>
    </w:p>
    <w:p w:rsidR="00FA09C8" w:rsidRPr="00292257" w:rsidRDefault="00FA09C8" w:rsidP="00FA09C8">
      <w:pPr>
        <w:pStyle w:val="Heading3"/>
      </w:pPr>
      <w:r w:rsidRPr="00292257">
        <w:lastRenderedPageBreak/>
        <w:t>Elimination</w:t>
      </w:r>
    </w:p>
    <w:p w:rsidR="005027D7" w:rsidRPr="00292257" w:rsidRDefault="005027D7" w:rsidP="005027D7">
      <w:pPr>
        <w:pStyle w:val="Heading4"/>
      </w:pPr>
      <w:r w:rsidRPr="00292257">
        <w:t xml:space="preserve">The impact is racialized targeting and extermination – settler colonialism separates Natives into zones of legality and zones of death in order to justify free and ruthless use of force until Natives are appropriated into the Sovereign’s culture nativity is erased  </w:t>
      </w:r>
    </w:p>
    <w:p w:rsidR="005027D7" w:rsidRPr="00292257" w:rsidRDefault="005027D7" w:rsidP="005027D7">
      <w:r w:rsidRPr="00292257">
        <w:rPr>
          <w:rStyle w:val="Style13ptBold"/>
        </w:rPr>
        <w:t>Lloyd</w:t>
      </w:r>
      <w:r w:rsidRPr="00292257">
        <w:t xml:space="preserve"> and </w:t>
      </w:r>
      <w:r w:rsidRPr="00292257">
        <w:rPr>
          <w:rStyle w:val="Style13ptBold"/>
        </w:rPr>
        <w:t>Wolfe</w:t>
      </w:r>
      <w:r w:rsidRPr="00292257">
        <w:t xml:space="preserve"> </w:t>
      </w:r>
      <w:r w:rsidRPr="00292257">
        <w:rPr>
          <w:rStyle w:val="Style13ptBold"/>
        </w:rPr>
        <w:t>16</w:t>
      </w:r>
      <w:r w:rsidRPr="00292257">
        <w:t xml:space="preserve"> (David, Distinguished Professor of English at the University of California, Riverside, works primarily on Irish culture and on postcolonial and cultural theory, and Patrick, a freelance historian who lives and works in Wurundjeri country near Healesville, Australia. He has written, taught, and lectured, in comparative vein, on colonialism, race, genocide, theories of imperialism, Aboriginal histories, and the history of anthropology, Settler colonial logics and the neoliberal regime, Settler Colonial Studies, 6:2, 109-118, DOI: 10.1080/2201473X.2015.1035361)CN</w:t>
      </w:r>
    </w:p>
    <w:p w:rsidR="005027D7" w:rsidRPr="00292257" w:rsidRDefault="005027D7" w:rsidP="005027D7">
      <w:pPr>
        <w:rPr>
          <w:rStyle w:val="Emphasis"/>
          <w:b w:val="0"/>
          <w:iCs w:val="0"/>
          <w:u w:val="none"/>
        </w:rPr>
      </w:pPr>
      <w:r w:rsidRPr="00292257">
        <w:t>As Jesse Carr shows in detail in this volume, writing of the contemporary legacies of frontier</w:t>
      </w:r>
      <w:r w:rsidR="00305313" w:rsidRPr="00292257">
        <w:t xml:space="preserve"> </w:t>
      </w:r>
      <w:r w:rsidRPr="00292257">
        <w:rPr>
          <w:sz w:val="16"/>
        </w:rPr>
        <w:t xml:space="preserve">violence, </w:t>
      </w:r>
      <w:r w:rsidRPr="00292257">
        <w:rPr>
          <w:rStyle w:val="StyleUnderline"/>
        </w:rPr>
        <w:t>state-sanctioned law and vigilante violence are intimately intertwined throughout US history</w:t>
      </w:r>
      <w:r w:rsidRPr="00292257">
        <w:rPr>
          <w:sz w:val="16"/>
        </w:rPr>
        <w:t xml:space="preserve">: </w:t>
      </w:r>
      <w:r w:rsidRPr="00292257">
        <w:rPr>
          <w:rStyle w:val="Emphasis"/>
        </w:rPr>
        <w:t>settler colonial violence is at once law-making, and therefore constitutive of a certain kind of sovereignty, and a ‘free and ruthless’ use of force</w:t>
      </w:r>
      <w:r w:rsidRPr="00292257">
        <w:rPr>
          <w:rStyle w:val="StyleUnderline"/>
        </w:rPr>
        <w:t>. It at once obeys and constitutes</w:t>
      </w:r>
      <w:r w:rsidRPr="00292257">
        <w:rPr>
          <w:sz w:val="16"/>
        </w:rPr>
        <w:t xml:space="preserve"> over and again </w:t>
      </w:r>
      <w:r w:rsidRPr="00292257">
        <w:rPr>
          <w:rStyle w:val="StyleUnderline"/>
        </w:rPr>
        <w:t>the line that demarcates the appropriation of land and resources</w:t>
      </w:r>
      <w:r w:rsidRPr="00292257">
        <w:rPr>
          <w:sz w:val="16"/>
        </w:rPr>
        <w:t xml:space="preserve"> </w:t>
      </w:r>
      <w:r w:rsidRPr="00292257">
        <w:rPr>
          <w:rStyle w:val="StyleUnderline"/>
        </w:rPr>
        <w:t>and the division between those protected by law and sovereignty and those subject to their violence.</w:t>
      </w:r>
      <w:r w:rsidRPr="00292257">
        <w:rPr>
          <w:sz w:val="16"/>
        </w:rPr>
        <w:t xml:space="preserve"> The corollary to </w:t>
      </w:r>
      <w:r w:rsidRPr="00292257">
        <w:rPr>
          <w:rStyle w:val="Emphasis"/>
        </w:rPr>
        <w:t>this perpetual reconstitution of law-making violence</w:t>
      </w:r>
      <w:r w:rsidRPr="00292257">
        <w:rPr>
          <w:sz w:val="16"/>
        </w:rPr>
        <w:t xml:space="preserve">, which does not allow the ‘forgetting’ of the law’s origins in appropriation, </w:t>
      </w:r>
      <w:r w:rsidRPr="00292257">
        <w:rPr>
          <w:rStyle w:val="Emphasis"/>
        </w:rPr>
        <w:t>is the persistence of a psychic ‘state of siege’</w:t>
      </w:r>
      <w:r w:rsidRPr="00292257">
        <w:rPr>
          <w:sz w:val="16"/>
        </w:rPr>
        <w:t xml:space="preserve">: </w:t>
      </w:r>
      <w:r w:rsidRPr="00292257">
        <w:rPr>
          <w:rStyle w:val="Emphasis"/>
        </w:rPr>
        <w:t>the representation of the world as a surround populated by uncivil peoples who pose what</w:t>
      </w:r>
      <w:r w:rsidRPr="00292257">
        <w:rPr>
          <w:sz w:val="16"/>
        </w:rPr>
        <w:t xml:space="preserve">, </w:t>
      </w:r>
      <w:r w:rsidRPr="00292257">
        <w:rPr>
          <w:rStyle w:val="Emphasis"/>
        </w:rPr>
        <w:t>in the language of neoconservatism</w:t>
      </w:r>
      <w:r w:rsidRPr="00292257">
        <w:rPr>
          <w:sz w:val="16"/>
        </w:rPr>
        <w:t xml:space="preserve"> as of Zionism, </w:t>
      </w:r>
      <w:r w:rsidRPr="00292257">
        <w:rPr>
          <w:rStyle w:val="Emphasis"/>
        </w:rPr>
        <w:t>is understood as an ‘existential threat’ to civil subjects.</w:t>
      </w:r>
      <w:r w:rsidRPr="00292257">
        <w:rPr>
          <w:sz w:val="16"/>
        </w:rPr>
        <w:t xml:space="preserve"> With the impeccable logic of the paranoid, </w:t>
      </w:r>
      <w:r w:rsidRPr="00292257">
        <w:rPr>
          <w:rStyle w:val="StyleUnderline"/>
        </w:rPr>
        <w:t>the ‘free and ruthless force’ inflicted on those evicted</w:t>
      </w:r>
      <w:r w:rsidRPr="00292257">
        <w:rPr>
          <w:sz w:val="16"/>
        </w:rPr>
        <w:t xml:space="preserve"> ‘beyond the line’ is projected onto its objects. </w:t>
      </w:r>
      <w:r w:rsidRPr="00292257">
        <w:rPr>
          <w:rStyle w:val="StyleUnderline"/>
        </w:rPr>
        <w:t>This leads</w:t>
      </w:r>
      <w:r w:rsidRPr="00292257">
        <w:rPr>
          <w:sz w:val="16"/>
        </w:rPr>
        <w:t xml:space="preserve">, as Nadera Shalhoub-Kevorkian shows in her essay, </w:t>
      </w:r>
      <w:r w:rsidRPr="00292257">
        <w:rPr>
          <w:rStyle w:val="StyleUnderline"/>
        </w:rPr>
        <w:t>to the constitution of ‘death zones’ inhabited by beings whom the settler colonial state considers</w:t>
      </w:r>
      <w:r w:rsidRPr="00292257">
        <w:rPr>
          <w:sz w:val="16"/>
        </w:rPr>
        <w:t xml:space="preserve">, from before their births to even after their deaths, </w:t>
      </w:r>
      <w:r w:rsidRPr="00292257">
        <w:rPr>
          <w:rStyle w:val="StyleUnderline"/>
        </w:rPr>
        <w:t>as existential and demographic threats</w:t>
      </w:r>
      <w:r w:rsidRPr="00292257">
        <w:rPr>
          <w:sz w:val="16"/>
        </w:rPr>
        <w:t xml:space="preserve">. In the final pages of The Nomos of the Earth, Schmitt asks a question still pertinent to the current moment of globalization: ‘Has humanity today actually “appropriated” the earth as a unity, so that there is nothing more to be appropriated? Has appropriation really ceased?’ 20 It is clear, following Harvey, that </w:t>
      </w:r>
      <w:r w:rsidRPr="00292257">
        <w:rPr>
          <w:rStyle w:val="Emphasis"/>
        </w:rPr>
        <w:t>appropriation has not ceased</w:t>
      </w:r>
      <w:r w:rsidRPr="00292257">
        <w:rPr>
          <w:sz w:val="16"/>
        </w:rPr>
        <w:t xml:space="preserve">, but it is equally clear that </w:t>
      </w:r>
      <w:r w:rsidRPr="00292257">
        <w:rPr>
          <w:rStyle w:val="StyleUnderline"/>
        </w:rPr>
        <w:t>the fundamental act of demarcation, the distributions of legality and ruthless force which constitute a nomos</w:t>
      </w:r>
      <w:r w:rsidRPr="00292257">
        <w:rPr>
          <w:sz w:val="16"/>
        </w:rPr>
        <w:t xml:space="preserve">, </w:t>
      </w:r>
      <w:r w:rsidRPr="00292257">
        <w:rPr>
          <w:rStyle w:val="Emphasis"/>
        </w:rPr>
        <w:t>continues in new forms,</w:t>
      </w:r>
      <w:r w:rsidRPr="00292257">
        <w:rPr>
          <w:sz w:val="16"/>
        </w:rPr>
        <w:t xml:space="preserve"> constituting new frontiers appropriate to the emergent mode of accumulation on a global scale. See reminds us of Rosa Luxemburg’s argument that capitalism ‘needs other races’: for her, those ‘races’ were the ‘outside’ of capital, ‘beyond the line’, in Schmitt’s terms. Now, </w:t>
      </w:r>
      <w:r w:rsidRPr="00292257">
        <w:rPr>
          <w:rStyle w:val="StyleUnderline"/>
        </w:rPr>
        <w:t>at a moment when the globe has been appropriated ‘as a unity</w:t>
      </w:r>
      <w:r w:rsidRPr="00292257">
        <w:rPr>
          <w:sz w:val="16"/>
        </w:rPr>
        <w:t xml:space="preserve">’, </w:t>
      </w:r>
      <w:r w:rsidRPr="00292257">
        <w:rPr>
          <w:rStyle w:val="StyleUnderline"/>
        </w:rPr>
        <w:t>the current crisis of capital may find no geographical ‘outside’</w:t>
      </w:r>
      <w:r w:rsidRPr="00292257">
        <w:rPr>
          <w:sz w:val="16"/>
        </w:rPr>
        <w:t xml:space="preserve"> any more, </w:t>
      </w:r>
      <w:r w:rsidRPr="00292257">
        <w:rPr>
          <w:rStyle w:val="Emphasis"/>
        </w:rPr>
        <w:t>but is no less productive</w:t>
      </w:r>
      <w:r w:rsidRPr="00292257">
        <w:rPr>
          <w:sz w:val="16"/>
        </w:rPr>
        <w:t xml:space="preserve"> </w:t>
      </w:r>
      <w:r w:rsidRPr="00292257">
        <w:rPr>
          <w:rStyle w:val="Emphasis"/>
        </w:rPr>
        <w:t>of forms of racialization that continue to correspond to nomothetic demarcations</w:t>
      </w:r>
      <w:r w:rsidRPr="00292257">
        <w:rPr>
          <w:sz w:val="16"/>
        </w:rPr>
        <w:t xml:space="preserve"> but within an utterly different spatial ordering wherein, in Weizman’s phrase, ‘the periphery comes straight to the center’. Within this new spatial ordering, Weizman suggests, ‘</w:t>
      </w:r>
      <w:r w:rsidRPr="00292257">
        <w:rPr>
          <w:rStyle w:val="StyleUnderline"/>
        </w:rPr>
        <w:t xml:space="preserve">acts of spatial exclusion </w:t>
      </w:r>
      <w:r w:rsidRPr="00292257">
        <w:rPr>
          <w:sz w:val="16"/>
        </w:rPr>
        <w:t xml:space="preserve">creat[e] </w:t>
      </w:r>
      <w:r w:rsidRPr="00292257">
        <w:rPr>
          <w:rStyle w:val="StyleUnderline"/>
        </w:rPr>
        <w:t xml:space="preserve">wedges that separate the habitat of a population marked as a political “outside” and perceived as a political threat’. </w:t>
      </w:r>
      <w:r w:rsidRPr="00292257">
        <w:rPr>
          <w:sz w:val="16"/>
        </w:rPr>
        <w:t xml:space="preserve">21 </w:t>
      </w:r>
      <w:r w:rsidRPr="00292257">
        <w:rPr>
          <w:rStyle w:val="Emphasis"/>
        </w:rPr>
        <w:t>Such ‘wedges’ result in a quite different mapping of the spatial order of domination</w:t>
      </w:r>
      <w:r w:rsidRPr="00292257">
        <w:rPr>
          <w:sz w:val="16"/>
        </w:rPr>
        <w:t xml:space="preserve"> that was designated by lines of longitude, a mapping with which any contemporary urban dweller is already intimate: </w:t>
      </w:r>
      <w:r w:rsidRPr="00292257">
        <w:rPr>
          <w:rStyle w:val="Emphasis"/>
        </w:rPr>
        <w:t>The</w:t>
      </w:r>
      <w:r w:rsidRPr="00292257">
        <w:rPr>
          <w:sz w:val="16"/>
        </w:rPr>
        <w:t xml:space="preserve"> contemporary </w:t>
      </w:r>
      <w:r w:rsidRPr="00292257">
        <w:rPr>
          <w:rStyle w:val="Emphasis"/>
        </w:rPr>
        <w:t>city is exploding spatially</w:t>
      </w:r>
      <w:r w:rsidRPr="00292257">
        <w:rPr>
          <w:sz w:val="16"/>
        </w:rPr>
        <w:t xml:space="preserve">, </w:t>
      </w:r>
      <w:r w:rsidRPr="00292257">
        <w:rPr>
          <w:rStyle w:val="Emphasis"/>
        </w:rPr>
        <w:t>but</w:t>
      </w:r>
      <w:r w:rsidRPr="00292257">
        <w:rPr>
          <w:sz w:val="16"/>
        </w:rPr>
        <w:t xml:space="preserve"> in essence </w:t>
      </w:r>
      <w:r w:rsidRPr="00292257">
        <w:rPr>
          <w:rStyle w:val="Emphasis"/>
        </w:rPr>
        <w:t>is</w:t>
      </w:r>
      <w:r w:rsidRPr="00292257">
        <w:rPr>
          <w:sz w:val="16"/>
        </w:rPr>
        <w:t xml:space="preserve"> </w:t>
      </w:r>
      <w:r w:rsidRPr="00292257">
        <w:rPr>
          <w:rStyle w:val="Emphasis"/>
        </w:rPr>
        <w:t>fractalized into a collection of</w:t>
      </w:r>
      <w:r w:rsidRPr="00292257">
        <w:rPr>
          <w:sz w:val="16"/>
        </w:rPr>
        <w:t xml:space="preserve"> interlocking, internally homogeneous, and externally </w:t>
      </w:r>
      <w:r w:rsidRPr="00292257">
        <w:rPr>
          <w:rStyle w:val="Emphasis"/>
        </w:rPr>
        <w:t>alienating</w:t>
      </w:r>
      <w:r w:rsidRPr="00292257">
        <w:rPr>
          <w:sz w:val="16"/>
        </w:rPr>
        <w:t xml:space="preserve"> synthetic </w:t>
      </w:r>
      <w:r w:rsidRPr="00292257">
        <w:rPr>
          <w:rStyle w:val="Emphasis"/>
        </w:rPr>
        <w:t>environments</w:t>
      </w:r>
      <w:r w:rsidRPr="00292257">
        <w:rPr>
          <w:sz w:val="16"/>
        </w:rPr>
        <w:t xml:space="preserve">. </w:t>
      </w:r>
      <w:r w:rsidRPr="00292257">
        <w:rPr>
          <w:rStyle w:val="Emphasis"/>
        </w:rPr>
        <w:t>The separation between the affluent, established populations</w:t>
      </w:r>
      <w:r w:rsidRPr="00292257">
        <w:rPr>
          <w:sz w:val="16"/>
        </w:rPr>
        <w:t xml:space="preserve"> </w:t>
      </w:r>
      <w:r w:rsidRPr="00292257">
        <w:rPr>
          <w:rStyle w:val="Emphasis"/>
        </w:rPr>
        <w:t>from [sic] the</w:t>
      </w:r>
      <w:r w:rsidRPr="00292257">
        <w:rPr>
          <w:sz w:val="16"/>
        </w:rPr>
        <w:t xml:space="preserve"> </w:t>
      </w:r>
      <w:r w:rsidRPr="00292257">
        <w:rPr>
          <w:rStyle w:val="Emphasis"/>
        </w:rPr>
        <w:t>poorer immigrant populations can no longer be understood as a continuous line across the map</w:t>
      </w:r>
      <w:r w:rsidRPr="00292257">
        <w:rPr>
          <w:sz w:val="16"/>
        </w:rPr>
        <w:t xml:space="preserve">. Internal city borders </w:t>
      </w:r>
      <w:r w:rsidRPr="00292257">
        <w:rPr>
          <w:sz w:val="16"/>
        </w:rPr>
        <w:lastRenderedPageBreak/>
        <w:t xml:space="preserve">will be further 114 D. Lloyd and P. Wolfe reinforced, forming local enclaves scattered across the city and its suburbs. Point based security systems fractalize borders and turn them from a defined object into a condition of heightened security whose presence is manifested in electronic or physical barriers at entry points to office buildings, shopping malls, or transport infrastructure – from midtown to suburbia.22 </w:t>
      </w:r>
      <w:r w:rsidRPr="00292257">
        <w:rPr>
          <w:rStyle w:val="Emphasis"/>
        </w:rPr>
        <w:t>The laboratories</w:t>
      </w:r>
      <w:r w:rsidRPr="00292257">
        <w:rPr>
          <w:sz w:val="16"/>
        </w:rPr>
        <w:t xml:space="preserve"> </w:t>
      </w:r>
      <w:r w:rsidRPr="00292257">
        <w:rPr>
          <w:rStyle w:val="Emphasis"/>
        </w:rPr>
        <w:t>for</w:t>
      </w:r>
      <w:r w:rsidRPr="00292257">
        <w:rPr>
          <w:sz w:val="16"/>
        </w:rPr>
        <w:t xml:space="preserve"> both </w:t>
      </w:r>
      <w:r w:rsidRPr="00292257">
        <w:rPr>
          <w:rStyle w:val="Emphasis"/>
        </w:rPr>
        <w:t>this ‘condition of heightened security’</w:t>
      </w:r>
      <w:r w:rsidRPr="00292257">
        <w:rPr>
          <w:sz w:val="16"/>
        </w:rPr>
        <w:t xml:space="preserve">, including the necessary surveillance technologies, and for the reorganization of social space </w:t>
      </w:r>
      <w:r w:rsidRPr="00292257">
        <w:rPr>
          <w:rStyle w:val="Emphasis"/>
        </w:rPr>
        <w:t>have been and continue to be the sites of colonial counter-insurgency</w:t>
      </w:r>
      <w:r w:rsidRPr="00292257">
        <w:rPr>
          <w:sz w:val="16"/>
        </w:rPr>
        <w:t xml:space="preserve">, from Northern Ireland to Palestine.23 </w:t>
      </w:r>
      <w:r w:rsidRPr="00292257">
        <w:rPr>
          <w:rStyle w:val="Emphasis"/>
        </w:rPr>
        <w:t>Settler colonialism</w:t>
      </w:r>
      <w:r w:rsidRPr="00292257">
        <w:rPr>
          <w:sz w:val="16"/>
        </w:rPr>
        <w:t xml:space="preserve">, specifically under conditions of what Israeli sociologist Baruch Kimmerling called ‘low frontierity’, 24 </w:t>
      </w:r>
      <w:r w:rsidRPr="00292257">
        <w:rPr>
          <w:rStyle w:val="Emphasis"/>
        </w:rPr>
        <w:t>furnished</w:t>
      </w:r>
      <w:r w:rsidRPr="00292257">
        <w:rPr>
          <w:sz w:val="16"/>
        </w:rPr>
        <w:t xml:space="preserve"> both </w:t>
      </w:r>
      <w:r w:rsidRPr="00292257">
        <w:rPr>
          <w:rStyle w:val="Emphasis"/>
        </w:rPr>
        <w:t>the model by which populations</w:t>
      </w:r>
      <w:r w:rsidRPr="00292257">
        <w:rPr>
          <w:sz w:val="16"/>
        </w:rPr>
        <w:t xml:space="preserve"> and spaces </w:t>
      </w:r>
      <w:r w:rsidRPr="00292257">
        <w:rPr>
          <w:rStyle w:val="Emphasis"/>
        </w:rPr>
        <w:t xml:space="preserve">are distributed between zones of legality and, </w:t>
      </w:r>
      <w:r w:rsidRPr="00292257">
        <w:rPr>
          <w:sz w:val="16"/>
        </w:rPr>
        <w:t>in Shalhoub-Kevorkian’s phrase, ‘</w:t>
      </w:r>
      <w:r w:rsidRPr="00292257">
        <w:rPr>
          <w:rStyle w:val="Emphasis"/>
        </w:rPr>
        <w:t>zones of death’</w:t>
      </w:r>
      <w:r w:rsidRPr="00292257">
        <w:rPr>
          <w:sz w:val="16"/>
        </w:rPr>
        <w:t xml:space="preserve">, and the historically normalized imaginary of the perpetual ‘state of siege’. The counter-insurgency campaigns of Israel and Northern Ireland stand as some reminder that </w:t>
      </w:r>
      <w:r w:rsidRPr="00292257">
        <w:rPr>
          <w:rStyle w:val="StyleUnderline"/>
        </w:rPr>
        <w:t>the settler colony has always also been a site of military occupation</w:t>
      </w:r>
      <w:r w:rsidRPr="00292257">
        <w:rPr>
          <w:sz w:val="16"/>
        </w:rPr>
        <w:t xml:space="preserve"> and – as See also points out – </w:t>
      </w:r>
      <w:r w:rsidRPr="00292257">
        <w:rPr>
          <w:rStyle w:val="StyleUnderline"/>
        </w:rPr>
        <w:t>is</w:t>
      </w:r>
      <w:r w:rsidRPr="00292257">
        <w:rPr>
          <w:sz w:val="16"/>
        </w:rPr>
        <w:t xml:space="preserve"> extended extraterritorially </w:t>
      </w:r>
      <w:r w:rsidRPr="00292257">
        <w:rPr>
          <w:rStyle w:val="StyleUnderline"/>
        </w:rPr>
        <w:t>by way of military occupation</w:t>
      </w:r>
      <w:r w:rsidRPr="00292257">
        <w:rPr>
          <w:sz w:val="16"/>
        </w:rPr>
        <w:t xml:space="preserve"> as </w:t>
      </w:r>
      <w:r w:rsidRPr="00292257">
        <w:rPr>
          <w:rStyle w:val="StyleUnderline"/>
        </w:rPr>
        <w:t xml:space="preserve">a further modality of colonialism. </w:t>
      </w:r>
      <w:r w:rsidRPr="00292257">
        <w:rPr>
          <w:sz w:val="16"/>
        </w:rPr>
        <w:t xml:space="preserve">The settler colonial and the military imaginaries intertwine with great and familiar intimacy, from the stockades of the early colonists and forts of the frontier cavalry to the hilltop Israeli settlements in Palestine that double as military outposts, to the current military intervention into Aboriginal communities in Australia’s Northern Territory, or to the fortified police stations of Soweto or Belfast. But </w:t>
      </w:r>
      <w:r w:rsidRPr="00292257">
        <w:rPr>
          <w:rStyle w:val="StyleUnderline"/>
        </w:rPr>
        <w:t>military occupation</w:t>
      </w:r>
      <w:r w:rsidRPr="00292257">
        <w:rPr>
          <w:sz w:val="16"/>
        </w:rPr>
        <w:t xml:space="preserve">, which Klein identifies as one model of the new modes of social control and spatial organization of neoliberal states, </w:t>
      </w:r>
      <w:r w:rsidRPr="00292257">
        <w:rPr>
          <w:rStyle w:val="StyleUnderline"/>
        </w:rPr>
        <w:t>does</w:t>
      </w:r>
      <w:r w:rsidRPr="00292257">
        <w:rPr>
          <w:sz w:val="16"/>
        </w:rPr>
        <w:t xml:space="preserve"> also </w:t>
      </w:r>
      <w:r w:rsidRPr="00292257">
        <w:rPr>
          <w:rStyle w:val="StyleUnderline"/>
        </w:rPr>
        <w:t>offer an alternative if intersecting model for colonial domination</w:t>
      </w:r>
      <w:r w:rsidRPr="00292257">
        <w:rPr>
          <w:sz w:val="16"/>
        </w:rPr>
        <w:t xml:space="preserve">. The military occupation of the Philippines entailed neither extensive Euro-American settlement nor incorporation into the state, though particularly in the Philippines the genocidal prosecution of the war from 1898 to 1913 explicitly learnt much from the recently completed frontier wars against Native Americans.25 Rather, </w:t>
      </w:r>
      <w:r w:rsidRPr="00292257">
        <w:rPr>
          <w:rStyle w:val="Emphasis"/>
        </w:rPr>
        <w:t>they offer paradigms for the kinds of colonial domination that operate through partial and segmented land-appropriation</w:t>
      </w:r>
      <w:r w:rsidRPr="00292257">
        <w:rPr>
          <w:sz w:val="16"/>
        </w:rPr>
        <w:t xml:space="preserve">, </w:t>
      </w:r>
      <w:r w:rsidRPr="00292257">
        <w:rPr>
          <w:rStyle w:val="Emphasis"/>
        </w:rPr>
        <w:t>secured through ruthless violence but maintained through the forced</w:t>
      </w:r>
      <w:r w:rsidRPr="00292257">
        <w:rPr>
          <w:sz w:val="16"/>
        </w:rPr>
        <w:t xml:space="preserve"> (‘benevolent’) </w:t>
      </w:r>
      <w:r w:rsidRPr="00292257">
        <w:rPr>
          <w:rStyle w:val="Emphasis"/>
        </w:rPr>
        <w:t>pacification of the surviving population</w:t>
      </w:r>
      <w:r w:rsidRPr="00292257">
        <w:rPr>
          <w:sz w:val="16"/>
        </w:rPr>
        <w:t xml:space="preserve">. In this respect, </w:t>
      </w:r>
      <w:r w:rsidRPr="00292257">
        <w:rPr>
          <w:rStyle w:val="Emphasis"/>
        </w:rPr>
        <w:t>occupation combined with tutelage functions as an early instance of the nomothetic lines of legal or moral demarcation that characterize for the most part the framework of the neoliberal state and its racial order.</w:t>
      </w:r>
    </w:p>
    <w:p w:rsidR="005027D7" w:rsidRPr="00292257" w:rsidRDefault="005027D7" w:rsidP="005027D7">
      <w:pPr>
        <w:pStyle w:val="Heading4"/>
      </w:pPr>
      <w:r w:rsidRPr="00292257">
        <w:t>Settler Colonial projects create a process of double-</w:t>
      </w:r>
      <w:r w:rsidR="00DE6648" w:rsidRPr="00292257">
        <w:t>elimination</w:t>
      </w:r>
      <w:r w:rsidRPr="00292257">
        <w:t xml:space="preserve"> that not only removes the Native from their land, but destroys cultural ways of being before the arrival of the colonizer – attempting an absolute destruction of Native life.</w:t>
      </w:r>
    </w:p>
    <w:p w:rsidR="005027D7" w:rsidRPr="00292257" w:rsidRDefault="005027D7" w:rsidP="005027D7">
      <w:r w:rsidRPr="00292257">
        <w:rPr>
          <w:rStyle w:val="Style13ptBold"/>
        </w:rPr>
        <w:t xml:space="preserve">Svirsky and Ben-Arie 19 </w:t>
      </w:r>
      <w:r w:rsidRPr="00292257">
        <w:t>Marcelo Svirsky &amp; Ronnen Ben-Arie (2019) Settler Colonialism and the Logic of Double Elimination, Interventions, 21:4, 464-485, DOI: 10.1080/1369801X.2018.1558101, /MegLak</w:t>
      </w:r>
    </w:p>
    <w:p w:rsidR="005027D7" w:rsidRPr="00292257" w:rsidRDefault="005027D7" w:rsidP="005027D7">
      <w:pPr>
        <w:rPr>
          <w:b/>
          <w:iCs/>
          <w:u w:val="single"/>
        </w:rPr>
      </w:pPr>
      <w:r w:rsidRPr="00292257">
        <w:rPr>
          <w:sz w:val="16"/>
        </w:rPr>
        <w:t xml:space="preserve">In the Zionist settler colonial project, the notion of “frontier” materialized not just via the expansion of physical boundaries of the territorial Jewish enclaves. Rather, </w:t>
      </w:r>
      <w:r w:rsidRPr="00292257">
        <w:rPr>
          <w:rStyle w:val="Emphasis"/>
        </w:rPr>
        <w:t>in Zionist settler colonial expansion, land was just one realm of action</w:t>
      </w:r>
      <w:r w:rsidRPr="00292257">
        <w:rPr>
          <w:sz w:val="16"/>
        </w:rPr>
        <w:t xml:space="preserve">. Zionist </w:t>
      </w:r>
      <w:r w:rsidRPr="00292257">
        <w:rPr>
          <w:rStyle w:val="StyleUnderline"/>
        </w:rPr>
        <w:t>conquest during the first decades of the project was based on the race-motivated invention of frontiers, and frontiers were created literally everywhere</w:t>
      </w:r>
      <w:r w:rsidRPr="00292257">
        <w:rPr>
          <w:sz w:val="16"/>
        </w:rPr>
        <w:t xml:space="preserve">. In racializing workers, their tools and skills, Jewish </w:t>
      </w:r>
      <w:r w:rsidRPr="00292257">
        <w:rPr>
          <w:rStyle w:val="StyleUnderline"/>
        </w:rPr>
        <w:t>settlers created frontiers in the labour market, making the conquest of labour a horizon of expansion</w:t>
      </w:r>
      <w:r w:rsidRPr="00292257">
        <w:rPr>
          <w:sz w:val="16"/>
        </w:rPr>
        <w:t xml:space="preserve">. Domestic </w:t>
      </w:r>
      <w:r w:rsidRPr="00292257">
        <w:rPr>
          <w:rStyle w:val="StyleUnderline"/>
        </w:rPr>
        <w:t>consumption was another such new frontier, where from whom one purchases bread, cigarettes, flour, meat, and other products had national significance</w:t>
      </w:r>
      <w:r w:rsidRPr="00292257">
        <w:rPr>
          <w:sz w:val="16"/>
        </w:rPr>
        <w:t xml:space="preserve">. </w:t>
      </w:r>
      <w:r w:rsidRPr="00292257">
        <w:rPr>
          <w:rStyle w:val="StyleUnderline"/>
        </w:rPr>
        <w:t xml:space="preserve">By following the axiom </w:t>
      </w:r>
      <w:r w:rsidRPr="00292257">
        <w:rPr>
          <w:sz w:val="16"/>
        </w:rPr>
        <w:t xml:space="preserve">that Jews buy only from Jews who have produced their goods on the basis of Hebrew labour only, </w:t>
      </w:r>
      <w:r w:rsidRPr="00292257">
        <w:rPr>
          <w:rStyle w:val="StyleUnderline"/>
        </w:rPr>
        <w:t xml:space="preserve">one was contributing to a double movement: to </w:t>
      </w:r>
      <w:r w:rsidRPr="00292257">
        <w:rPr>
          <w:rStyle w:val="Emphasis"/>
        </w:rPr>
        <w:t>strengthen the Jewish economy meant to weaken the Arab one</w:t>
      </w:r>
      <w:r w:rsidRPr="00292257">
        <w:rPr>
          <w:sz w:val="16"/>
        </w:rPr>
        <w:t xml:space="preserve">. One existential territory arises on the dwindling of another; </w:t>
      </w:r>
      <w:r w:rsidRPr="00292257">
        <w:rPr>
          <w:rStyle w:val="StyleUnderline"/>
        </w:rPr>
        <w:t>one life for another.</w:t>
      </w:r>
      <w:r w:rsidR="00305313" w:rsidRPr="00292257">
        <w:rPr>
          <w:rStyle w:val="StyleUnderline"/>
        </w:rPr>
        <w:t xml:space="preserve"> </w:t>
      </w:r>
      <w:r w:rsidRPr="00292257">
        <w:rPr>
          <w:rStyle w:val="StyleUnderline"/>
        </w:rPr>
        <w:t>In</w:t>
      </w:r>
      <w:r w:rsidRPr="00292257">
        <w:rPr>
          <w:sz w:val="16"/>
        </w:rPr>
        <w:t xml:space="preserve"> the </w:t>
      </w:r>
      <w:r w:rsidRPr="00292257">
        <w:rPr>
          <w:rStyle w:val="StyleUnderline"/>
        </w:rPr>
        <w:t>manufacturing</w:t>
      </w:r>
      <w:r w:rsidRPr="00292257">
        <w:rPr>
          <w:sz w:val="16"/>
        </w:rPr>
        <w:t xml:space="preserve"> of </w:t>
      </w:r>
      <w:r w:rsidRPr="00292257">
        <w:rPr>
          <w:rStyle w:val="StyleUnderline"/>
        </w:rPr>
        <w:t>segregated enclaves Zionism invented frontiers, hence it could expand by conquering social spheres, by racializing life within them</w:t>
      </w:r>
      <w:r w:rsidRPr="00292257">
        <w:rPr>
          <w:sz w:val="16"/>
        </w:rPr>
        <w:t xml:space="preserve">, and by bringing them into reciprocal resonance. </w:t>
      </w:r>
      <w:r w:rsidRPr="00292257">
        <w:rPr>
          <w:rStyle w:val="StyleUnderline"/>
        </w:rPr>
        <w:t>In</w:t>
      </w:r>
      <w:r w:rsidRPr="00292257">
        <w:rPr>
          <w:sz w:val="16"/>
        </w:rPr>
        <w:t xml:space="preserve"> the case of </w:t>
      </w:r>
      <w:r w:rsidRPr="00292257">
        <w:rPr>
          <w:rStyle w:val="StyleUnderline"/>
        </w:rPr>
        <w:t>Palestine</w:t>
      </w:r>
      <w:r w:rsidRPr="00292257">
        <w:rPr>
          <w:sz w:val="16"/>
        </w:rPr>
        <w:t xml:space="preserve">, territorial </w:t>
      </w:r>
      <w:r w:rsidRPr="00292257">
        <w:rPr>
          <w:rStyle w:val="Emphasis"/>
        </w:rPr>
        <w:t>conquest was dependent on settler colonial social expansion</w:t>
      </w:r>
      <w:r w:rsidRPr="00292257">
        <w:rPr>
          <w:sz w:val="16"/>
        </w:rPr>
        <w:t xml:space="preserve">. It is worth remembering that by 1947 the Yishuv held only about 7 percent of the total land area of Palestine (national and private holdings), while by early 1949, with the signing of the Armistice Agreements with Egypt, Lebanon, Jordan, and Syria, Israel found itself </w:t>
      </w:r>
      <w:r w:rsidRPr="00292257">
        <w:rPr>
          <w:sz w:val="16"/>
        </w:rPr>
        <w:lastRenderedPageBreak/>
        <w:t xml:space="preserve">dominating 77 percent of Palestine. This dramatic change ensued in the course of the 1947–49 war. </w:t>
      </w:r>
      <w:r w:rsidRPr="00292257">
        <w:rPr>
          <w:rStyle w:val="StyleUnderline"/>
        </w:rPr>
        <w:t>The competence, strength, and hunger to conquer territories beyond the lines of the 1947 UN Partition resolution – these attributes were the product of a long process of frontier expansion in the social realm, as discussed earlier</w:t>
      </w:r>
      <w:r w:rsidRPr="00292257">
        <w:rPr>
          <w:sz w:val="16"/>
        </w:rPr>
        <w:t xml:space="preserve">. That is, the figure of 7 percent might be misleading. Within the pre-1948 7 percent of land, a fully functioning society was developed and equipped as a state. </w:t>
      </w:r>
      <w:r w:rsidRPr="00292257">
        <w:rPr>
          <w:rStyle w:val="StyleUnderline"/>
        </w:rPr>
        <w:t>Its territorial expansion was predicated on its institutional aptitudes, its internal cohesiveness, its ability to recruit, no less than on its determination and sense of entitlement. Social frontiers</w:t>
      </w:r>
      <w:r w:rsidRPr="00292257">
        <w:rPr>
          <w:sz w:val="16"/>
        </w:rPr>
        <w:t xml:space="preserve">, not concrete walls and fences, </w:t>
      </w:r>
      <w:r w:rsidRPr="00292257">
        <w:rPr>
          <w:rStyle w:val="StyleUnderline"/>
        </w:rPr>
        <w:t>were the first major cultural industry of the Zionist movement.</w:t>
      </w:r>
      <w:r w:rsidR="00305313" w:rsidRPr="00292257">
        <w:rPr>
          <w:rStyle w:val="StyleUnderline"/>
        </w:rPr>
        <w:t xml:space="preserve"> </w:t>
      </w:r>
      <w:r w:rsidRPr="00292257">
        <w:rPr>
          <w:sz w:val="16"/>
        </w:rPr>
        <w:t xml:space="preserve">Confronting the field of indigeneity, early Zionism found itself working on more than one front. In their resistance, natives – Arabs and Jews – found themselves striving to maintain their ways of life. </w:t>
      </w:r>
      <w:r w:rsidRPr="00292257">
        <w:rPr>
          <w:rStyle w:val="StyleUnderline"/>
        </w:rPr>
        <w:t xml:space="preserve">The engineering of racial Jewish enclaves meant that not only the Arab natives </w:t>
      </w:r>
      <w:r w:rsidRPr="00292257">
        <w:rPr>
          <w:rStyle w:val="Emphasis"/>
        </w:rPr>
        <w:t>could not reproduce their ways of life as in the past</w:t>
      </w:r>
      <w:r w:rsidRPr="00292257">
        <w:rPr>
          <w:rStyle w:val="StyleUnderline"/>
        </w:rPr>
        <w:t>, nor could Arabs and Oriental Jews continue their shared everyday practices</w:t>
      </w:r>
      <w:r w:rsidRPr="00292257">
        <w:rPr>
          <w:sz w:val="16"/>
        </w:rPr>
        <w:t xml:space="preserve">. A shared cultural milieu formed through cen- turies bonded Arabs and Oriental Jews – a milieu that threatened the Zionist immigrant with an invitation to share a social space. However, </w:t>
      </w:r>
      <w:r w:rsidRPr="00292257">
        <w:rPr>
          <w:rStyle w:val="StyleUnderline"/>
        </w:rPr>
        <w:t>in the eyes of the Ashkenazi pioneers, the source of this commonality was the reason to repudiate it</w:t>
      </w:r>
      <w:r w:rsidRPr="00292257">
        <w:rPr>
          <w:sz w:val="16"/>
        </w:rPr>
        <w:t xml:space="preserve">. In this negation, </w:t>
      </w:r>
      <w:r w:rsidRPr="00292257">
        <w:rPr>
          <w:rStyle w:val="StyleUnderline"/>
        </w:rPr>
        <w:t xml:space="preserve">Arab–Jewish shared life became a form of resist- ance, a contestation of the attempt – eventually successful – </w:t>
      </w:r>
      <w:r w:rsidRPr="00292257">
        <w:rPr>
          <w:rStyle w:val="Emphasis"/>
        </w:rPr>
        <w:t>to disrupt the local identity shared by Arabs and Jews</w:t>
      </w:r>
      <w:r w:rsidRPr="00292257">
        <w:rPr>
          <w:rStyle w:val="StyleUnderline"/>
        </w:rPr>
        <w:t>.</w:t>
      </w:r>
      <w:r w:rsidR="00305313" w:rsidRPr="00292257">
        <w:rPr>
          <w:rStyle w:val="StyleUnderline"/>
        </w:rPr>
        <w:t xml:space="preserve"> </w:t>
      </w:r>
      <w:r w:rsidRPr="00292257">
        <w:rPr>
          <w:rStyle w:val="StyleUnderline"/>
        </w:rPr>
        <w:t>Two</w:t>
      </w:r>
      <w:r w:rsidRPr="00292257">
        <w:rPr>
          <w:sz w:val="16"/>
        </w:rPr>
        <w:t xml:space="preserve"> interrelated </w:t>
      </w:r>
      <w:r w:rsidRPr="00292257">
        <w:rPr>
          <w:rStyle w:val="StyleUnderline"/>
        </w:rPr>
        <w:t>movements were taking place</w:t>
      </w:r>
      <w:r w:rsidRPr="00292257">
        <w:rPr>
          <w:sz w:val="16"/>
        </w:rPr>
        <w:t xml:space="preserve">, both </w:t>
      </w:r>
      <w:r w:rsidRPr="00292257">
        <w:rPr>
          <w:rStyle w:val="Emphasis"/>
        </w:rPr>
        <w:t>taking a toll on native life</w:t>
      </w:r>
      <w:r w:rsidRPr="00292257">
        <w:rPr>
          <w:sz w:val="16"/>
        </w:rPr>
        <w:t>. On one level</w:t>
      </w:r>
      <w:r w:rsidRPr="00292257">
        <w:rPr>
          <w:rStyle w:val="StyleUnderline"/>
        </w:rPr>
        <w:t>, in the expanding segregative activities of the settlers</w:t>
      </w:r>
      <w:r w:rsidRPr="00292257">
        <w:rPr>
          <w:sz w:val="16"/>
        </w:rPr>
        <w:t xml:space="preserve">, </w:t>
      </w:r>
      <w:r w:rsidRPr="00292257">
        <w:rPr>
          <w:rStyle w:val="StyleUnderline"/>
        </w:rPr>
        <w:t>Arabs</w:t>
      </w:r>
      <w:r w:rsidRPr="00292257">
        <w:rPr>
          <w:sz w:val="16"/>
        </w:rPr>
        <w:t xml:space="preserve"> </w:t>
      </w:r>
      <w:r w:rsidRPr="00292257">
        <w:rPr>
          <w:rStyle w:val="StyleUnderline"/>
        </w:rPr>
        <w:t>saw</w:t>
      </w:r>
      <w:r w:rsidRPr="00292257">
        <w:rPr>
          <w:sz w:val="16"/>
        </w:rPr>
        <w:t xml:space="preserve"> their power</w:t>
      </w:r>
      <w:r w:rsidRPr="00292257">
        <w:rPr>
          <w:rStyle w:val="StyleUnderline"/>
        </w:rPr>
        <w:t>, sense of ownership of the land, and nativeness being challenged</w:t>
      </w:r>
      <w:r w:rsidRPr="00292257">
        <w:rPr>
          <w:sz w:val="16"/>
        </w:rPr>
        <w:t xml:space="preserve">. On another level, </w:t>
      </w:r>
      <w:r w:rsidRPr="00292257">
        <w:rPr>
          <w:rStyle w:val="StyleUnderline"/>
        </w:rPr>
        <w:t>the Ashkenazi Yishuv asked to</w:t>
      </w:r>
      <w:r w:rsidRPr="00292257">
        <w:rPr>
          <w:sz w:val="16"/>
        </w:rPr>
        <w:t xml:space="preserve"> disempower also the Jewish Oriental millet and to </w:t>
      </w:r>
      <w:r w:rsidRPr="00292257">
        <w:rPr>
          <w:rStyle w:val="StyleUnderline"/>
        </w:rPr>
        <w:t>place native Jews under a peremptory demand to join the national project on the former’s cultural and political terms</w:t>
      </w:r>
      <w:r w:rsidRPr="00292257">
        <w:rPr>
          <w:sz w:val="16"/>
        </w:rPr>
        <w:t xml:space="preserve">. As part of the process that led them to side with Zionism, particularly after the riots of 1929, Oriental Jews were denativizing themselves politically. </w:t>
      </w:r>
      <w:r w:rsidRPr="00292257">
        <w:rPr>
          <w:rStyle w:val="StyleUnderline"/>
        </w:rPr>
        <w:t xml:space="preserve">In between these struggles, </w:t>
      </w:r>
      <w:r w:rsidRPr="00292257">
        <w:rPr>
          <w:rStyle w:val="Emphasis"/>
        </w:rPr>
        <w:t>shared life was losing its historical habitats, and struggling to create new ones</w:t>
      </w:r>
      <w:r w:rsidRPr="00292257">
        <w:rPr>
          <w:rStyle w:val="StyleUnderline"/>
        </w:rPr>
        <w:t>.</w:t>
      </w:r>
      <w:r w:rsidRPr="00292257">
        <w:rPr>
          <w:sz w:val="16"/>
        </w:rPr>
        <w:t xml:space="preserve"> Shared life would have its swan-song on the verge of the Nakba, in the numerous efforts to establish civil alliances that attempted to resist the spreading of mutual violence. The dispossession and displacement of the Arabs of Palestine became a necessary but insufficient condition in the Zionist settler project. </w:t>
      </w:r>
      <w:r w:rsidRPr="00292257">
        <w:rPr>
          <w:rStyle w:val="StyleUnderline"/>
        </w:rPr>
        <w:t>Arab–Jewish shared life had to go as much as the Arabs of Palestine had to go.</w:t>
      </w:r>
      <w:r w:rsidRPr="00292257">
        <w:rPr>
          <w:sz w:val="16"/>
        </w:rPr>
        <w:t xml:space="preserve"> From the viewpoint of the present, </w:t>
      </w:r>
      <w:r w:rsidRPr="00292257">
        <w:rPr>
          <w:rStyle w:val="StyleUnderline"/>
        </w:rPr>
        <w:t>Arab life in Palestine has been placed under never-ending siege and destruction by the settler colonial machines of the State of Israel</w:t>
      </w:r>
      <w:r w:rsidRPr="00292257">
        <w:rPr>
          <w:sz w:val="16"/>
        </w:rPr>
        <w:t xml:space="preserve">, and Arab– </w:t>
      </w:r>
      <w:r w:rsidRPr="00292257">
        <w:rPr>
          <w:rStyle w:val="Emphasis"/>
        </w:rPr>
        <w:t>Jewish shared life has been made to disappear. Zionism is founded on a double elimination.</w:t>
      </w:r>
    </w:p>
    <w:p w:rsidR="005027D7" w:rsidRPr="00292257" w:rsidRDefault="005027D7" w:rsidP="005027D7">
      <w:pPr>
        <w:pStyle w:val="Heading2"/>
      </w:pPr>
      <w:r w:rsidRPr="00292257">
        <w:lastRenderedPageBreak/>
        <w:t>AT: Perm</w:t>
      </w:r>
    </w:p>
    <w:p w:rsidR="005027D7" w:rsidRPr="00292257" w:rsidRDefault="005027D7" w:rsidP="005027D7">
      <w:pPr>
        <w:pStyle w:val="Heading4"/>
      </w:pPr>
      <w:r w:rsidRPr="00292257">
        <w:t>Piecemeal reforms in arms trade only perpetuate the arms regulatory regime – only a foundational shift and re-evaluation of the legitimacy of our ability to regulate arms transferring solves</w:t>
      </w:r>
    </w:p>
    <w:p w:rsidR="005027D7" w:rsidRPr="00292257" w:rsidRDefault="005027D7" w:rsidP="005027D7">
      <w:r w:rsidRPr="00292257">
        <w:rPr>
          <w:rStyle w:val="Style13ptBold"/>
        </w:rPr>
        <w:t>Cooper</w:t>
      </w:r>
      <w:r w:rsidRPr="00292257">
        <w:t xml:space="preserve"> </w:t>
      </w:r>
      <w:r w:rsidRPr="00292257">
        <w:rPr>
          <w:rStyle w:val="Style13ptBold"/>
        </w:rPr>
        <w:t>’18</w:t>
      </w:r>
      <w:r w:rsidRPr="00292257">
        <w:t xml:space="preserve"> (Neil, PhD, Professor of International Relations and Security Studies and Head of Peace Studies &amp; International Development at University of Bradford, Race, Sovereignty, and Free Trade: Arms Trade Regulation and Humanitarian Arms Control in the Age of Empire, Journal of Global Security Studies,  10.1093/jogss/ogy013)CN</w:t>
      </w:r>
    </w:p>
    <w:p w:rsidR="005027D7" w:rsidRPr="00292257" w:rsidRDefault="005027D7" w:rsidP="005027D7">
      <w:pPr>
        <w:rPr>
          <w:rStyle w:val="Emphasis"/>
          <w:b w:val="0"/>
          <w:iCs w:val="0"/>
          <w:u w:val="none"/>
        </w:rPr>
      </w:pPr>
      <w:r w:rsidRPr="00292257">
        <w:t xml:space="preserve">It is worth noting in this context that in historical </w:t>
      </w:r>
      <w:r w:rsidRPr="00292257">
        <w:rPr>
          <w:sz w:val="16"/>
        </w:rPr>
        <w:t xml:space="preserve">terms, the Brussels Act and </w:t>
      </w:r>
      <w:r w:rsidRPr="00292257">
        <w:rPr>
          <w:rStyle w:val="Emphasis"/>
        </w:rPr>
        <w:t>the broader range of initiatives to manage arms flows in the spaces of Empire were essentially transitory</w:t>
      </w:r>
      <w:r w:rsidRPr="00292257">
        <w:rPr>
          <w:sz w:val="16"/>
        </w:rPr>
        <w:t>—</w:t>
      </w:r>
      <w:r w:rsidRPr="00292257">
        <w:rPr>
          <w:rStyle w:val="Emphasis"/>
        </w:rPr>
        <w:t>they did not produce a lasting change in arms trade norms or in the international system</w:t>
      </w:r>
      <w:r w:rsidRPr="00292257">
        <w:rPr>
          <w:sz w:val="16"/>
        </w:rPr>
        <w:t xml:space="preserve">. In part at least, this was because prohibitory arms trade norms emerged as elements in the normative superstructure of the era rather than as constitutive norms in their own right. At the same time, it was also the case that from the 1930s onwards, </w:t>
      </w:r>
      <w:r w:rsidRPr="00292257">
        <w:rPr>
          <w:rStyle w:val="StyleUnderline"/>
        </w:rPr>
        <w:t>changes in the substance of transnational constitutive norms pertaining to sovereignty, security, economy, and colonialism created the permissive conditions for a new set of regulatory arms trade norms to emerge through new processes of grafting</w:t>
      </w:r>
      <w:r w:rsidRPr="00292257">
        <w:rPr>
          <w:sz w:val="16"/>
        </w:rPr>
        <w:t xml:space="preserve"> and counter-grafting. There were, of course, elements of earlier approaches in the use of arms supplies to “the friendlies” in the wars of decolonization and anticommunism. More generally, however, </w:t>
      </w:r>
      <w:r w:rsidRPr="00292257">
        <w:rPr>
          <w:rStyle w:val="StyleUnderline"/>
        </w:rPr>
        <w:t xml:space="preserve">arms trade regulation </w:t>
      </w:r>
      <w:r w:rsidRPr="00292257">
        <w:rPr>
          <w:sz w:val="16"/>
        </w:rPr>
        <w:t xml:space="preserve">in the Cold War </w:t>
      </w:r>
      <w:r w:rsidRPr="00292257">
        <w:rPr>
          <w:rStyle w:val="StyleUnderline"/>
        </w:rPr>
        <w:t>was characterized</w:t>
      </w:r>
      <w:r w:rsidRPr="00292257">
        <w:rPr>
          <w:sz w:val="16"/>
        </w:rPr>
        <w:t xml:space="preserve"> more </w:t>
      </w:r>
      <w:r w:rsidRPr="00292257">
        <w:rPr>
          <w:rStyle w:val="StyleUnderline"/>
        </w:rPr>
        <w:t>by a sovereign</w:t>
      </w:r>
      <w:r w:rsidRPr="00292257">
        <w:rPr>
          <w:sz w:val="16"/>
        </w:rPr>
        <w:t xml:space="preserve"> </w:t>
      </w:r>
      <w:r w:rsidRPr="00292257">
        <w:rPr>
          <w:rStyle w:val="StyleUnderline"/>
        </w:rPr>
        <w:t>approach to arms control that emphasized the</w:t>
      </w:r>
      <w:r w:rsidRPr="00292257">
        <w:rPr>
          <w:sz w:val="16"/>
        </w:rPr>
        <w:t xml:space="preserve"> creation and expansion of peacetime national export licensing systems and the </w:t>
      </w:r>
      <w:r w:rsidRPr="00292257">
        <w:rPr>
          <w:rStyle w:val="StyleUnderline"/>
        </w:rPr>
        <w:t>use of regulation to achieve security between states</w:t>
      </w:r>
      <w:r w:rsidRPr="00292257">
        <w:rPr>
          <w:sz w:val="16"/>
        </w:rPr>
        <w:t xml:space="preserve">. </w:t>
      </w:r>
      <w:r w:rsidRPr="00292257">
        <w:rPr>
          <w:rStyle w:val="Emphasis"/>
        </w:rPr>
        <w:t>Arms trade norms were ultimately at the mercy of these far larger shifts in foundational constitutive norms.</w:t>
      </w:r>
      <w:r w:rsidRPr="00292257">
        <w:rPr>
          <w:sz w:val="16"/>
        </w:rPr>
        <w:t xml:space="preserve"> All </w:t>
      </w:r>
      <w:r w:rsidRPr="00292257">
        <w:rPr>
          <w:rStyle w:val="Emphasis"/>
        </w:rPr>
        <w:t>this should prompt</w:t>
      </w:r>
      <w:r w:rsidRPr="00292257">
        <w:rPr>
          <w:sz w:val="16"/>
        </w:rPr>
        <w:t xml:space="preserve"> due </w:t>
      </w:r>
      <w:r w:rsidRPr="00292257">
        <w:rPr>
          <w:rStyle w:val="Emphasis"/>
        </w:rPr>
        <w:t>modesty on the part of the optimists heralding the normative transformations</w:t>
      </w:r>
      <w:r w:rsidRPr="00292257">
        <w:rPr>
          <w:sz w:val="16"/>
        </w:rPr>
        <w:t xml:space="preserve"> supposedly </w:t>
      </w:r>
      <w:r w:rsidRPr="00292257">
        <w:rPr>
          <w:rStyle w:val="Emphasis"/>
        </w:rPr>
        <w:t>wrought by HAC initiatives</w:t>
      </w:r>
      <w:r w:rsidRPr="00292257">
        <w:rPr>
          <w:sz w:val="16"/>
        </w:rPr>
        <w:t xml:space="preserve"> </w:t>
      </w:r>
      <w:r w:rsidRPr="00292257">
        <w:rPr>
          <w:rStyle w:val="Emphasis"/>
        </w:rPr>
        <w:t>such as those on small arms.</w:t>
      </w:r>
      <w:r w:rsidRPr="00292257">
        <w:rPr>
          <w:sz w:val="16"/>
        </w:rPr>
        <w:t xml:space="preserve"> </w:t>
      </w:r>
      <w:r w:rsidRPr="00292257">
        <w:rPr>
          <w:rStyle w:val="Emphasis"/>
        </w:rPr>
        <w:t>This article also highlights the need for a</w:t>
      </w:r>
      <w:r w:rsidRPr="00292257">
        <w:rPr>
          <w:sz w:val="16"/>
        </w:rPr>
        <w:t xml:space="preserve"> more </w:t>
      </w:r>
      <w:r w:rsidRPr="00292257">
        <w:rPr>
          <w:rStyle w:val="Emphasis"/>
        </w:rPr>
        <w:t>thoroughgoing genealogical approach to the histories of both HAC and arms trade regulation</w:t>
      </w:r>
      <w:r w:rsidRPr="00292257">
        <w:rPr>
          <w:sz w:val="16"/>
        </w:rPr>
        <w:t xml:space="preserve"> (governmental and sovereign). This is more obviously the domain of the critical school of thinking on arms trade regulation. In the case of the optimists, both </w:t>
      </w:r>
      <w:r w:rsidRPr="00292257">
        <w:rPr>
          <w:rStyle w:val="StyleUnderline"/>
        </w:rPr>
        <w:t xml:space="preserve">the evident flaws of humanitarian arms trade regulation in the late nineteenth century and its essentially transient nature demonstrate why they need to think more historically about the relationship between humanitarianism and arms regulation. </w:t>
      </w:r>
      <w:r w:rsidRPr="00292257">
        <w:rPr>
          <w:sz w:val="16"/>
        </w:rPr>
        <w:t xml:space="preserve">Indeed, despite the differences between nineteenth- and twenty-first-century HAC, </w:t>
      </w:r>
      <w:r w:rsidRPr="00292257">
        <w:rPr>
          <w:rStyle w:val="Emphasis"/>
        </w:rPr>
        <w:t>they have yet to convincingly demonstrate why things might turn out differently this time around.</w:t>
      </w:r>
    </w:p>
    <w:p w:rsidR="005027D7" w:rsidRPr="00292257" w:rsidRDefault="005027D7" w:rsidP="005027D7">
      <w:pPr>
        <w:pStyle w:val="Heading1"/>
      </w:pPr>
      <w:r w:rsidRPr="00292257">
        <w:lastRenderedPageBreak/>
        <w:t>AFF</w:t>
      </w:r>
    </w:p>
    <w:p w:rsidR="005027D7" w:rsidRPr="00292257" w:rsidRDefault="005027D7" w:rsidP="005027D7">
      <w:pPr>
        <w:pStyle w:val="Heading2"/>
      </w:pPr>
      <w:r w:rsidRPr="00292257">
        <w:lastRenderedPageBreak/>
        <w:t>Perm</w:t>
      </w:r>
    </w:p>
    <w:p w:rsidR="005027D7" w:rsidRPr="00292257" w:rsidRDefault="005027D7" w:rsidP="005027D7">
      <w:pPr>
        <w:pStyle w:val="Heading4"/>
      </w:pPr>
      <w:r w:rsidRPr="00292257">
        <w:t>The perm solves – legal pluralist actions to accommodate Indigenous issues are able to creat</w:t>
      </w:r>
      <w:r w:rsidR="00FA09C8" w:rsidRPr="00292257">
        <w:t>e pragmatic and lasting change -</w:t>
      </w:r>
      <w:r w:rsidRPr="00292257">
        <w:t>complete disavowal of the state and human rights approaches dooms movements and prevents a diversity of tactics</w:t>
      </w:r>
    </w:p>
    <w:p w:rsidR="005027D7" w:rsidRPr="00292257" w:rsidRDefault="005027D7" w:rsidP="005027D7">
      <w:pPr>
        <w:rPr>
          <w:rStyle w:val="Style13ptBold"/>
          <w:b w:val="0"/>
          <w:sz w:val="22"/>
        </w:rPr>
      </w:pPr>
      <w:r w:rsidRPr="00292257">
        <w:rPr>
          <w:rStyle w:val="Style13ptBold"/>
        </w:rPr>
        <w:t xml:space="preserve">Hendry and Tatum 16 </w:t>
      </w:r>
      <w:r w:rsidRPr="00292257">
        <w:t xml:space="preserve">Jennifer Hendry &amp; Melissa L. Tatum, “Human Rights, Indigenous Peoples, and the Pursuit of Justice”, 34 Yale L. &amp; Pol'y Rev, 2016, Available at: </w:t>
      </w:r>
      <w:hyperlink r:id="rId21" w:history="1">
        <w:r w:rsidRPr="00292257">
          <w:rPr>
            <w:rStyle w:val="Hyperlink"/>
          </w:rPr>
          <w:t>https://digitalcommons.law.yale.edu/ylpr/vol34/iss2/3</w:t>
        </w:r>
      </w:hyperlink>
      <w:r w:rsidRPr="00292257">
        <w:t>, /MegLak</w:t>
      </w:r>
    </w:p>
    <w:p w:rsidR="005027D7" w:rsidRPr="00292257" w:rsidRDefault="005027D7" w:rsidP="005027D7">
      <w:pPr>
        <w:rPr>
          <w:u w:val="single"/>
        </w:rPr>
      </w:pPr>
      <w:r w:rsidRPr="00292257">
        <w:rPr>
          <w:sz w:val="16"/>
        </w:rPr>
        <w:t xml:space="preserve">As Abraham Maslow famously stated, “it is tempting, if the only tool you have is a hammer, to treat everything as if it were a nail.”180 In this Article, </w:t>
      </w:r>
      <w:r w:rsidRPr="00292257">
        <w:rPr>
          <w:rStyle w:val="StyleUnderline"/>
        </w:rPr>
        <w:t>we have put forward the argument that the rights-based approach—the hammer, as it were—contains certain structural biases that can affect its operation in situations concerning</w:t>
      </w:r>
      <w:r w:rsidRPr="00292257">
        <w:rPr>
          <w:sz w:val="16"/>
        </w:rPr>
        <w:t xml:space="preserve"> minority and </w:t>
      </w:r>
      <w:r w:rsidRPr="00292257">
        <w:rPr>
          <w:rStyle w:val="StyleUnderline"/>
        </w:rPr>
        <w:t>Indigenous justice</w:t>
      </w:r>
      <w:r w:rsidRPr="00292257">
        <w:rPr>
          <w:sz w:val="16"/>
        </w:rPr>
        <w:t xml:space="preserve">. Nevertheless, this is not to say that </w:t>
      </w:r>
      <w:r w:rsidRPr="00292257">
        <w:rPr>
          <w:rStyle w:val="Emphasis"/>
        </w:rPr>
        <w:t>there are</w:t>
      </w:r>
      <w:r w:rsidRPr="00292257">
        <w:rPr>
          <w:sz w:val="16"/>
        </w:rPr>
        <w:t xml:space="preserve"> not </w:t>
      </w:r>
      <w:r w:rsidRPr="00292257">
        <w:rPr>
          <w:rStyle w:val="Emphasis"/>
        </w:rPr>
        <w:t>some occasions that specifically call for a hammer</w:t>
      </w:r>
      <w:r w:rsidRPr="00292257">
        <w:rPr>
          <w:sz w:val="16"/>
        </w:rPr>
        <w:t xml:space="preserve">: indeed, even within the CLS movements there have been voices cautioning against throwing the baby out with the rights-skepticism bathwater, notably from the Critical Race Theory camp. A number of CRT scholars have maintained that </w:t>
      </w:r>
      <w:r w:rsidRPr="00292257">
        <w:rPr>
          <w:rStyle w:val="StyleUnderline"/>
        </w:rPr>
        <w:t>legal rights are still an important tool for minority groups, even in light of their evident shortcomings</w:t>
      </w:r>
      <w:r w:rsidRPr="00292257">
        <w:rPr>
          <w:sz w:val="16"/>
        </w:rPr>
        <w:t xml:space="preserve"> and the tendency for such purportedly universal entitlements to preserve the interests of the privileged.181 This Article does not adopt a wholly rights-skeptical position. On the contrary</w:t>
      </w:r>
      <w:r w:rsidRPr="00292257">
        <w:rPr>
          <w:rStyle w:val="StyleUnderline"/>
        </w:rPr>
        <w:t xml:space="preserve">, we recognize that </w:t>
      </w:r>
      <w:r w:rsidRPr="00292257">
        <w:rPr>
          <w:rStyle w:val="Emphasis"/>
        </w:rPr>
        <w:t>in certain situations the interests of Indigenous justice are best served by a rights-based approach</w:t>
      </w:r>
      <w:r w:rsidRPr="00292257">
        <w:rPr>
          <w:rStyle w:val="StyleUnderline"/>
        </w:rPr>
        <w:t>, and we offered the Violence Against Women Act of 2013 as a paradigmatic example of such a success story</w:t>
      </w:r>
      <w:r w:rsidRPr="00292257">
        <w:rPr>
          <w:sz w:val="16"/>
        </w:rPr>
        <w:t>, although it does urge caution in terms of the apparent myopia engendered by the dominance of the rights paradigm.</w:t>
      </w:r>
      <w:r w:rsidR="00305313" w:rsidRPr="00292257">
        <w:rPr>
          <w:sz w:val="16"/>
        </w:rPr>
        <w:t xml:space="preserve"> </w:t>
      </w:r>
      <w:r w:rsidRPr="00292257">
        <w:rPr>
          <w:sz w:val="16"/>
        </w:rPr>
        <w:t xml:space="preserve">While </w:t>
      </w:r>
      <w:r w:rsidRPr="00292257">
        <w:rPr>
          <w:rStyle w:val="Emphasis"/>
        </w:rPr>
        <w:t>Indigenous peoples should</w:t>
      </w:r>
      <w:r w:rsidRPr="00292257">
        <w:rPr>
          <w:sz w:val="16"/>
        </w:rPr>
        <w:t xml:space="preserve"> of course </w:t>
      </w:r>
      <w:r w:rsidRPr="00292257">
        <w:rPr>
          <w:rStyle w:val="Emphasis"/>
        </w:rPr>
        <w:t>take advantage of every tool in the toolbox in order to achieve the aim of justice</w:t>
      </w:r>
      <w:r w:rsidRPr="00292257">
        <w:rPr>
          <w:sz w:val="16"/>
        </w:rPr>
        <w:t>, not every situation warrants articulation in the language of rights. This is so regardless of whether it is better dealt with outside of the legal system, such as with racist sports franchise names and mascots, like those of the Washington Redskins, where a program of public education is likely to bring more satisfactory and longer-lasting results than one of litigation; whether because a rights-based approach forces the issue’s articula- tion in terms or within parameters that cause its distortion; or whether the very adoption of such an approach locks the rights claimants into a form of interaction that accords to a logic that is essentially “other.”</w:t>
      </w:r>
      <w:r w:rsidR="00305313" w:rsidRPr="00292257">
        <w:rPr>
          <w:sz w:val="16"/>
        </w:rPr>
        <w:t xml:space="preserve"> </w:t>
      </w:r>
      <w:r w:rsidRPr="00292257">
        <w:rPr>
          <w:sz w:val="16"/>
        </w:rPr>
        <w:t xml:space="preserve">Importantly, therefore, </w:t>
      </w:r>
      <w:r w:rsidRPr="00292257">
        <w:rPr>
          <w:rStyle w:val="Emphasis"/>
        </w:rPr>
        <w:t>we are not arguing in favor of either a complete loss of faith in the potential of rights-based approaches to achieve justice for Indigenous people</w:t>
      </w:r>
      <w:r w:rsidRPr="00292257">
        <w:rPr>
          <w:sz w:val="16"/>
        </w:rPr>
        <w:t xml:space="preserve">/s or a complete cessation of any and all recourse to the rhetoric, for a, and power of rights. Instead, we recommend acknowledgment that: first, there is no truth to the idea that rights (or law) are intrinsically a vehicle of social justice; second, rights discourse is not a neutral one but rather comes with its own baggage; and, third, that reliance on rights discourse is a choice that ought to be made on a case-by-case basis. </w:t>
      </w:r>
      <w:r w:rsidRPr="00292257">
        <w:rPr>
          <w:rStyle w:val="StyleUnderline"/>
        </w:rPr>
        <w:t>It is vital, therefore, that in each situa- tion such a choice occurs in the full awareness not only that it is a choice but that it ought to be selected on particular grounds and for particular reasons, namely the suitability of its underpinning logic and processes.</w:t>
      </w:r>
    </w:p>
    <w:p w:rsidR="005C59F8" w:rsidRPr="00292257" w:rsidRDefault="005C59F8" w:rsidP="005C59F8">
      <w:pPr>
        <w:pStyle w:val="Heading2"/>
      </w:pPr>
      <w:r w:rsidRPr="00292257">
        <w:lastRenderedPageBreak/>
        <w:t>Plan focus good</w:t>
      </w:r>
    </w:p>
    <w:p w:rsidR="005C59F8" w:rsidRPr="00292257" w:rsidRDefault="001E2739" w:rsidP="005C59F8">
      <w:pPr>
        <w:pStyle w:val="Heading4"/>
        <w:rPr>
          <w:rFonts w:cs="Arial"/>
        </w:rPr>
      </w:pPr>
      <w:r w:rsidRPr="00292257">
        <w:rPr>
          <w:rFonts w:cs="Arial"/>
        </w:rPr>
        <w:t>Plan focus is good -</w:t>
      </w:r>
      <w:r w:rsidR="005C59F8" w:rsidRPr="00292257">
        <w:rPr>
          <w:rFonts w:cs="Arial"/>
        </w:rPr>
        <w:t xml:space="preserve"> theorizing subversion of settler technologies is historically successful and necessary for decolonization --- and turns their place arguments </w:t>
      </w:r>
    </w:p>
    <w:p w:rsidR="005C59F8" w:rsidRPr="00292257" w:rsidRDefault="005C59F8" w:rsidP="005C59F8">
      <w:r w:rsidRPr="00292257">
        <w:rPr>
          <w:rStyle w:val="Style13ptBold"/>
        </w:rPr>
        <w:t>Paperson 17</w:t>
      </w:r>
      <w:r w:rsidRPr="00292257">
        <w:t xml:space="preserve"> </w:t>
      </w:r>
      <w:r w:rsidR="00FA09C8" w:rsidRPr="00292257">
        <w:t xml:space="preserve">(La </w:t>
      </w:r>
      <w:r w:rsidRPr="00292257">
        <w:t>Pseudonym of K. Wayne Yang, Associate Professor of Ethnic Studies, UC San Diego, PhD Social and Cultural Studies, Berkeley, “A Third University Is Possible,” June 2017, https://manifold.umn.edu/read/7ba69a54-7131-4598-9fec-815890725d91/section/e33f977a-532b-4b87-b108-f106337d9e53</w:t>
      </w:r>
    </w:p>
    <w:p w:rsidR="005C59F8" w:rsidRPr="00292257" w:rsidRDefault="005C59F8" w:rsidP="005C59F8">
      <w:pPr>
        <w:rPr>
          <w:rStyle w:val="Emphasis"/>
          <w:b w:val="0"/>
          <w:iCs w:val="0"/>
          <w:sz w:val="16"/>
          <w:u w:val="none"/>
        </w:rPr>
      </w:pPr>
      <w:r w:rsidRPr="00292257">
        <w:rPr>
          <w:sz w:val="16"/>
        </w:rPr>
        <w:t>Even When They Are Dangerous</w:t>
      </w:r>
      <w:r w:rsidRPr="00292257">
        <w:rPr>
          <w:sz w:val="16"/>
        </w:rPr>
        <w:t xml:space="preserve"> </w:t>
      </w:r>
      <w:r w:rsidRPr="00292257">
        <w:rPr>
          <w:rStyle w:val="StyleUnderline"/>
        </w:rPr>
        <w:t>Everywhere land resists</w:t>
      </w:r>
      <w:r w:rsidRPr="00292257">
        <w:rPr>
          <w:sz w:val="16"/>
        </w:rPr>
        <w:t xml:space="preserve"> and refuses—whales that destroy ships, bees that refuse to work, bombed islands that reconstitute themselves. The land also resists in the form of people; </w:t>
      </w:r>
      <w:r w:rsidRPr="00292257">
        <w:rPr>
          <w:rStyle w:val="StyleUnderline"/>
        </w:rPr>
        <w:t>Indigenous peoples’ resistance is the land’s resista</w:t>
      </w:r>
      <w:r w:rsidRPr="00292257">
        <w:rPr>
          <w:rStyle w:val="StyleUnderline"/>
        </w:rPr>
        <w:t xml:space="preserve">nce. Indigenous people continu </w:t>
      </w:r>
      <w:r w:rsidRPr="00292257">
        <w:rPr>
          <w:rStyle w:val="StyleUnderline"/>
        </w:rPr>
        <w:t xml:space="preserve">to </w:t>
      </w:r>
      <w:r w:rsidRPr="00292257">
        <w:rPr>
          <w:rStyle w:val="Emphasis"/>
        </w:rPr>
        <w:t>subvert legal and capitalist technologies as part of that resistance</w:t>
      </w:r>
      <w:r w:rsidRPr="00292257">
        <w:rPr>
          <w:rStyle w:val="StyleUnderline"/>
        </w:rPr>
        <w:t>. And technologies and technological beings resist too.</w:t>
      </w:r>
      <w:r w:rsidRPr="00292257">
        <w:rPr>
          <w:sz w:val="16"/>
        </w:rPr>
        <w:t xml:space="preserve"> </w:t>
      </w:r>
      <w:r w:rsidRPr="00292257">
        <w:rPr>
          <w:rStyle w:val="StyleUnderline"/>
          <w:szCs w:val="48"/>
        </w:rPr>
        <w:t>Patent law is patently designed to favor corporations</w:t>
      </w:r>
      <w:r w:rsidRPr="00292257">
        <w:rPr>
          <w:rStyle w:val="StyleUnderline"/>
          <w:sz w:val="48"/>
          <w:szCs w:val="48"/>
        </w:rPr>
        <w:t>,</w:t>
      </w:r>
      <w:r w:rsidRPr="00292257">
        <w:rPr>
          <w:sz w:val="16"/>
          <w:szCs w:val="60"/>
        </w:rPr>
        <w:t xml:space="preserve"> </w:t>
      </w:r>
      <w:r w:rsidRPr="00292257">
        <w:rPr>
          <w:sz w:val="16"/>
        </w:rPr>
        <w:t xml:space="preserve">a legal technology whose colonizing functions are particularly evident when considering how </w:t>
      </w:r>
      <w:r w:rsidRPr="00292257">
        <w:rPr>
          <w:rStyle w:val="StyleUnderline"/>
        </w:rPr>
        <w:t>Monsanto and other GMO producing giants are patenting seeds and genes they “find” throughout the world.</w:t>
      </w:r>
      <w:r w:rsidRPr="00292257">
        <w:rPr>
          <w:sz w:val="16"/>
        </w:rPr>
        <w:t xml:space="preserve"> Yet </w:t>
      </w:r>
      <w:r w:rsidRPr="00292257">
        <w:rPr>
          <w:rStyle w:val="StyleUnderline"/>
        </w:rPr>
        <w:t>Indigenous communities are fighting this biopiracy by refusing the systems that permit corporations to patent life</w:t>
      </w:r>
      <w:r w:rsidRPr="00292257">
        <w:rPr>
          <w:sz w:val="16"/>
        </w:rPr>
        <w:t xml:space="preserve"> and that document knowledge for expropriation in the first place, by creating digital libraries of traditional knowledges, and sometimes </w:t>
      </w:r>
      <w:r w:rsidRPr="00292257">
        <w:rPr>
          <w:rStyle w:val="Emphasis"/>
        </w:rPr>
        <w:t>by subverting patent law to claim rights to their own life worlds and knowledges</w:t>
      </w:r>
      <w:r w:rsidRPr="00292257">
        <w:rPr>
          <w:sz w:val="16"/>
        </w:rPr>
        <w:t>.[35]</w:t>
      </w:r>
      <w:r w:rsidRPr="00292257">
        <w:rPr>
          <w:sz w:val="16"/>
        </w:rPr>
        <w:t xml:space="preserve"> </w:t>
      </w:r>
      <w:r w:rsidRPr="00292257">
        <w:rPr>
          <w:rStyle w:val="StyleUnderline"/>
        </w:rPr>
        <w:t xml:space="preserve">Treaties are technologies of colonial coercion and yet </w:t>
      </w:r>
      <w:r w:rsidRPr="00292257">
        <w:rPr>
          <w:rStyle w:val="Emphasis"/>
        </w:rPr>
        <w:t>also of Indigenous survivance</w:t>
      </w:r>
      <w:r w:rsidRPr="00292257">
        <w:rPr>
          <w:sz w:val="16"/>
        </w:rPr>
        <w:t xml:space="preserve">. As Scott Lyon says, an x-mark that signs </w:t>
      </w:r>
      <w:r w:rsidRPr="00292257">
        <w:rPr>
          <w:rStyle w:val="StyleUnderline"/>
        </w:rPr>
        <w:t>the treaty “is a sign of consent in a context of coercion</w:t>
      </w:r>
      <w:r w:rsidRPr="00292257">
        <w:rPr>
          <w:sz w:val="16"/>
        </w:rPr>
        <w:t xml:space="preserve">. . . . And yet </w:t>
      </w:r>
      <w:r w:rsidRPr="00292257">
        <w:rPr>
          <w:rStyle w:val="StyleUnderline"/>
        </w:rPr>
        <w:t xml:space="preserve">there is </w:t>
      </w:r>
      <w:r w:rsidRPr="00292257">
        <w:rPr>
          <w:rStyle w:val="Emphasis"/>
        </w:rPr>
        <w:t>always the possibility</w:t>
      </w:r>
      <w:r w:rsidRPr="00292257">
        <w:rPr>
          <w:rStyle w:val="StyleUnderline"/>
        </w:rPr>
        <w:t xml:space="preserve"> of slippage, indeterminacy, unforeseen consequences, or unintended results; it is always possible</w:t>
      </w:r>
      <w:r w:rsidRPr="00292257">
        <w:rPr>
          <w:sz w:val="16"/>
        </w:rPr>
        <w:t xml:space="preserve">, that is, </w:t>
      </w:r>
      <w:r w:rsidRPr="00292257">
        <w:rPr>
          <w:rStyle w:val="StyleUnderline"/>
        </w:rPr>
        <w:t>that an x-mark could result in something good</w:t>
      </w:r>
      <w:r w:rsidRPr="00292257">
        <w:rPr>
          <w:sz w:val="16"/>
        </w:rPr>
        <w:t xml:space="preserve">. Why else, we must ask, would someone bother to make it?”[36] Since 1948, </w:t>
      </w:r>
      <w:r w:rsidRPr="00292257">
        <w:rPr>
          <w:rStyle w:val="StyleUnderline"/>
        </w:rPr>
        <w:t>the Oneida Indian Nation has pursued restoration of sovereignty</w:t>
      </w:r>
      <w:r w:rsidRPr="00292257">
        <w:rPr>
          <w:sz w:val="16"/>
        </w:rPr>
        <w:t xml:space="preserve"> over historical reservation lands </w:t>
      </w:r>
      <w:r w:rsidRPr="00292257">
        <w:rPr>
          <w:rStyle w:val="StyleUnderline"/>
        </w:rPr>
        <w:t>via</w:t>
      </w:r>
      <w:r w:rsidRPr="00292257">
        <w:rPr>
          <w:sz w:val="16"/>
        </w:rPr>
        <w:t xml:space="preserve"> a complex set of avenues involving </w:t>
      </w:r>
      <w:r w:rsidRPr="00292257">
        <w:rPr>
          <w:rStyle w:val="StyleUnderline"/>
        </w:rPr>
        <w:t>treaty law</w:t>
      </w:r>
      <w:r w:rsidRPr="00292257">
        <w:rPr>
          <w:sz w:val="16"/>
        </w:rPr>
        <w:t xml:space="preserve">, U.S. </w:t>
      </w:r>
      <w:r w:rsidRPr="00292257">
        <w:rPr>
          <w:rStyle w:val="StyleUnderline"/>
        </w:rPr>
        <w:t xml:space="preserve">courts, casinos, and excise taxes, resulting in a landmark </w:t>
      </w:r>
      <w:r w:rsidRPr="00292257">
        <w:rPr>
          <w:rStyle w:val="Emphasis"/>
        </w:rPr>
        <w:t>13,004 acres of land taken into trust</w:t>
      </w:r>
      <w:r w:rsidRPr="00292257">
        <w:rPr>
          <w:sz w:val="16"/>
        </w:rPr>
        <w:t xml:space="preserve"> by the Department of the Interior in 2014.[37]</w:t>
      </w:r>
      <w:r w:rsidRPr="00292257">
        <w:rPr>
          <w:sz w:val="16"/>
        </w:rPr>
        <w:t xml:space="preserve"> </w:t>
      </w:r>
      <w:r w:rsidRPr="00292257">
        <w:rPr>
          <w:sz w:val="16"/>
        </w:rPr>
        <w:t xml:space="preserve">Sometimes </w:t>
      </w:r>
      <w:r w:rsidRPr="00292257">
        <w:rPr>
          <w:rStyle w:val="StyleUnderline"/>
        </w:rPr>
        <w:t>settlers return land to Indigenous tribes and nations</w:t>
      </w:r>
      <w:r w:rsidRPr="00292257">
        <w:rPr>
          <w:sz w:val="16"/>
        </w:rPr>
        <w:t xml:space="preserve">. Hopefully, they/we might do so without conditions. As I write, </w:t>
      </w:r>
      <w:r w:rsidRPr="00292257">
        <w:rPr>
          <w:rStyle w:val="StyleUnderline"/>
        </w:rPr>
        <w:t>the Kashia Band of Pomo Indians are getting back 688 acres of coastal lands</w:t>
      </w:r>
      <w:r w:rsidRPr="00292257">
        <w:rPr>
          <w:sz w:val="16"/>
        </w:rPr>
        <w:t xml:space="preserve"> in California.[38] I am not saying wealthy settlers who return land are decolonizing. I am saying that some </w:t>
      </w:r>
      <w:r w:rsidRPr="00292257">
        <w:rPr>
          <w:rStyle w:val="Emphasis"/>
        </w:rPr>
        <w:t>colonizing technology has been hotwired</w:t>
      </w:r>
      <w:r w:rsidRPr="00292257">
        <w:rPr>
          <w:sz w:val="16"/>
        </w:rPr>
        <w:t>; something scyborg is happening.</w:t>
      </w:r>
      <w:r w:rsidRPr="00292257">
        <w:rPr>
          <w:sz w:val="16"/>
        </w:rPr>
        <w:t xml:space="preserve"> </w:t>
      </w:r>
      <w:r w:rsidRPr="00292257">
        <w:rPr>
          <w:rStyle w:val="StyleUnderline"/>
        </w:rPr>
        <w:t>The</w:t>
      </w:r>
      <w:r w:rsidRPr="00292257">
        <w:rPr>
          <w:sz w:val="16"/>
        </w:rPr>
        <w:t xml:space="preserve"> truth is that any </w:t>
      </w:r>
      <w:r w:rsidRPr="00292257">
        <w:rPr>
          <w:rStyle w:val="StyleUnderline"/>
        </w:rPr>
        <w:t>return of land</w:t>
      </w:r>
      <w:r w:rsidRPr="00292257">
        <w:rPr>
          <w:sz w:val="16"/>
        </w:rPr>
        <w:t xml:space="preserve"> is not just due to the good graces and benevolence of wealthy settlers; it </w:t>
      </w:r>
      <w:r w:rsidRPr="00292257">
        <w:rPr>
          <w:rStyle w:val="StyleUnderline"/>
        </w:rPr>
        <w:t>is a scyborg possibility foretold by an x-mark</w:t>
      </w:r>
      <w:r w:rsidRPr="00292257">
        <w:rPr>
          <w:sz w:val="16"/>
        </w:rPr>
        <w:t>. About Hollywood star Johnny Depp’s purported promise to buy land for Comanche, Sonny Skyhawk, a Sicangu Lakota actor and founder of American Indians in Film and Television, said, “If it’s from the heart, we accept it. If it’s not from the heart, we’ll accept it anyways.”[39]</w:t>
      </w:r>
      <w:r w:rsidRPr="00292257">
        <w:rPr>
          <w:sz w:val="16"/>
        </w:rPr>
        <w:t xml:space="preserve"> </w:t>
      </w:r>
      <w:r w:rsidRPr="00292257">
        <w:rPr>
          <w:sz w:val="16"/>
        </w:rPr>
        <w:t>Developed as weapons of surveillance and assassination, drones are hard to imagine as decolonizing instruments; yet these machines we hate may serve a function before we discard them. Originally a wind-powered device similar to the childhood wind toys of its Afghani creator Massoud Hassani, the Mine Kafon drone “can autonomously map, detect, and detonate land mines” and could contribute to demilitarizing mine-filled lands within a generation.[40] Dynamite, which left Alfred Nobel rich and many dead, and which abetted in U.S. westward imperial expansion, blew up the Elwha and Glines Canyon dams and restored the Elwha River.[41] A giant, autonomous artificial coastline could assist the ocean to clean herself of the great Pacific Garbage Patch.[42] Oysters made “plantable” by farming technologies detoxify the Hudson and so become too poisonous to eat, but because of them, the frogs will return.[43] Wind-powered strandbeests—originally devised to restore Dutch beaches—now roam almost autonomous, almost free.[44] Toxic and explosive and wind-willed machine animals, you, scyborg, might read about and feel some odd sense of recognition.</w:t>
      </w:r>
      <w:r w:rsidRPr="00292257">
        <w:rPr>
          <w:sz w:val="16"/>
        </w:rPr>
        <w:t xml:space="preserve"> </w:t>
      </w:r>
      <w:r w:rsidRPr="00292257">
        <w:rPr>
          <w:rStyle w:val="StyleUnderline"/>
        </w:rPr>
        <w:t>Figure out how technologies operate</w:t>
      </w:r>
      <w:r w:rsidRPr="00292257">
        <w:rPr>
          <w:sz w:val="16"/>
        </w:rPr>
        <w:t xml:space="preserve">. Use a wrench. </w:t>
      </w:r>
      <w:r w:rsidRPr="00292257">
        <w:rPr>
          <w:rStyle w:val="Emphasis"/>
        </w:rPr>
        <w:t>Technologies can be disrupted and reorganized</w:t>
      </w:r>
      <w:r w:rsidRPr="00292257">
        <w:rPr>
          <w:sz w:val="16"/>
        </w:rPr>
        <w:t xml:space="preserve">—at least for a machine cycle. </w:t>
      </w:r>
      <w:r w:rsidRPr="00292257">
        <w:rPr>
          <w:rStyle w:val="Emphasis"/>
        </w:rPr>
        <w:t>Rather than thinking of ourselves as just subjects of those technologies</w:t>
      </w:r>
      <w:r w:rsidRPr="00292257">
        <w:rPr>
          <w:rStyle w:val="StyleUnderline"/>
        </w:rPr>
        <w:t>, think about how</w:t>
      </w:r>
      <w:r w:rsidRPr="00292257">
        <w:rPr>
          <w:sz w:val="16"/>
        </w:rPr>
        <w:t xml:space="preserve"> we are the drones, the explosives, the toxified, the operative parts of those technologies—and ideally, how </w:t>
      </w:r>
      <w:r w:rsidRPr="00292257">
        <w:rPr>
          <w:rStyle w:val="StyleUnderline"/>
        </w:rPr>
        <w:t>we might operate on</w:t>
      </w:r>
      <w:r w:rsidRPr="00292257">
        <w:rPr>
          <w:sz w:val="16"/>
        </w:rPr>
        <w:t xml:space="preserve"> ourselves and other </w:t>
      </w:r>
      <w:r w:rsidRPr="00292257">
        <w:rPr>
          <w:rStyle w:val="StyleUnderline"/>
        </w:rPr>
        <w:t xml:space="preserve">technologies and </w:t>
      </w:r>
      <w:r w:rsidRPr="00292257">
        <w:rPr>
          <w:rStyle w:val="Emphasis"/>
        </w:rPr>
        <w:t>turn these gears into decolonizing operations</w:t>
      </w:r>
      <w:r w:rsidRPr="00292257">
        <w:rPr>
          <w:rStyle w:val="StyleUnderline"/>
        </w:rPr>
        <w:t>.</w:t>
      </w:r>
      <w:r w:rsidRPr="00292257">
        <w:rPr>
          <w:sz w:val="16"/>
        </w:rPr>
        <w:t xml:space="preserve"> </w:t>
      </w:r>
      <w:r w:rsidRPr="00292257">
        <w:rPr>
          <w:sz w:val="16"/>
        </w:rPr>
        <w:t xml:space="preserve">If this sounds easy and obvious, then </w:t>
      </w:r>
      <w:r w:rsidRPr="00292257">
        <w:rPr>
          <w:sz w:val="16"/>
        </w:rPr>
        <w:lastRenderedPageBreak/>
        <w:t xml:space="preserve">my writing has failed you. Listen: you will need to remember this when you are accused of destruction. </w:t>
      </w:r>
      <w:r w:rsidRPr="00292257">
        <w:rPr>
          <w:rStyle w:val="StyleUnderline"/>
        </w:rPr>
        <w:t xml:space="preserve">Attach a pacemaker to the heart of those machines you hate; </w:t>
      </w:r>
      <w:r w:rsidRPr="00292257">
        <w:rPr>
          <w:rStyle w:val="Emphasis"/>
        </w:rPr>
        <w:t>make it pump for your decolonizing enterprise</w:t>
      </w:r>
      <w:r w:rsidRPr="00292257">
        <w:rPr>
          <w:rStyle w:val="StyleUnderline"/>
        </w:rPr>
        <w:t>; let it tick its own countdown.</w:t>
      </w:r>
      <w:r w:rsidRPr="00292257">
        <w:rPr>
          <w:sz w:val="16"/>
        </w:rPr>
        <w:t xml:space="preserve"> Ask how, and how otherwise, of the colonizing machines. </w:t>
      </w:r>
      <w:r w:rsidRPr="00292257">
        <w:rPr>
          <w:rStyle w:val="Emphasis"/>
        </w:rPr>
        <w:t>Even when they are dangerous.</w:t>
      </w:r>
    </w:p>
    <w:p w:rsidR="0069609A" w:rsidRPr="00292257" w:rsidRDefault="002B7D8E" w:rsidP="005027D7">
      <w:pPr>
        <w:pStyle w:val="Heading2"/>
      </w:pPr>
      <w:r w:rsidRPr="00292257">
        <w:lastRenderedPageBreak/>
        <w:t>Turn</w:t>
      </w:r>
    </w:p>
    <w:p w:rsidR="002B7D8E" w:rsidRPr="00292257" w:rsidRDefault="002B7D8E" w:rsidP="002B7D8E">
      <w:pPr>
        <w:pStyle w:val="Heading3"/>
      </w:pPr>
      <w:r w:rsidRPr="00292257">
        <w:lastRenderedPageBreak/>
        <w:t>Apocalyptic</w:t>
      </w:r>
    </w:p>
    <w:p w:rsidR="0069609A" w:rsidRPr="00292257" w:rsidRDefault="0069609A" w:rsidP="0069609A">
      <w:pPr>
        <w:pStyle w:val="Heading4"/>
        <w:rPr>
          <w:rFonts w:cs="Arial"/>
        </w:rPr>
      </w:pPr>
      <w:r w:rsidRPr="00292257">
        <w:rPr>
          <w:rFonts w:cs="Arial"/>
        </w:rPr>
        <w:t xml:space="preserve">Apocalyptic images challenges settler-colonialism by contesting the implausibility that inequitable structures can produce catastrophe </w:t>
      </w:r>
    </w:p>
    <w:p w:rsidR="0069609A" w:rsidRPr="00292257" w:rsidRDefault="0069609A" w:rsidP="0069609A">
      <w:r w:rsidRPr="00292257">
        <w:t xml:space="preserve">Jessica </w:t>
      </w:r>
      <w:r w:rsidRPr="00292257">
        <w:rPr>
          <w:rStyle w:val="Style13ptBold"/>
        </w:rPr>
        <w:t>Hurley 17</w:t>
      </w:r>
      <w:r w:rsidRPr="00292257">
        <w:t>, Assistant Professor in the Humanities at the University of Chicago, “Impossible Futures: Fictions of Risk in the Longue Durée”, Duke University Press, https://read.dukeupress.edu/american-literature/article/89/4/761/132823/Impossible-Futures-Fictions-of-Risk-in-the-Longue</w:t>
      </w:r>
    </w:p>
    <w:p w:rsidR="0069609A" w:rsidRPr="00292257" w:rsidRDefault="0069609A" w:rsidP="0069609A">
      <w:pPr>
        <w:rPr>
          <w:sz w:val="16"/>
        </w:rPr>
      </w:pPr>
      <w:r w:rsidRPr="00292257">
        <w:rPr>
          <w:sz w:val="16"/>
        </w:rPr>
        <w:t xml:space="preserve">If contemporary ecocriticism has a shared premise about environmental risk it is that genre is the key to both perceiving and, possibly, correcting ecological crisis. Frederick Buell’s 2003 From Apocalypse to Way of Life: Environmental Crisis in the American Century has established one of the most central oppositions of this paradigm. As his title suggests, Buell tells the story of a discourse that began in the apocalyptic mode in the 1960s and 70s, when discussions of “the immanent end of nature” most commonly took the form of “prophecy, revelation, climax, and extermination” before turning away from apocalypse when the prophesied ends failed to arrive (112, 78). </w:t>
      </w:r>
      <w:r w:rsidRPr="00292257">
        <w:rPr>
          <w:rStyle w:val="StyleUnderline"/>
        </w:rPr>
        <w:t xml:space="preserve">Buell offers his suggestion for the appropriate literary mode for life lived within a crisis that is both unceasing and inescapable: new voices, “if wise enough….will abandon apocalypse for a sadder realism that </w:t>
      </w:r>
      <w:r w:rsidRPr="00292257">
        <w:rPr>
          <w:sz w:val="16"/>
        </w:rPr>
        <w:t xml:space="preserve">looks closely at social and environmental changes in process and </w:t>
      </w:r>
      <w:r w:rsidRPr="00292257">
        <w:rPr>
          <w:rStyle w:val="StyleUnderline"/>
        </w:rPr>
        <w:t>recognizes crisis as a place where people dwell</w:t>
      </w:r>
      <w:r w:rsidRPr="00292257">
        <w:rPr>
          <w:sz w:val="16"/>
        </w:rPr>
        <w:t>” (202-3). In a world of threat, Buell demands a realism that might help us see risks more clearly and aid our survival.</w:t>
      </w:r>
      <w:r w:rsidRPr="00292257">
        <w:rPr>
          <w:sz w:val="12"/>
        </w:rPr>
        <w:t>¶</w:t>
      </w:r>
      <w:r w:rsidRPr="00292257">
        <w:rPr>
          <w:sz w:val="16"/>
        </w:rPr>
        <w:t xml:space="preserve"> Buell’s argument has become a broadly held view in contemporary risk theory and ecocriticism, overlapping fields in the social sciences and humanities that address the foundational question of second modernity: “how do you live when you are at such risk?” (Woodward 2009, 205).1 Such an assertion, however, assumes both that realism is a neutral descriptive practice and that apocalypse is not something that is happening now in places that we might not see, or cannot hear. </w:t>
      </w:r>
      <w:r w:rsidRPr="00292257">
        <w:rPr>
          <w:rStyle w:val="StyleUnderline"/>
        </w:rPr>
        <w:t>This essay argues for the continuing importance of apocalyptic narrative forms in representations of</w:t>
      </w:r>
      <w:r w:rsidRPr="00292257">
        <w:rPr>
          <w:sz w:val="16"/>
        </w:rPr>
        <w:t xml:space="preserve"> environmental </w:t>
      </w:r>
      <w:r w:rsidRPr="00292257">
        <w:rPr>
          <w:rStyle w:val="StyleUnderline"/>
        </w:rPr>
        <w:t>risk to disrupt conservative realisms that maintain the status quo</w:t>
      </w:r>
      <w:r w:rsidRPr="00292257">
        <w:rPr>
          <w:sz w:val="16"/>
        </w:rPr>
        <w:t xml:space="preserve">. Taking the ecological disaster of nuclear waste as my case study, I examine two fictional treatments of nuclear waste dumps that create different temporal structures within which the colonial history of the United States plays out. The first, a set of Department of Energy documents that use statistical modeling and fictional description to predict a set of realistic futures for the site of the Waste Isolation Pilot Plant in New Mexico (1991), creates a present that is fully knowable and a future that is fully predictable. Such an approach, I suggest, perpetuates the </w:t>
      </w:r>
      <w:r w:rsidRPr="00292257">
        <w:rPr>
          <w:rStyle w:val="StyleUnderline"/>
        </w:rPr>
        <w:t xml:space="preserve">state logics of </w:t>
      </w:r>
      <w:r w:rsidRPr="00292257">
        <w:rPr>
          <w:rStyle w:val="Emphasis"/>
        </w:rPr>
        <w:t xml:space="preserve">implausibility </w:t>
      </w:r>
      <w:r w:rsidRPr="00292257">
        <w:rPr>
          <w:sz w:val="16"/>
        </w:rPr>
        <w:t xml:space="preserve">that </w:t>
      </w:r>
      <w:r w:rsidRPr="00292257">
        <w:rPr>
          <w:rStyle w:val="StyleUnderline"/>
        </w:rPr>
        <w:t>have long undergirded settler colonialism in the United States</w:t>
      </w:r>
      <w:r w:rsidRPr="00292257">
        <w:rPr>
          <w:sz w:val="16"/>
        </w:rPr>
        <w:t xml:space="preserve">. In contrast, Leslie Marmon Silko’s contemporaneous novel Almanac of the Dead (1991) uses its </w:t>
      </w:r>
      <w:r w:rsidRPr="00292257">
        <w:rPr>
          <w:rStyle w:val="StyleUnderline"/>
        </w:rPr>
        <w:t>apocalyptic form</w:t>
      </w:r>
      <w:r w:rsidRPr="00292257">
        <w:rPr>
          <w:sz w:val="16"/>
        </w:rPr>
        <w:t xml:space="preserve"> to </w:t>
      </w:r>
      <w:r w:rsidRPr="00292257">
        <w:rPr>
          <w:rStyle w:val="StyleUnderline"/>
        </w:rPr>
        <w:t>deconstruct the claims to verisimilitude that undergird state realism, transforming nuclear waste into a prophecy of the end of the United States rather than a means for imagining its continuation.</w:t>
      </w:r>
      <w:r w:rsidRPr="00292257">
        <w:rPr>
          <w:sz w:val="16"/>
        </w:rPr>
        <w:t xml:space="preserve"> In Almanac of the Dead, the presence of nuclear waste introjects </w:t>
      </w:r>
      <w:r w:rsidRPr="00292257">
        <w:rPr>
          <w:rStyle w:val="StyleUnderline"/>
        </w:rPr>
        <w:t>a deep-time perspective into contemporary America</w:t>
      </w:r>
      <w:r w:rsidRPr="00292257">
        <w:rPr>
          <w:sz w:val="16"/>
        </w:rPr>
        <w:t xml:space="preserve">, </w:t>
      </w:r>
      <w:r w:rsidRPr="00292257">
        <w:rPr>
          <w:rStyle w:val="StyleUnderline"/>
        </w:rPr>
        <w:t>transform</w:t>
      </w:r>
      <w:r w:rsidRPr="00292257">
        <w:rPr>
          <w:sz w:val="16"/>
        </w:rPr>
        <w:t xml:space="preserve">ing </w:t>
      </w:r>
      <w:r w:rsidRPr="00292257">
        <w:rPr>
          <w:rStyle w:val="StyleUnderline"/>
        </w:rPr>
        <w:t>the</w:t>
      </w:r>
      <w:r w:rsidRPr="00292257">
        <w:rPr>
          <w:sz w:val="16"/>
        </w:rPr>
        <w:t xml:space="preserve"> </w:t>
      </w:r>
      <w:r w:rsidRPr="00292257">
        <w:rPr>
          <w:rStyle w:val="StyleUnderline"/>
        </w:rPr>
        <w:t xml:space="preserve">present into a </w:t>
      </w:r>
      <w:r w:rsidRPr="00292257">
        <w:rPr>
          <w:rStyle w:val="Emphasis"/>
        </w:rPr>
        <w:t>speculative space</w:t>
      </w:r>
      <w:r w:rsidRPr="00292257">
        <w:rPr>
          <w:rStyle w:val="StyleUnderline"/>
        </w:rPr>
        <w:t xml:space="preserve"> where</w:t>
      </w:r>
      <w:r w:rsidRPr="00292257">
        <w:rPr>
          <w:sz w:val="16"/>
        </w:rPr>
        <w:t xml:space="preserve"> environmental </w:t>
      </w:r>
      <w:r w:rsidRPr="00292257">
        <w:rPr>
          <w:rStyle w:val="StyleUnderline"/>
        </w:rPr>
        <w:t xml:space="preserve">catastrophe produces not only </w:t>
      </w:r>
      <w:r w:rsidRPr="00292257">
        <w:rPr>
          <w:rStyle w:val="Emphasis"/>
        </w:rPr>
        <w:t>unevenly distributed damage</w:t>
      </w:r>
      <w:r w:rsidRPr="00292257">
        <w:rPr>
          <w:sz w:val="16"/>
        </w:rPr>
        <w:t xml:space="preserve"> </w:t>
      </w:r>
      <w:r w:rsidRPr="00292257">
        <w:rPr>
          <w:rStyle w:val="StyleUnderline"/>
        </w:rPr>
        <w:t>but also revolutionary forms of social justice that insist on a truth that probability modeling cannot contain: that the future will be</w:t>
      </w:r>
      <w:r w:rsidRPr="00292257">
        <w:t xml:space="preserve"> </w:t>
      </w:r>
      <w:r w:rsidRPr="00292257">
        <w:rPr>
          <w:rStyle w:val="Emphasis"/>
        </w:rPr>
        <w:t>unimaginably different</w:t>
      </w:r>
      <w:r w:rsidRPr="00292257">
        <w:rPr>
          <w:rStyle w:val="StyleUnderline"/>
        </w:rPr>
        <w:t xml:space="preserve"> from the present, while the present, too, might yet be utterly different from the real that we think we know</w:t>
      </w:r>
      <w:r w:rsidRPr="00292257">
        <w:rPr>
          <w:sz w:val="16"/>
        </w:rPr>
        <w:t>.</w:t>
      </w:r>
      <w:r w:rsidRPr="00292257">
        <w:rPr>
          <w:sz w:val="12"/>
        </w:rPr>
        <w:t>¶</w:t>
      </w:r>
      <w:r w:rsidRPr="00292257">
        <w:rPr>
          <w:sz w:val="16"/>
        </w:rPr>
        <w:t xml:space="preserve"> Nuclear waste is rarely treated in ecocriticism or risk theory, for several reasons: it is too manmade to be ecological; its catastrophes are ongoing, intentionally produced situations rather than sudden disasters; and it does not support the narrative that subtends ecocritical accounts of risk perception in which the nuclear threat gives rise to an awareness of other kinds of threat before reaching the end of its relevance at the end of the Cold War.2 In what follows, I argue that the failure of nuclear waste to fit into the critical frames created by ecocriticism and risk theory to date offers an opportunity to expand those frames and overcome some of their limitations, especially the impulse towards a paranoid, totalizing realism that Peter van Wyck (2005) has described as central to ecocriticism in the risk society. Nuclear waste has durational forms that dwarf the human. It therefore dwells less in the economy of risk as it is currently conceptualized and more in the blown-out realm of deep time. Inhabiting the temporal scale that has recently been christened the Anthropocene, the geological era defined by the impact of human activities on the world’s geology and climate, nuclear waste unsettles any attempt at realist description, unveiling the limits of human imagination at every turn.3 By analyzing risk society through a heuristic of nuclear waste, this essay offers a critique of nuclear colonialism and environmental racism. At the same time, it shows how </w:t>
      </w:r>
      <w:r w:rsidRPr="00292257">
        <w:rPr>
          <w:rStyle w:val="StyleUnderline"/>
        </w:rPr>
        <w:t>the apocalyptic mode</w:t>
      </w:r>
      <w:r w:rsidRPr="00292257">
        <w:rPr>
          <w:sz w:val="16"/>
        </w:rPr>
        <w:t xml:space="preserve"> </w:t>
      </w:r>
      <w:r w:rsidRPr="00292257">
        <w:rPr>
          <w:rStyle w:val="StyleUnderline"/>
        </w:rPr>
        <w:t>in deep time</w:t>
      </w:r>
      <w:r w:rsidRPr="00292257">
        <w:rPr>
          <w:sz w:val="16"/>
        </w:rPr>
        <w:t xml:space="preserve"> </w:t>
      </w:r>
      <w:r w:rsidRPr="00292257">
        <w:rPr>
          <w:rStyle w:val="StyleUnderline"/>
        </w:rPr>
        <w:t>allows narratives of</w:t>
      </w:r>
      <w:r w:rsidRPr="00292257">
        <w:rPr>
          <w:sz w:val="16"/>
        </w:rPr>
        <w:t xml:space="preserve"> environmental </w:t>
      </w:r>
      <w:r w:rsidRPr="00292257">
        <w:rPr>
          <w:rStyle w:val="StyleUnderline"/>
        </w:rPr>
        <w:t>harm and danger to move beyond the paranoid logic of risk. In the world of deep time</w:t>
      </w:r>
      <w:r w:rsidRPr="00292257">
        <w:rPr>
          <w:sz w:val="16"/>
        </w:rPr>
        <w:t xml:space="preserve">, all that might come to pass will come to pass, sooner or later. </w:t>
      </w:r>
      <w:r w:rsidRPr="00292257">
        <w:rPr>
          <w:rStyle w:val="StyleUnderline"/>
        </w:rPr>
        <w:lastRenderedPageBreak/>
        <w:t>The endless maybes of risk become certainties. The impossibilities of our own deaths and the deaths of everything else will come.</w:t>
      </w:r>
      <w:r w:rsidRPr="00292257">
        <w:rPr>
          <w:sz w:val="16"/>
        </w:rPr>
        <w:t xml:space="preserve"> </w:t>
      </w:r>
      <w:r w:rsidRPr="00292257">
        <w:rPr>
          <w:rStyle w:val="StyleUnderline"/>
        </w:rPr>
        <w:t>But so too will other impossibilities</w:t>
      </w:r>
      <w:r w:rsidRPr="00292257">
        <w:rPr>
          <w:sz w:val="16"/>
        </w:rPr>
        <w:t xml:space="preserve">: talking macaws and alien visitors; </w:t>
      </w:r>
      <w:r w:rsidRPr="00292257">
        <w:rPr>
          <w:rStyle w:val="StyleUnderline"/>
        </w:rPr>
        <w:t xml:space="preserve">the end of the colonial occupation of North America, perhaps, or a </w:t>
      </w:r>
      <w:r w:rsidRPr="00292257">
        <w:rPr>
          <w:rStyle w:val="Emphasis"/>
        </w:rPr>
        <w:t>sudden human determination</w:t>
      </w:r>
      <w:r w:rsidRPr="00292257">
        <w:rPr>
          <w:rStyle w:val="StyleUnderline"/>
        </w:rPr>
        <w:t xml:space="preserve"> to let the world live</w:t>
      </w:r>
      <w:r w:rsidRPr="00292257">
        <w:rPr>
          <w:sz w:val="16"/>
        </w:rPr>
        <w:t>. The end of capitalism may yet become more thinkable than the end of the world. Just wait long enough. Stranger things will happen.</w:t>
      </w:r>
      <w:r w:rsidRPr="00292257">
        <w:rPr>
          <w:sz w:val="12"/>
        </w:rPr>
        <w:t xml:space="preserve">¶ </w:t>
      </w:r>
      <w:r w:rsidRPr="00292257">
        <w:rPr>
          <w:sz w:val="16"/>
        </w:rPr>
        <w:t>Realism and Risk in the Longue Durée</w:t>
      </w:r>
      <w:r w:rsidRPr="00292257">
        <w:rPr>
          <w:sz w:val="12"/>
        </w:rPr>
        <w:t>¶</w:t>
      </w:r>
      <w:r w:rsidRPr="00292257">
        <w:rPr>
          <w:sz w:val="16"/>
        </w:rPr>
        <w:t xml:space="preserve"> The nature of risk, as Ulrich Beck notes in his foundational Risk Society (1986, 72), is fundamentally anti-realist; in the risk society, “dangerous, hostile substances lie concealed behind the harmless façades. Everything must be viewed with a double gaze, and can only be correctly understood and judged through this doubling. The world of the visible must be investigated, relativized and evaluated with respect to a second reality, only existent in thought and yet concealed in the world.” The traumatic nature of living in a world of risk, exemplified in the canonical toxic-world novels White Noise (Don DeLillo, 1985) and Gain (Richard Powers, 1998), lies in the way that the real world is no longer accessible to perception.4 Risks become perceptible only when they are already no longer threats but events, a condition that makes risk itself appear in a fundamentally literary mode; as Susan Mizruchi (2010, 119) writes, “when improbable risks are actualized in catastrophe, the familiar becomes the uncanny.” What Mizruchi calls the uncanny, Laurence Buell (2001) describes as the gothic; in both cases, Beck’s description of a second, real-er world beneath the phenomenological one finds a strong descriptor and a place in literary history as critics connect risk fiction to more established genres that account for what we cannot perceive and cannot understand. No longer haunted by falling helmets or animate dolls, the risk novel tries instead to theorize the connections between tumors and the factory that closed down two generations ago, between what we know of bioaccumulation and what we feel when we look at a carrot.</w:t>
      </w:r>
      <w:r w:rsidRPr="00292257">
        <w:rPr>
          <w:sz w:val="12"/>
        </w:rPr>
        <w:t>¶</w:t>
      </w:r>
      <w:r w:rsidRPr="00292257">
        <w:rPr>
          <w:sz w:val="16"/>
        </w:rPr>
        <w:t xml:space="preserve"> </w:t>
      </w:r>
      <w:r w:rsidRPr="00292257">
        <w:rPr>
          <w:rStyle w:val="StyleUnderline"/>
        </w:rPr>
        <w:t>For many critics</w:t>
      </w:r>
      <w:r w:rsidRPr="00292257">
        <w:rPr>
          <w:sz w:val="16"/>
        </w:rPr>
        <w:t xml:space="preserve">, as for F. Buell, </w:t>
      </w:r>
      <w:r w:rsidRPr="00292257">
        <w:rPr>
          <w:rStyle w:val="StyleUnderline"/>
        </w:rPr>
        <w:t>the</w:t>
      </w:r>
      <w:r w:rsidRPr="00292257">
        <w:rPr>
          <w:sz w:val="16"/>
        </w:rPr>
        <w:t xml:space="preserve"> gothic </w:t>
      </w:r>
      <w:r w:rsidRPr="00292257">
        <w:rPr>
          <w:rStyle w:val="StyleUnderline"/>
        </w:rPr>
        <w:t>terror of a world of risk produces apocalypticism as a symptom and realism as a solution</w:t>
      </w:r>
      <w:r w:rsidRPr="00292257">
        <w:rPr>
          <w:sz w:val="16"/>
        </w:rPr>
        <w:t xml:space="preserve">. 5 Even when apocalypse is recognized as a potentially valuable tool for approaching risk, as in Ursula K. Heise’s insight that in a world of world-threatening danger “apocalyptic narrative….can appropriately be understood as a form of risk perception” (2008, 141), the potential benefit of apocalypse is as the most realistic genre for representing a scenario that is genuinely apocalyptic (as in the exponentially increasing flood of contemporary apocalypse novels depicting climate change, for example).6 As Peter van Wyck has argued, </w:t>
      </w:r>
      <w:r w:rsidRPr="00292257">
        <w:rPr>
          <w:rStyle w:val="StyleUnderline"/>
        </w:rPr>
        <w:t>however, the</w:t>
      </w:r>
      <w:r w:rsidRPr="00292257">
        <w:rPr>
          <w:sz w:val="16"/>
        </w:rPr>
        <w:t xml:space="preserve"> </w:t>
      </w:r>
      <w:r w:rsidRPr="00292257">
        <w:rPr>
          <w:rStyle w:val="StyleUnderline"/>
        </w:rPr>
        <w:t>realist commitment to describing the totality of the world’s relations produces its own set of epistemic anxieties</w:t>
      </w:r>
      <w:r w:rsidRPr="00292257">
        <w:rPr>
          <w:sz w:val="16"/>
        </w:rPr>
        <w:t xml:space="preserve"> in a world defined by risk: contemporary ecological </w:t>
      </w:r>
      <w:r w:rsidRPr="00292257">
        <w:rPr>
          <w:rStyle w:val="StyleUnderline"/>
        </w:rPr>
        <w:t>threats can come to make</w:t>
      </w:r>
      <w:r w:rsidRPr="00292257">
        <w:rPr>
          <w:sz w:val="16"/>
        </w:rPr>
        <w:t xml:space="preserve"> ecological </w:t>
      </w:r>
      <w:r w:rsidRPr="00292257">
        <w:rPr>
          <w:rStyle w:val="StyleUnderline"/>
        </w:rPr>
        <w:t>thought itself look like a particularly advanced form of cultural paranoia.</w:t>
      </w:r>
      <w:r w:rsidRPr="00292257">
        <w:rPr>
          <w:sz w:val="16"/>
        </w:rPr>
        <w:t xml:space="preserve"> I mean this in the sense that once we say that everything is connected in this fashion, we mean that everything is, if not already, then at least potentially integrated into a framework of understanding. And it isn’t. To make everything connected is to see the fissures and cracks rendered by ecological threats—whether the threats posed by wastes or the threats retroactively discovered through accidents— as a kind of recompense for a failure to have properly understood the connections. The real punishing the epistemic for its sins of omission. (ix) </w:t>
      </w:r>
      <w:r w:rsidRPr="00292257">
        <w:rPr>
          <w:rStyle w:val="StyleUnderline"/>
        </w:rPr>
        <w:t>Realism</w:t>
      </w:r>
      <w:r w:rsidRPr="00292257">
        <w:rPr>
          <w:sz w:val="16"/>
        </w:rPr>
        <w:t xml:space="preserve">, in van Wyck’s account, </w:t>
      </w:r>
      <w:r w:rsidRPr="00292257">
        <w:rPr>
          <w:rStyle w:val="StyleUnderline"/>
        </w:rPr>
        <w:t>becomes visible as itself a symptom of the paranoid mindset that the risk society tends to produce, a mindset that insists,</w:t>
      </w:r>
      <w:r w:rsidRPr="00292257">
        <w:rPr>
          <w:sz w:val="16"/>
        </w:rPr>
        <w:t xml:space="preserve"> as Eve Sedgwick writes concurrently with van Wyck, </w:t>
      </w:r>
      <w:r w:rsidRPr="00292257">
        <w:rPr>
          <w:rStyle w:val="StyleUnderline"/>
        </w:rPr>
        <w:t>that “there must be no bad surprises”</w:t>
      </w:r>
      <w:r w:rsidRPr="00292257">
        <w:rPr>
          <w:sz w:val="16"/>
        </w:rPr>
        <w:t xml:space="preserve"> (2003, 130). In such a mode, </w:t>
      </w:r>
      <w:r w:rsidRPr="00292257">
        <w:rPr>
          <w:rStyle w:val="StyleUnderline"/>
        </w:rPr>
        <w:t>comfort comes not from ameliorating the danger that produced the original discomfort, but rather from constructing a model of the world that can give an illusion of totality</w:t>
      </w:r>
      <w:r w:rsidRPr="00292257">
        <w:rPr>
          <w:sz w:val="16"/>
        </w:rPr>
        <w:t xml:space="preserve"> (ibid. 133-6). </w:t>
      </w:r>
      <w:r w:rsidRPr="00292257">
        <w:rPr>
          <w:rStyle w:val="StyleUnderline"/>
        </w:rPr>
        <w:t xml:space="preserve">A realist approach to representing risk thus has </w:t>
      </w:r>
      <w:r w:rsidRPr="00292257">
        <w:rPr>
          <w:rStyle w:val="Emphasis"/>
        </w:rPr>
        <w:t>real-world consequences</w:t>
      </w:r>
      <w:r w:rsidRPr="00292257">
        <w:rPr>
          <w:rStyle w:val="StyleUnderline"/>
        </w:rPr>
        <w:t xml:space="preserve"> in second modernity, “blotting out any sense of the possibility of alternative ways of understanding or things to understand”</w:t>
      </w:r>
      <w:r w:rsidRPr="00292257">
        <w:rPr>
          <w:sz w:val="16"/>
        </w:rPr>
        <w:t xml:space="preserve"> (131). Such consequences can be seen nowhere more clearly than in the government experiment with realism that goes by the unglamorous name of the Waste Isolation Pilot Plant (WIPP), where the realism is that of the settler colonial state and the alternative ways of understanding are those of the Native nations who are most vulnerable to the site’s dangers.7</w:t>
      </w:r>
    </w:p>
    <w:p w:rsidR="00962A87" w:rsidRPr="00292257" w:rsidRDefault="00962A87" w:rsidP="00962A87">
      <w:pPr>
        <w:pStyle w:val="Heading3"/>
      </w:pPr>
      <w:r w:rsidRPr="00292257">
        <w:lastRenderedPageBreak/>
        <w:t>Fatalism</w:t>
      </w:r>
    </w:p>
    <w:p w:rsidR="00962A87" w:rsidRPr="00292257" w:rsidRDefault="00962A87" w:rsidP="00962A87">
      <w:pPr>
        <w:pStyle w:val="Heading4"/>
      </w:pPr>
      <w:r w:rsidRPr="00292257">
        <w:t xml:space="preserve">Settler colonialism’s structural account shuts down ways to imagine </w:t>
      </w:r>
      <w:r w:rsidR="00AF4E71" w:rsidRPr="00292257">
        <w:t xml:space="preserve">liberatory futures - </w:t>
      </w:r>
      <w:r w:rsidRPr="00292257">
        <w:t>Their pessimistic ontology’s Manichean binary precludes any alternative than total destruction.</w:t>
      </w:r>
    </w:p>
    <w:p w:rsidR="00962A87" w:rsidRPr="00292257" w:rsidRDefault="00962A87" w:rsidP="00962A87">
      <w:r w:rsidRPr="00292257">
        <w:t xml:space="preserve">Rachel </w:t>
      </w:r>
      <w:r w:rsidRPr="00292257">
        <w:rPr>
          <w:rStyle w:val="Style13ptBold"/>
        </w:rPr>
        <w:t>BUSBRIDGE</w:t>
      </w:r>
      <w:r w:rsidRPr="00292257">
        <w:t xml:space="preserve">, Alexander von Humboldt Postdoctoral Fellow in Institut für Islamwissenschaft (Institute of Islamic Studies), Freie Universität Berlin, </w:t>
      </w:r>
      <w:r w:rsidRPr="00292257">
        <w:rPr>
          <w:rStyle w:val="Style13ptBold"/>
        </w:rPr>
        <w:t>17</w:t>
      </w:r>
      <w:r w:rsidRPr="00292257">
        <w:t xml:space="preserve"> [“Israel-Palestine and the Settler Colonial ‘Turn’: From Interpretation to Decolonization,” </w:t>
      </w:r>
      <w:r w:rsidRPr="00292257">
        <w:rPr>
          <w:i/>
        </w:rPr>
        <w:t>Theory, Culture &amp; Society</w:t>
      </w:r>
      <w:r w:rsidRPr="00292257">
        <w:t>, First Published: January 23, 2017, p. 1-25, Accessed Online through Emory Libraries]</w:t>
      </w:r>
    </w:p>
    <w:p w:rsidR="00962A87" w:rsidRPr="00292257" w:rsidRDefault="00962A87" w:rsidP="00962A87">
      <w:pPr>
        <w:rPr>
          <w:sz w:val="16"/>
        </w:rPr>
      </w:pPr>
      <w:r w:rsidRPr="00292257">
        <w:rPr>
          <w:rStyle w:val="StyleUnderline"/>
        </w:rPr>
        <w:t>The prescription for decolonization</w:t>
      </w:r>
      <w:r w:rsidRPr="00292257">
        <w:rPr>
          <w:sz w:val="16"/>
        </w:rPr>
        <w:t xml:space="preserve"> – that is, </w:t>
      </w:r>
      <w:r w:rsidRPr="00292257">
        <w:rPr>
          <w:rStyle w:val="StyleUnderline"/>
        </w:rPr>
        <w:t>a normative project committed to the liberation of the colonized and the overturning of colonial relationships of power</w:t>
      </w:r>
      <w:r w:rsidRPr="00292257">
        <w:rPr>
          <w:sz w:val="16"/>
        </w:rPr>
        <w:t xml:space="preserve"> (Kohn and McBride, 2011: 3) – </w:t>
      </w:r>
      <w:r w:rsidRPr="00292257">
        <w:rPr>
          <w:rStyle w:val="StyleUnderline"/>
        </w:rPr>
        <w:t>is</w:t>
      </w:r>
      <w:r w:rsidRPr="00292257">
        <w:rPr>
          <w:sz w:val="16"/>
        </w:rPr>
        <w:t xml:space="preserve"> indeed </w:t>
      </w:r>
      <w:r w:rsidRPr="00292257">
        <w:rPr>
          <w:rStyle w:val="StyleUnderline"/>
        </w:rPr>
        <w:t>one of the most counter-hegemonic implications of the settler colonial paradigm</w:t>
      </w:r>
      <w:r w:rsidRPr="00292257">
        <w:rPr>
          <w:sz w:val="16"/>
        </w:rPr>
        <w:t xml:space="preserve"> as applied to Israel-Palestine, potentially shifting it from a diagnostic frame to a prognostic one which offers a ‘proposed solution to the problem, or at least a plan of attack’ (Benford and Snow, 2000: 616). </w:t>
      </w:r>
      <w:r w:rsidRPr="00292257">
        <w:rPr>
          <w:rStyle w:val="StyleUnderline"/>
        </w:rPr>
        <w:t>What, however, does the settler colonial paradigm offer by way of envisioning decolonization?</w:t>
      </w:r>
      <w:r w:rsidRPr="00292257">
        <w:rPr>
          <w:sz w:val="16"/>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292257">
        <w:rPr>
          <w:rStyle w:val="StyleUnderline"/>
        </w:rPr>
        <w:t>there is</w:t>
      </w:r>
      <w:r w:rsidRPr="00292257">
        <w:rPr>
          <w:sz w:val="16"/>
        </w:rPr>
        <w:t xml:space="preserve"> nevertheless </w:t>
      </w:r>
      <w:r w:rsidRPr="00292257">
        <w:rPr>
          <w:rStyle w:val="StyleUnderline"/>
        </w:rPr>
        <w:t>a ‘narrative deficit’ when it comes to imagining settler decolonization</w:t>
      </w:r>
      <w:r w:rsidRPr="00292257">
        <w:rPr>
          <w:sz w:val="16"/>
        </w:rPr>
        <w:t xml:space="preserve">. While Veracini (2007) relates this deficit to a matter of conceptualization, </w:t>
      </w:r>
      <w:r w:rsidRPr="00292257">
        <w:rPr>
          <w:rStyle w:val="StyleUnderline"/>
        </w:rPr>
        <w:t xml:space="preserve">it is apparent that the structural perspective of the paradigm in many ways </w:t>
      </w:r>
      <w:r w:rsidRPr="00292257">
        <w:rPr>
          <w:rStyle w:val="Emphasis"/>
        </w:rPr>
        <w:t>closes down</w:t>
      </w:r>
      <w:r w:rsidRPr="00292257">
        <w:rPr>
          <w:rStyle w:val="StyleUnderline"/>
        </w:rPr>
        <w:t xml:space="preserve"> possibilities of imagining the type of social and political transformation to which the notion of decolonization aspires</w:t>
      </w:r>
      <w:r w:rsidRPr="00292257">
        <w:rPr>
          <w:sz w:val="16"/>
        </w:rPr>
        <w:t xml:space="preserve">. In this regard, </w:t>
      </w:r>
      <w:r w:rsidRPr="00292257">
        <w:rPr>
          <w:rStyle w:val="StyleUnderline"/>
        </w:rPr>
        <w:t xml:space="preserve">there is a worrying tendency (if not </w:t>
      </w:r>
      <w:r w:rsidRPr="00292257">
        <w:rPr>
          <w:rStyle w:val="Emphasis"/>
        </w:rPr>
        <w:t>tautological discrepancy</w:t>
      </w:r>
      <w:r w:rsidRPr="00292257">
        <w:rPr>
          <w:rStyle w:val="StyleUnderline"/>
        </w:rPr>
        <w:t>) in settler colonial studies, where the only solution to settler colonialism is decolonization – which a faithful adherence to the paradigm renders</w:t>
      </w:r>
      <w:r w:rsidRPr="00292257">
        <w:rPr>
          <w:sz w:val="16"/>
        </w:rPr>
        <w:t xml:space="preserve"> largely unachievable, if not </w:t>
      </w:r>
      <w:r w:rsidRPr="00292257">
        <w:rPr>
          <w:rStyle w:val="Emphasis"/>
        </w:rPr>
        <w:t>impossible</w:t>
      </w:r>
      <w:r w:rsidRPr="00292257">
        <w:rPr>
          <w:sz w:val="16"/>
        </w:rPr>
        <w:t>.</w:t>
      </w:r>
    </w:p>
    <w:p w:rsidR="00962A87" w:rsidRPr="00292257" w:rsidRDefault="00962A87" w:rsidP="00962A87">
      <w:pPr>
        <w:rPr>
          <w:sz w:val="16"/>
        </w:rPr>
      </w:pPr>
      <w:r w:rsidRPr="00292257">
        <w:rPr>
          <w:sz w:val="16"/>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w:t>
      </w:r>
      <w:r w:rsidRPr="00292257">
        <w:rPr>
          <w:rStyle w:val="StyleUnderline"/>
        </w:rPr>
        <w:t>The structuralism of this account has immense power as a means of mapping forms of injustice</w:t>
      </w:r>
      <w:r w:rsidRPr="00292257">
        <w:rPr>
          <w:sz w:val="16"/>
        </w:rPr>
        <w:t xml:space="preserve"> and indignity </w:t>
      </w:r>
      <w:r w:rsidRPr="00292257">
        <w:rPr>
          <w:rStyle w:val="StyleUnderline"/>
        </w:rPr>
        <w:t>as well as strategies of</w:t>
      </w:r>
      <w:r w:rsidRPr="00292257">
        <w:rPr>
          <w:sz w:val="16"/>
        </w:rPr>
        <w:t xml:space="preserve"> resistance and </w:t>
      </w:r>
      <w:r w:rsidRPr="00292257">
        <w:rPr>
          <w:rStyle w:val="StyleUnderline"/>
        </w:rPr>
        <w:t>refusal</w:t>
      </w:r>
      <w:r w:rsidRPr="00292257">
        <w:rPr>
          <w:sz w:val="16"/>
        </w:rPr>
        <w:t xml:space="preserve">, and Wolfe is careful to show how transmutations of the logic of elimination are complex, variable, discontinuous and uneven. </w:t>
      </w:r>
      <w:r w:rsidRPr="00292257">
        <w:rPr>
          <w:rStyle w:val="StyleUnderline"/>
        </w:rPr>
        <w:t xml:space="preserve">Yet, in seeking to elucidate the logic of elimination as the overarching historical force guiding settler-native relations there is an </w:t>
      </w:r>
      <w:r w:rsidRPr="00292257">
        <w:rPr>
          <w:rStyle w:val="Emphasis"/>
        </w:rPr>
        <w:t>operational weakness</w:t>
      </w:r>
      <w:r w:rsidRPr="00292257">
        <w:rPr>
          <w:rStyle w:val="StyleUnderline"/>
        </w:rPr>
        <w:t xml:space="preserve"> in the theory, whereby such a logic is simply there, omnipresent and manifest even when</w:t>
      </w:r>
      <w:r w:rsidRPr="00292257">
        <w:rPr>
          <w:sz w:val="16"/>
        </w:rPr>
        <w:t xml:space="preserve"> (and perhaps especially when) </w:t>
      </w:r>
      <w:r w:rsidRPr="00292257">
        <w:rPr>
          <w:rStyle w:val="StyleUnderline"/>
        </w:rPr>
        <w:t xml:space="preserve">it appears not to be; the settler colonial studies scholar </w:t>
      </w:r>
      <w:r w:rsidRPr="00292257">
        <w:rPr>
          <w:rStyle w:val="Emphasis"/>
        </w:rPr>
        <w:t>need only read it into</w:t>
      </w:r>
      <w:r w:rsidRPr="00292257">
        <w:rPr>
          <w:rStyle w:val="StyleUnderline"/>
        </w:rPr>
        <w:t xml:space="preserve"> a situation or context. It</w:t>
      </w:r>
      <w:r w:rsidRPr="00292257">
        <w:rPr>
          <w:sz w:val="16"/>
        </w:rPr>
        <w:t xml:space="preserve"> thus </w:t>
      </w:r>
      <w:r w:rsidRPr="00292257">
        <w:rPr>
          <w:rStyle w:val="StyleUnderline"/>
        </w:rPr>
        <w:t xml:space="preserve">hurtles from the past to the present into the future, </w:t>
      </w:r>
      <w:r w:rsidRPr="00292257">
        <w:rPr>
          <w:rStyle w:val="Emphasis"/>
        </w:rPr>
        <w:t>never to be fully extinguished</w:t>
      </w:r>
      <w:r w:rsidRPr="00292257">
        <w:rPr>
          <w:rStyle w:val="StyleUnderline"/>
        </w:rPr>
        <w:t xml:space="preserve"> until the native is, or until history itself ends. There is</w:t>
      </w:r>
      <w:r w:rsidRPr="00292257">
        <w:rPr>
          <w:sz w:val="16"/>
        </w:rPr>
        <w:t xml:space="preserve"> thus </w:t>
      </w:r>
      <w:r w:rsidRPr="00292257">
        <w:rPr>
          <w:rStyle w:val="StyleUnderline"/>
        </w:rPr>
        <w:t>a powerful ontological</w:t>
      </w:r>
      <w:r w:rsidRPr="00292257">
        <w:rPr>
          <w:sz w:val="16"/>
        </w:rPr>
        <w:t xml:space="preserve"> (if not metaphysical) </w:t>
      </w:r>
      <w:r w:rsidRPr="00292257">
        <w:rPr>
          <w:rStyle w:val="StyleUnderline"/>
        </w:rPr>
        <w:t>dimension</w:t>
      </w:r>
      <w:r w:rsidRPr="00292257">
        <w:rPr>
          <w:sz w:val="16"/>
        </w:rPr>
        <w:t xml:space="preserve"> to Wolfe’s account, </w:t>
      </w:r>
      <w:r w:rsidRPr="00292257">
        <w:rPr>
          <w:rStyle w:val="StyleUnderline"/>
        </w:rPr>
        <w:t xml:space="preserve">where there is such thing as a ‘settler will’ that inherently desires the elimination of the native and the distinction between the settler and the native can only ever be </w:t>
      </w:r>
      <w:r w:rsidRPr="00292257">
        <w:rPr>
          <w:rStyle w:val="Emphasis"/>
        </w:rPr>
        <w:t>categorical</w:t>
      </w:r>
      <w:r w:rsidRPr="00292257">
        <w:rPr>
          <w:sz w:val="16"/>
        </w:rPr>
        <w:t xml:space="preserve">,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t>
      </w:r>
      <w:r w:rsidRPr="00292257">
        <w:rPr>
          <w:rStyle w:val="StyleUnderline"/>
        </w:rPr>
        <w:t>Wolfe’s account brings its own ontology</w:t>
      </w:r>
      <w:r w:rsidRPr="00292257">
        <w:rPr>
          <w:sz w:val="16"/>
        </w:rPr>
        <w:t xml:space="preserve">: the bourgeoisie/proletariat distinction becomes </w:t>
      </w:r>
      <w:r w:rsidRPr="00292257">
        <w:rPr>
          <w:rStyle w:val="StyleUnderline"/>
        </w:rPr>
        <w:t>that of settler/native</w:t>
      </w:r>
      <w:r w:rsidRPr="00292257">
        <w:rPr>
          <w:sz w:val="16"/>
        </w:rPr>
        <w:t xml:space="preserve">, and the class struggle </w:t>
      </w:r>
      <w:r w:rsidRPr="00292257">
        <w:rPr>
          <w:rStyle w:val="StyleUnderline"/>
        </w:rPr>
        <w:t>the struggle between settler, who seeks to destroy and replace the native, and native, who can only ever push back</w:t>
      </w:r>
      <w:r w:rsidRPr="00292257">
        <w:rPr>
          <w:sz w:val="16"/>
        </w:rPr>
        <w:t xml:space="preserve">. Indeed, </w:t>
      </w:r>
      <w:r w:rsidRPr="00292257">
        <w:rPr>
          <w:rStyle w:val="StyleUnderline"/>
        </w:rPr>
        <w:t xml:space="preserve">if the settler colonial paradigm views history in similar teleological terms to the </w:t>
      </w:r>
      <w:r w:rsidRPr="00292257">
        <w:rPr>
          <w:rStyle w:val="StyleUnderline"/>
        </w:rPr>
        <w:lastRenderedPageBreak/>
        <w:t>Marxist framework, it does not offer the same hopeful vision of a liberated future. After all, settler colonialism has only one story to tell – ‘either total victory or total failure’</w:t>
      </w:r>
      <w:r w:rsidRPr="00292257">
        <w:rPr>
          <w:sz w:val="16"/>
        </w:rPr>
        <w:t xml:space="preserve"> (Veracini, 2007).</w:t>
      </w:r>
    </w:p>
    <w:p w:rsidR="00962A87" w:rsidRPr="00292257" w:rsidRDefault="00962A87" w:rsidP="00962A87">
      <w:pPr>
        <w:rPr>
          <w:sz w:val="16"/>
        </w:rPr>
      </w:pPr>
      <w:r w:rsidRPr="00292257">
        <w:rPr>
          <w:rStyle w:val="StyleUnderline"/>
        </w:rPr>
        <w:t>Veracini’s attempt to disaggregate different forms of settler decolonization is revealing of the difficulties that come along with this zero-sum perspective</w:t>
      </w:r>
      <w:r w:rsidRPr="00292257">
        <w:rPr>
          <w:sz w:val="16"/>
        </w:rPr>
        <w:t xml:space="preserve">. It is significant to note that </w:t>
      </w:r>
      <w:r w:rsidRPr="00292257">
        <w:rPr>
          <w:rStyle w:val="StyleUnderline"/>
        </w:rPr>
        <w:t>beyond settler evacuation (which may decolonize territory</w:t>
      </w:r>
      <w:r w:rsidRPr="00292257">
        <w:rPr>
          <w:sz w:val="16"/>
        </w:rPr>
        <w:t xml:space="preserve">, he cautions, </w:t>
      </w:r>
      <w:r w:rsidRPr="00292257">
        <w:rPr>
          <w:rStyle w:val="StyleUnderline"/>
        </w:rPr>
        <w:t>but not</w:t>
      </w:r>
      <w:r w:rsidRPr="00292257">
        <w:rPr>
          <w:sz w:val="16"/>
        </w:rPr>
        <w:t xml:space="preserve"> necessarily </w:t>
      </w:r>
      <w:r w:rsidRPr="00292257">
        <w:rPr>
          <w:rStyle w:val="StyleUnderline"/>
        </w:rPr>
        <w:t>relationships) the picture</w:t>
      </w:r>
      <w:r w:rsidRPr="00292257">
        <w:rPr>
          <w:sz w:val="16"/>
        </w:rPr>
        <w:t xml:space="preserve"> he paints </w:t>
      </w:r>
      <w:r w:rsidRPr="00292257">
        <w:rPr>
          <w:rStyle w:val="StyleUnderline"/>
        </w:rPr>
        <w:t>is</w:t>
      </w:r>
      <w:r w:rsidRPr="00292257">
        <w:rPr>
          <w:sz w:val="16"/>
        </w:rPr>
        <w:t xml:space="preserve"> a relatively </w:t>
      </w:r>
      <w:r w:rsidRPr="00292257">
        <w:rPr>
          <w:rStyle w:val="StyleUnderline"/>
        </w:rPr>
        <w:t>bleak</w:t>
      </w:r>
      <w:r w:rsidRPr="00292257">
        <w:rPr>
          <w:sz w:val="16"/>
        </w:rPr>
        <w:t xml:space="preserve"> one. </w:t>
      </w:r>
      <w:r w:rsidRPr="00292257">
        <w:rPr>
          <w:rStyle w:val="StyleUnderline"/>
        </w:rPr>
        <w:t>For Veracini</w:t>
      </w:r>
      <w:r w:rsidRPr="00292257">
        <w:rPr>
          <w:sz w:val="16"/>
        </w:rPr>
        <w:t xml:space="preserve"> (2011: 5), </w:t>
      </w:r>
      <w:r w:rsidRPr="00292257">
        <w:rPr>
          <w:rStyle w:val="StyleUnderline"/>
        </w:rPr>
        <w:t>claims for decolonization from indigenous peoples in settler societies can take two broad forms: an ‘anti-colonial rhetoric expressing a demand for indigenous sovereign independence and self-determination</w:t>
      </w:r>
      <w:r w:rsidRPr="00292257">
        <w:rPr>
          <w:sz w:val="16"/>
        </w:rPr>
        <w:t> … </w:t>
      </w:r>
      <w:r w:rsidRPr="00292257">
        <w:rPr>
          <w:rStyle w:val="StyleUnderline"/>
        </w:rPr>
        <w:t>and an “ultra”-colonial one that seeks a reconstituted partnership with the [settler state] and advocates a return to a relatively more respectful middle ground and “treaty” conditions’</w:t>
      </w:r>
      <w:r w:rsidRPr="00292257">
        <w:rPr>
          <w:sz w:val="16"/>
        </w:rPr>
        <w:t xml:space="preserve">. While both, he suggests, are tempting strategies in the struggle for change, though ‘ultimately ineffective against settler colonial structures of domination’ (2011: 5), it is the latter strategy that invites Veracini’s most scathing assessment. As </w:t>
      </w:r>
      <w:r w:rsidRPr="00292257">
        <w:rPr>
          <w:rStyle w:val="StyleUnderline"/>
        </w:rPr>
        <w:t>he writes</w:t>
      </w:r>
      <w:r w:rsidRPr="00292257">
        <w:rPr>
          <w:sz w:val="16"/>
        </w:rPr>
        <w:t>,</w:t>
      </w:r>
    </w:p>
    <w:p w:rsidR="00962A87" w:rsidRPr="00292257" w:rsidRDefault="00962A87" w:rsidP="00962A87">
      <w:pPr>
        <w:ind w:left="720"/>
        <w:rPr>
          <w:sz w:val="16"/>
        </w:rPr>
      </w:pPr>
      <w:r w:rsidRPr="00292257">
        <w:rPr>
          <w:rStyle w:val="StyleUnderline"/>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w:t>
      </w:r>
      <w:r w:rsidRPr="00292257">
        <w:rPr>
          <w:rStyle w:val="Emphasis"/>
        </w:rPr>
        <w:t>This decolonisation actually enhances the subjection of indigenous peoples</w:t>
      </w:r>
      <w:r w:rsidRPr="00292257">
        <w:rPr>
          <w:sz w:val="16"/>
        </w:rPr>
        <w:t> … </w:t>
      </w:r>
      <w:r w:rsidRPr="00292257">
        <w:rPr>
          <w:rStyle w:val="StyleUnderline"/>
        </w:rPr>
        <w:t>it is at best irrelevant and at worst detrimental to indigenous peoples</w:t>
      </w:r>
      <w:r w:rsidRPr="00292257">
        <w:rPr>
          <w:sz w:val="16"/>
        </w:rPr>
        <w:t xml:space="preserve"> in settler societies. (2011: 6–7)</w:t>
      </w:r>
    </w:p>
    <w:p w:rsidR="00962A87" w:rsidRPr="00292257" w:rsidRDefault="00AF4E71" w:rsidP="00AF4E71">
      <w:pPr>
        <w:pStyle w:val="Heading3"/>
      </w:pPr>
      <w:r w:rsidRPr="00292257">
        <w:lastRenderedPageBreak/>
        <w:t>Alliances</w:t>
      </w:r>
    </w:p>
    <w:p w:rsidR="00AF4E71" w:rsidRPr="00292257" w:rsidRDefault="00AF4E71" w:rsidP="00AF4E71">
      <w:pPr>
        <w:pStyle w:val="Heading4"/>
      </w:pPr>
      <w:r w:rsidRPr="00292257">
        <w:t>Political alliances with the state are key to effective anti-colonial protest</w:t>
      </w:r>
    </w:p>
    <w:p w:rsidR="00AF4E71" w:rsidRPr="00292257" w:rsidRDefault="00AF4E71" w:rsidP="00AF4E71">
      <w:r w:rsidRPr="00292257">
        <w:t xml:space="preserve">Julian Brave </w:t>
      </w:r>
      <w:r w:rsidRPr="00292257">
        <w:rPr>
          <w:rStyle w:val="Style13ptBold"/>
        </w:rPr>
        <w:t>NOISECAT</w:t>
      </w:r>
      <w:r w:rsidRPr="00292257">
        <w:t xml:space="preserve">, enrolled member of the Canim Lake Band Tsq'escen in British Columbia and a graduate of Columbia University and the University of Oxford, </w:t>
      </w:r>
      <w:r w:rsidRPr="00292257">
        <w:rPr>
          <w:rStyle w:val="Style13ptBold"/>
        </w:rPr>
        <w:t>16</w:t>
      </w:r>
      <w:r w:rsidRPr="00292257">
        <w:t xml:space="preserve"> [“The Indigenous Revolution,” </w:t>
      </w:r>
      <w:r w:rsidRPr="00292257">
        <w:rPr>
          <w:i/>
        </w:rPr>
        <w:t>Jacobin</w:t>
      </w:r>
      <w:r w:rsidRPr="00292257">
        <w:t>, November 24, 2016, https://www.jacobinmag.com/2016/11/standing-rock-dakota-access-pipeline-obama/]</w:t>
      </w:r>
    </w:p>
    <w:p w:rsidR="00AF4E71" w:rsidRPr="00292257" w:rsidRDefault="00AF4E71" w:rsidP="00AF4E71">
      <w:pPr>
        <w:rPr>
          <w:sz w:val="16"/>
        </w:rPr>
      </w:pPr>
      <w:r w:rsidRPr="00292257">
        <w:rPr>
          <w:rStyle w:val="StyleUnderline"/>
        </w:rPr>
        <w:t>As Standing Rock has shown, indigenous nations that use their unique standing to advocate for viable alternatives</w:t>
      </w:r>
      <w:r w:rsidRPr="00292257">
        <w:rPr>
          <w:sz w:val="16"/>
        </w:rPr>
        <w:t xml:space="preserve"> to unjust systems </w:t>
      </w:r>
      <w:r w:rsidRPr="00292257">
        <w:rPr>
          <w:rStyle w:val="StyleUnderline"/>
        </w:rPr>
        <w:t>will gain supporters</w:t>
      </w:r>
      <w:r w:rsidRPr="00292257">
        <w:rPr>
          <w:sz w:val="16"/>
        </w:rPr>
        <w:t xml:space="preserve">. Our traditional territories encompass the rivers, mountains, and forests that capital exploits with abandon. </w:t>
      </w:r>
      <w:r w:rsidRPr="00292257">
        <w:rPr>
          <w:rStyle w:val="StyleUnderline"/>
        </w:rPr>
        <w:t>Our resistance — to the pipelines</w:t>
      </w:r>
      <w:r w:rsidRPr="00292257">
        <w:rPr>
          <w:sz w:val="16"/>
        </w:rPr>
        <w:t xml:space="preserve">, bulldozers, </w:t>
      </w:r>
      <w:r w:rsidRPr="00292257">
        <w:rPr>
          <w:rStyle w:val="StyleUnderline"/>
        </w:rPr>
        <w:t>and mines that cut through our lands</w:t>
      </w:r>
      <w:r w:rsidRPr="00292257">
        <w:rPr>
          <w:sz w:val="16"/>
        </w:rPr>
        <w:t xml:space="preserve"> and communities — </w:t>
      </w:r>
      <w:r w:rsidRPr="00292257">
        <w:rPr>
          <w:rStyle w:val="StyleUnderline"/>
        </w:rPr>
        <w:t>has greater potential than yet realized</w:t>
      </w:r>
      <w:r w:rsidRPr="00292257">
        <w:rPr>
          <w:sz w:val="16"/>
        </w:rPr>
        <w:t xml:space="preserve">. Ours is a powerful voice envisioning a more harmonious and sustainable relationship with the natural world rooted in the resurgence of indigenous sovereignty. </w:t>
      </w:r>
      <w:r w:rsidRPr="00292257">
        <w:rPr>
          <w:rStyle w:val="StyleUnderline"/>
        </w:rPr>
        <w:t>As long as indigenous people</w:t>
      </w:r>
      <w:r w:rsidRPr="00292257">
        <w:rPr>
          <w:sz w:val="16"/>
        </w:rPr>
        <w:t xml:space="preserve"> continue to </w:t>
      </w:r>
      <w:r w:rsidRPr="00292257">
        <w:rPr>
          <w:rStyle w:val="StyleUnderline"/>
        </w:rPr>
        <w:t xml:space="preserve">make this argument, we are </w:t>
      </w:r>
      <w:r w:rsidRPr="00292257">
        <w:rPr>
          <w:rStyle w:val="Emphasis"/>
        </w:rPr>
        <w:t>positioned to win policies</w:t>
      </w:r>
      <w:r w:rsidRPr="00292257">
        <w:rPr>
          <w:rStyle w:val="StyleUnderline"/>
        </w:rPr>
        <w:t>, court decisions, and international agreements that protect and enlarge our sovereignty</w:t>
      </w:r>
      <w:r w:rsidRPr="00292257">
        <w:rPr>
          <w:sz w:val="16"/>
        </w:rPr>
        <w:t xml:space="preserve"> and jurisdiction. </w:t>
      </w:r>
      <w:r w:rsidRPr="00292257">
        <w:rPr>
          <w:rStyle w:val="StyleUnderline"/>
        </w:rPr>
        <w:t>As our jurisdiction</w:t>
      </w:r>
      <w:r w:rsidRPr="00292257">
        <w:rPr>
          <w:sz w:val="16"/>
        </w:rPr>
        <w:t xml:space="preserve"> and sovereignty </w:t>
      </w:r>
      <w:r w:rsidRPr="00292257">
        <w:rPr>
          <w:rStyle w:val="StyleUnderline"/>
        </w:rPr>
        <w:t xml:space="preserve">grow, we will have more power to stop, reroute, and </w:t>
      </w:r>
      <w:r w:rsidRPr="00292257">
        <w:rPr>
          <w:rStyle w:val="Emphasis"/>
        </w:rPr>
        <w:t>transform carbon-based, capitalist, and colonial infrastructure</w:t>
      </w:r>
      <w:r w:rsidRPr="00292257">
        <w:rPr>
          <w:sz w:val="16"/>
        </w:rPr>
        <w:t xml:space="preserve">. When the Justice Department halted construction of DAPL in October, they also said they would begin looking into Free Prior Informed Consent legislation. This is a minimal first step, and we must hold them to it. </w:t>
      </w:r>
      <w:r w:rsidRPr="00292257">
        <w:rPr>
          <w:rStyle w:val="Emphasis"/>
        </w:rPr>
        <w:t>Longstanding alliances</w:t>
      </w:r>
      <w:r w:rsidRPr="00292257">
        <w:rPr>
          <w:rStyle w:val="StyleUnderline"/>
        </w:rPr>
        <w:t xml:space="preserve"> with progressive parties and politicians are </w:t>
      </w:r>
      <w:r w:rsidRPr="00292257">
        <w:rPr>
          <w:rStyle w:val="Emphasis"/>
        </w:rPr>
        <w:t>key to our success</w:t>
      </w:r>
      <w:r w:rsidRPr="00292257">
        <w:rPr>
          <w:rStyle w:val="StyleUnderline"/>
        </w:rPr>
        <w:t>. In the U</w:t>
      </w:r>
      <w:r w:rsidRPr="00292257">
        <w:rPr>
          <w:sz w:val="16"/>
        </w:rPr>
        <w:t xml:space="preserve">nited </w:t>
      </w:r>
      <w:r w:rsidRPr="00292257">
        <w:rPr>
          <w:rStyle w:val="StyleUnderline"/>
        </w:rPr>
        <w:t>S</w:t>
      </w:r>
      <w:r w:rsidRPr="00292257">
        <w:rPr>
          <w:sz w:val="16"/>
        </w:rPr>
        <w:t xml:space="preserve">tates, </w:t>
      </w:r>
      <w:r w:rsidRPr="00292257">
        <w:rPr>
          <w:rStyle w:val="StyleUnderline"/>
        </w:rPr>
        <w:t>Native people have worked with Democratic elected officials like</w:t>
      </w:r>
      <w:r w:rsidRPr="00292257">
        <w:rPr>
          <w:sz w:val="16"/>
        </w:rPr>
        <w:t xml:space="preserve"> Bernie </w:t>
      </w:r>
      <w:r w:rsidRPr="00292257">
        <w:rPr>
          <w:rStyle w:val="StyleUnderline"/>
        </w:rPr>
        <w:t>Sanders and</w:t>
      </w:r>
      <w:r w:rsidRPr="00292257">
        <w:rPr>
          <w:sz w:val="16"/>
        </w:rPr>
        <w:t xml:space="preserve"> Raúl </w:t>
      </w:r>
      <w:r w:rsidRPr="00292257">
        <w:rPr>
          <w:rStyle w:val="StyleUnderline"/>
        </w:rPr>
        <w:t>Grijalva to advance bills</w:t>
      </w:r>
      <w:r w:rsidRPr="00292257">
        <w:rPr>
          <w:sz w:val="16"/>
        </w:rPr>
        <w:t xml:space="preserve"> like the Save Oak Flat Act, which aimed </w:t>
      </w:r>
      <w:r w:rsidRPr="00292257">
        <w:rPr>
          <w:rStyle w:val="StyleUnderline"/>
        </w:rPr>
        <w:t>to stop an international mining conglomerate from exploiting an Apache sacred site in Arizona. In Canada, First Nations have supported the New Democratic Party. In New Zealand, the Maori Rātana religious and political movement has an alliance with the Labour Party</w:t>
      </w:r>
      <w:r w:rsidRPr="00292257">
        <w:rPr>
          <w:sz w:val="16"/>
        </w:rPr>
        <w:t xml:space="preserve">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w:t>
      </w:r>
      <w:r w:rsidRPr="00292257">
        <w:rPr>
          <w:rStyle w:val="StyleUnderline"/>
        </w:rPr>
        <w:t>Politicians are helpful when they change policies</w:t>
      </w:r>
      <w:r w:rsidRPr="00292257">
        <w:rPr>
          <w:sz w:val="16"/>
        </w:rPr>
        <w:t xml:space="preserve"> and outcomes. </w:t>
      </w:r>
      <w:r w:rsidRPr="00292257">
        <w:rPr>
          <w:rStyle w:val="StyleUnderline"/>
        </w:rPr>
        <w:t>We</w:t>
      </w:r>
      <w:r w:rsidRPr="00292257">
        <w:rPr>
          <w:sz w:val="16"/>
        </w:rPr>
        <w:t xml:space="preserve"> cannot and </w:t>
      </w:r>
      <w:r w:rsidRPr="00292257">
        <w:rPr>
          <w:rStyle w:val="StyleUnderline"/>
        </w:rPr>
        <w:t>should not settle for symbolic victories</w:t>
      </w:r>
      <w:r w:rsidRPr="00292257">
        <w:rPr>
          <w:sz w:val="16"/>
        </w:rPr>
        <w:t xml:space="preserve">. </w:t>
      </w:r>
      <w:r w:rsidRPr="00292257">
        <w:rPr>
          <w:rStyle w:val="StyleUnderline"/>
        </w:rPr>
        <w:t>If there is to be an enduring indigenous-left coalition, the Left must support indigenous demands for land, jurisdiction, and sovereignty</w:t>
      </w:r>
      <w:r w:rsidRPr="00292257">
        <w:rPr>
          <w:sz w:val="16"/>
        </w:rPr>
        <w:t xml:space="preserve">. At their core, </w:t>
      </w:r>
      <w:r w:rsidRPr="00292257">
        <w:rPr>
          <w:rStyle w:val="StyleUnderline"/>
        </w:rPr>
        <w:t>these demands undermine the imperial cut-and-paste model of the nation-state</w:t>
      </w:r>
      <w:r w:rsidRPr="00292257">
        <w:rPr>
          <w:sz w:val="16"/>
        </w:rPr>
        <w:t>, stretching from Hobbes to the present, which insists that there is room for just one sovereign entity in the state apparatus. Thomas Piketty’s call for a global wealth tax implies an international governance structure to levy such a tax. He pushes us to think beyond the state. Similarly, indigenous demands for lands, jurisdiction, and sovereignty imply that we must think beneath it.</w:t>
      </w:r>
    </w:p>
    <w:p w:rsidR="00AF4E71" w:rsidRPr="00292257" w:rsidRDefault="00AF4E71" w:rsidP="00AF4E71"/>
    <w:p w:rsidR="00AF4E71" w:rsidRPr="00292257" w:rsidRDefault="00AF4E71" w:rsidP="00AF4E71"/>
    <w:p w:rsidR="00AF4E71" w:rsidRPr="00292257" w:rsidRDefault="00AF4E71" w:rsidP="0069609A">
      <w:pPr>
        <w:rPr>
          <w:sz w:val="16"/>
        </w:rPr>
      </w:pPr>
    </w:p>
    <w:p w:rsidR="00E42E4C" w:rsidRPr="00292257" w:rsidRDefault="005027D7" w:rsidP="005027D7">
      <w:pPr>
        <w:pStyle w:val="Heading2"/>
      </w:pPr>
      <w:r w:rsidRPr="00292257">
        <w:lastRenderedPageBreak/>
        <w:t>Alt Fails</w:t>
      </w:r>
    </w:p>
    <w:p w:rsidR="002B7D8E" w:rsidRPr="00292257" w:rsidRDefault="00FE4E56" w:rsidP="002B7D8E">
      <w:pPr>
        <w:pStyle w:val="Heading3"/>
      </w:pPr>
      <w:r w:rsidRPr="00292257">
        <w:lastRenderedPageBreak/>
        <w:t>Must GBTL</w:t>
      </w:r>
    </w:p>
    <w:p w:rsidR="005027D7" w:rsidRPr="00292257" w:rsidRDefault="005027D7" w:rsidP="005027D7">
      <w:pPr>
        <w:pStyle w:val="Heading4"/>
      </w:pPr>
      <w:r w:rsidRPr="00292257">
        <w:t>Settler colonialism is inextricably tied to the land – any alt that falls short of giving back the land will fail</w:t>
      </w:r>
    </w:p>
    <w:p w:rsidR="005027D7" w:rsidRPr="00292257" w:rsidRDefault="005027D7" w:rsidP="005027D7">
      <w:r w:rsidRPr="00292257">
        <w:rPr>
          <w:rStyle w:val="Style13ptBold"/>
        </w:rPr>
        <w:t>Brown</w:t>
      </w:r>
      <w:r w:rsidRPr="00292257">
        <w:t xml:space="preserve"> </w:t>
      </w:r>
      <w:r w:rsidRPr="00292257">
        <w:rPr>
          <w:rStyle w:val="Style13ptBold"/>
        </w:rPr>
        <w:t>’14</w:t>
      </w:r>
      <w:r w:rsidRPr="00292257">
        <w:t xml:space="preserve"> (Nicholas A., PhD in Landscape Architecture (History &amp; Theory) from the University of Illinois, Urbana-Champaign, a MFA degree from UIUC’s School of Art &amp; Design, and a BA from Carleton College. Previously Brown taught in the American Indian &amp; Native Studies Program and the Department of Geographical and Sustainability Sciences at the University of Iowa, The logic of settler accumulation in a landscape of perpetual vanishing,  Settler Colonial Studies, 4:1, 1-26, DOI: 10.1080/2201473X.2013.784236)CN</w:t>
      </w:r>
    </w:p>
    <w:p w:rsidR="005027D7" w:rsidRPr="00292257" w:rsidRDefault="005027D7" w:rsidP="005027D7">
      <w:pPr>
        <w:rPr>
          <w:sz w:val="16"/>
        </w:rPr>
      </w:pPr>
      <w:r w:rsidRPr="00292257">
        <w:rPr>
          <w:rStyle w:val="StyleUnderline"/>
        </w:rPr>
        <w:t>Taking up dispossession as a failed project</w:t>
      </w:r>
      <w:r w:rsidRPr="00292257">
        <w:rPr>
          <w:sz w:val="16"/>
        </w:rPr>
        <w:t xml:space="preserve"> </w:t>
      </w:r>
      <w:r w:rsidRPr="00292257">
        <w:rPr>
          <w:rStyle w:val="StyleUnderline"/>
        </w:rPr>
        <w:t xml:space="preserve">forces us to move beyond the property paradigm </w:t>
      </w:r>
      <w:r w:rsidRPr="00292257">
        <w:rPr>
          <w:sz w:val="16"/>
        </w:rPr>
        <w:t xml:space="preserve">and </w:t>
      </w:r>
      <w:r w:rsidRPr="00292257">
        <w:rPr>
          <w:rStyle w:val="StyleUnderline"/>
        </w:rPr>
        <w:t>to acknowledge what</w:t>
      </w:r>
      <w:r w:rsidRPr="00292257">
        <w:rPr>
          <w:sz w:val="16"/>
        </w:rPr>
        <w:t xml:space="preserve"> Aileen Moreton-</w:t>
      </w:r>
      <w:r w:rsidRPr="00292257">
        <w:rPr>
          <w:rStyle w:val="StyleUnderline"/>
        </w:rPr>
        <w:t xml:space="preserve">Robinson calls </w:t>
      </w:r>
      <w:r w:rsidRPr="00292257">
        <w:rPr>
          <w:rStyle w:val="Emphasis"/>
        </w:rPr>
        <w:t>an “ontological relationship to land</w:t>
      </w:r>
      <w:r w:rsidRPr="00292257">
        <w:rPr>
          <w:rStyle w:val="StyleUnderline"/>
        </w:rPr>
        <w:t xml:space="preserve">”, </w:t>
      </w:r>
      <w:r w:rsidRPr="00292257">
        <w:rPr>
          <w:sz w:val="16"/>
        </w:rPr>
        <w:t>which she also describes as an “inalienable relation to land</w:t>
      </w:r>
      <w:r w:rsidRPr="00292257">
        <w:rPr>
          <w:rStyle w:val="Emphasis"/>
        </w:rPr>
        <w:t>” that constitutes an indigenous subject position</w:t>
      </w:r>
      <w:r w:rsidRPr="00292257">
        <w:rPr>
          <w:sz w:val="16"/>
        </w:rPr>
        <w:t>.54 “</w:t>
      </w:r>
      <w:r w:rsidRPr="00292257">
        <w:rPr>
          <w:rStyle w:val="Emphasis"/>
        </w:rPr>
        <w:t>Ontological belonging”,</w:t>
      </w:r>
      <w:r w:rsidRPr="00292257">
        <w:rPr>
          <w:sz w:val="16"/>
        </w:rPr>
        <w:t xml:space="preserve"> Moreton-Robinson argues, “</w:t>
      </w:r>
      <w:r w:rsidRPr="00292257">
        <w:rPr>
          <w:rStyle w:val="Emphasis"/>
        </w:rPr>
        <w:t xml:space="preserve">is omnipresent, and continues to unsettle non-Indigenous belonging based on illegal dispossession”. </w:t>
      </w:r>
      <w:r w:rsidRPr="00292257">
        <w:rPr>
          <w:sz w:val="16"/>
        </w:rPr>
        <w:t xml:space="preserve">55 In this vein, Eric </w:t>
      </w:r>
      <w:r w:rsidRPr="00292257">
        <w:rPr>
          <w:rStyle w:val="StyleUnderline"/>
        </w:rPr>
        <w:t>Cheyfitz defines land not simply as a resource or commodity but as “the nonfungible matrix of the community</w:t>
      </w:r>
      <w:r w:rsidRPr="00292257">
        <w:rPr>
          <w:sz w:val="16"/>
        </w:rPr>
        <w:t xml:space="preserve">” </w:t>
      </w:r>
      <w:r w:rsidRPr="00292257">
        <w:rPr>
          <w:rStyle w:val="StyleUnderline"/>
        </w:rPr>
        <w:t xml:space="preserve">and “the inalienable ground of the communal”. </w:t>
      </w:r>
      <w:r w:rsidRPr="00292257">
        <w:rPr>
          <w:sz w:val="16"/>
        </w:rPr>
        <w:t xml:space="preserve">56 And </w:t>
      </w:r>
      <w:r w:rsidRPr="00292257">
        <w:rPr>
          <w:rStyle w:val="StyleUnderline"/>
        </w:rPr>
        <w:t>for</w:t>
      </w:r>
      <w:r w:rsidRPr="00292257">
        <w:rPr>
          <w:sz w:val="16"/>
        </w:rPr>
        <w:t xml:space="preserve"> Glen </w:t>
      </w:r>
      <w:r w:rsidRPr="00292257">
        <w:rPr>
          <w:rStyle w:val="StyleUnderline"/>
        </w:rPr>
        <w:t>Coulthard</w:t>
      </w:r>
      <w:r w:rsidRPr="00292257">
        <w:rPr>
          <w:sz w:val="16"/>
        </w:rPr>
        <w:t xml:space="preserve">, </w:t>
      </w:r>
      <w:r w:rsidRPr="00292257">
        <w:rPr>
          <w:rStyle w:val="Emphasis"/>
        </w:rPr>
        <w:t>land functions as “an ontological framework for understanding relationships</w:t>
      </w:r>
      <w:r w:rsidRPr="00292257">
        <w:rPr>
          <w:sz w:val="16"/>
        </w:rPr>
        <w:t xml:space="preserve">”. 57 </w:t>
      </w:r>
      <w:r w:rsidRPr="00292257">
        <w:rPr>
          <w:rStyle w:val="StyleUnderline"/>
        </w:rPr>
        <w:t>To entertain the possibility of failure</w:t>
      </w:r>
      <w:r w:rsidRPr="00292257">
        <w:rPr>
          <w:sz w:val="16"/>
        </w:rPr>
        <w:t xml:space="preserve"> </w:t>
      </w:r>
      <w:r w:rsidRPr="00292257">
        <w:rPr>
          <w:rStyle w:val="StyleUnderline"/>
        </w:rPr>
        <w:t>is</w:t>
      </w:r>
      <w:r w:rsidRPr="00292257">
        <w:rPr>
          <w:sz w:val="16"/>
        </w:rPr>
        <w:t xml:space="preserve"> thus </w:t>
      </w:r>
      <w:r w:rsidRPr="00292257">
        <w:rPr>
          <w:rStyle w:val="StyleUnderline"/>
        </w:rPr>
        <w:t>to recognize indigenous sovereignty as “more than a mere conferral”.</w:t>
      </w:r>
      <w:r w:rsidRPr="00292257">
        <w:rPr>
          <w:sz w:val="16"/>
        </w:rPr>
        <w:t xml:space="preserve"> Instead, as Audra Simpson affirms, “it is both inherent and unceded”. 58 </w:t>
      </w:r>
      <w:r w:rsidRPr="00292257">
        <w:rPr>
          <w:rStyle w:val="Emphasis"/>
        </w:rPr>
        <w:t xml:space="preserve">To denaturalize dispossession is to confront “the ontological dilemma indigeneity poses to the colonizing nation-state”. </w:t>
      </w:r>
      <w:r w:rsidRPr="00292257">
        <w:rPr>
          <w:sz w:val="16"/>
        </w:rPr>
        <w:t xml:space="preserve">59 </w:t>
      </w:r>
      <w:r w:rsidRPr="00292257">
        <w:rPr>
          <w:rStyle w:val="StyleUnderline"/>
        </w:rPr>
        <w:t>This move shifts the conversation from assumptions about aboriginal dispossession to questions about white possession</w:t>
      </w:r>
      <w:r w:rsidRPr="00292257">
        <w:rPr>
          <w:sz w:val="16"/>
        </w:rPr>
        <w:t xml:space="preserve">, </w:t>
      </w:r>
      <w:r w:rsidRPr="00292257">
        <w:rPr>
          <w:rStyle w:val="StyleUnderline"/>
        </w:rPr>
        <w:t>including</w:t>
      </w:r>
      <w:r w:rsidRPr="00292257">
        <w:rPr>
          <w:sz w:val="16"/>
        </w:rPr>
        <w:t xml:space="preserve"> its precarity, often signified by </w:t>
      </w:r>
      <w:r w:rsidRPr="00292257">
        <w:rPr>
          <w:rStyle w:val="StyleUnderline"/>
        </w:rPr>
        <w:t>anxiety</w:t>
      </w:r>
      <w:r w:rsidRPr="00292257">
        <w:rPr>
          <w:sz w:val="16"/>
        </w:rPr>
        <w:t xml:space="preserve">.60 And this shift, in turn, raises a series of new questions about the relationship between primitive accumulation and settler colonialism. First, would it be more accurate to describe accumulation by dispossession as accumulation by possession? Where the possessive investment of 6 N.A. Brown </w:t>
      </w:r>
      <w:r w:rsidRPr="00292257">
        <w:rPr>
          <w:rStyle w:val="StyleUnderline"/>
        </w:rPr>
        <w:t>settlers overlays but does</w:t>
      </w:r>
      <w:r w:rsidRPr="00292257">
        <w:rPr>
          <w:sz w:val="16"/>
        </w:rPr>
        <w:t xml:space="preserve"> </w:t>
      </w:r>
      <w:r w:rsidRPr="00292257">
        <w:rPr>
          <w:rStyle w:val="StyleUnderline"/>
        </w:rPr>
        <w:t>not</w:t>
      </w:r>
      <w:r w:rsidRPr="00292257">
        <w:rPr>
          <w:sz w:val="16"/>
        </w:rPr>
        <w:t xml:space="preserve"> (because it cannot) </w:t>
      </w:r>
      <w:r w:rsidRPr="00292257">
        <w:rPr>
          <w:rStyle w:val="StyleUnderline"/>
        </w:rPr>
        <w:t>extinguish indigenous ties to a landscape, which remains, in a fundamental sense, inalienable</w:t>
      </w:r>
      <w:r w:rsidRPr="00292257">
        <w:rPr>
          <w:sz w:val="16"/>
        </w:rPr>
        <w:t xml:space="preserve">. Second, is the continuous character of primitive accumulation contingent on and enabled by the failure of settler colonialism? In other words, does failure allow processes of primitive accumulation to endure? Alternately, would settler colonialism, if successful, actually impede the proliferation of these accumulation practices? Third, is it possible to identify a unique set of processes that we might call settler accumulation? 61 In other words, does a distinct form of accumulation emerge from the dialectic between primitive accumulation and settler colonialism, which cannot be reduced to either of its constitutive elements? Finally, </w:t>
      </w:r>
      <w:r w:rsidRPr="00292257">
        <w:rPr>
          <w:rStyle w:val="Emphasis"/>
        </w:rPr>
        <w:t>given that primitive accumulation might also be described as a failed project</w:t>
      </w:r>
      <w:r w:rsidRPr="00292257">
        <w:rPr>
          <w:sz w:val="16"/>
        </w:rPr>
        <w:t xml:space="preserve"> – in the sense that it, too, remains unfinished – </w:t>
      </w:r>
      <w:r w:rsidRPr="00292257">
        <w:rPr>
          <w:rStyle w:val="StyleUnderline"/>
        </w:rPr>
        <w:t>does this recurring double-failure sustain the dialectic of settler accumulation</w:t>
      </w:r>
      <w:r w:rsidRPr="00292257">
        <w:rPr>
          <w:sz w:val="16"/>
        </w:rPr>
        <w:t xml:space="preserve">? In other words, </w:t>
      </w:r>
      <w:r w:rsidRPr="00292257">
        <w:rPr>
          <w:rStyle w:val="StyleUnderline"/>
        </w:rPr>
        <w:t>does settler accumulation proliferate by pitting one flexible structure or “condition of possibility” against another structure?</w:t>
      </w:r>
      <w:r w:rsidRPr="00292257">
        <w:rPr>
          <w:sz w:val="16"/>
        </w:rPr>
        <w:t xml:space="preserve"> In the abstract, </w:t>
      </w:r>
      <w:r w:rsidRPr="00292257">
        <w:rPr>
          <w:rStyle w:val="Emphasis"/>
        </w:rPr>
        <w:t>the answers to these questions, particularly the last two, would seem to be affirmative</w:t>
      </w:r>
      <w:r w:rsidRPr="00292257">
        <w:rPr>
          <w:sz w:val="16"/>
        </w:rPr>
        <w:t>. In an effort to discern the logic of settler accumulation at work in the specific context of the Alberta/Montana borderlands, these questions resurface in the concluding sections of this article.</w:t>
      </w:r>
    </w:p>
    <w:p w:rsidR="002B7D8E" w:rsidRPr="00292257" w:rsidRDefault="002B7D8E" w:rsidP="002B7D8E">
      <w:pPr>
        <w:pStyle w:val="Heading3"/>
      </w:pPr>
      <w:r w:rsidRPr="00292257">
        <w:lastRenderedPageBreak/>
        <w:t xml:space="preserve">Postcolonial </w:t>
      </w:r>
    </w:p>
    <w:p w:rsidR="005027D7" w:rsidRPr="00292257" w:rsidRDefault="005027D7" w:rsidP="005027D7">
      <w:pPr>
        <w:pStyle w:val="Heading4"/>
      </w:pPr>
      <w:r w:rsidRPr="00292257">
        <w:t>Postcolonial critique fails – doesn’t address the ongoing processes of termination and assimilation in the settler colony</w:t>
      </w:r>
    </w:p>
    <w:p w:rsidR="005027D7" w:rsidRPr="00292257" w:rsidRDefault="005027D7" w:rsidP="005027D7">
      <w:r w:rsidRPr="00292257">
        <w:rPr>
          <w:rStyle w:val="Style13ptBold"/>
        </w:rPr>
        <w:t xml:space="preserve">Day 15 </w:t>
      </w:r>
      <w:r w:rsidRPr="00292257">
        <w:t xml:space="preserve">Iyko Day, “Being or Nothingness: Indigeneity, Antiblackness, and Settler Colonial Critique”, Critical Ethnic Studies , Vol. 1, No. 2 (Fall 2015), pp. 102-121, University of Minnesota Press, </w:t>
      </w:r>
      <w:hyperlink r:id="rId22" w:history="1">
        <w:r w:rsidRPr="00292257">
          <w:rPr>
            <w:rStyle w:val="Hyperlink"/>
          </w:rPr>
          <w:t>https://www.jstor.org/stable/10.5749/jcritethnstud.1.2.0102</w:t>
        </w:r>
      </w:hyperlink>
      <w:r w:rsidRPr="00292257">
        <w:t>, /MegLak</w:t>
      </w:r>
    </w:p>
    <w:p w:rsidR="005027D7" w:rsidRPr="00292257" w:rsidRDefault="005027D7" w:rsidP="005027D7">
      <w:pPr>
        <w:rPr>
          <w:sz w:val="16"/>
        </w:rPr>
      </w:pPr>
      <w:r w:rsidRPr="00292257">
        <w:rPr>
          <w:sz w:val="16"/>
        </w:rPr>
        <w:t xml:space="preserve">But if we move outside the continental United States, questions raised by such binaries dissipate in the face of the starkest and most brutal binary colonial formations. </w:t>
      </w:r>
      <w:r w:rsidRPr="00292257">
        <w:rPr>
          <w:rStyle w:val="StyleUnderline"/>
        </w:rPr>
        <w:t>Occupied Palestine, a comparatively recent site of settler colonialism, is such a place, powerfully magnifying the struggle between settler and Indigenous populations in ways that recall the frontier violence of nineteenth-century America</w:t>
      </w:r>
      <w:r w:rsidRPr="00292257">
        <w:rPr>
          <w:sz w:val="16"/>
        </w:rPr>
        <w:t xml:space="preserve">. The illegal occupation, siege of Gaza, and ongoing construction of residential settlements on the West Bank is an uncanny corollary to the lead up to the 1830 Indian Removal Act, which relocated tens of thousands of peoples from the Southeastern Nations east of the Mississippi River. From this view, </w:t>
      </w:r>
      <w:r w:rsidRPr="00292257">
        <w:rPr>
          <w:rStyle w:val="StyleUnderline"/>
        </w:rPr>
        <w:t>the</w:t>
      </w:r>
      <w:r w:rsidRPr="00292257">
        <w:rPr>
          <w:sz w:val="16"/>
        </w:rPr>
        <w:t xml:space="preserve"> glaring binarism of Occupied Palestine offers a window onto U.S. history. But it is for the same reason that Bill V. Mullen’s </w:t>
      </w:r>
      <w:r w:rsidRPr="00292257">
        <w:rPr>
          <w:rStyle w:val="StyleUnderline"/>
        </w:rPr>
        <w:t>description of Occupied Palestine as “the most dialectical place on Earth” is unable to capture the racial heterogeneity of the continental United States in the present tense.</w:t>
      </w:r>
      <w:r w:rsidRPr="00292257">
        <w:rPr>
          <w:sz w:val="16"/>
        </w:rPr>
        <w:t>7 Further, in the case of Hawai‘i, another relatively recent site of settler colonialism, Asian Americans have replaced original white settlers and transformed and extended those eliminatory logics into a formation of Asian settler colonialism that is also reflective of the Indigenous/settler binary.8 As Dean Saranillio explains, “</w:t>
      </w:r>
      <w:r w:rsidRPr="00292257">
        <w:rPr>
          <w:rStyle w:val="StyleUnderline"/>
        </w:rPr>
        <w:t>While migration in and of itself does not equate to colonialism, migration to a settler colonial space</w:t>
      </w:r>
      <w:r w:rsidRPr="00292257">
        <w:rPr>
          <w:sz w:val="16"/>
        </w:rPr>
        <w:t xml:space="preserve">, where Native lands and resources are under political, ecological, and spiritual contestation, </w:t>
      </w:r>
      <w:r w:rsidRPr="00292257">
        <w:rPr>
          <w:rStyle w:val="StyleUnderline"/>
        </w:rPr>
        <w:t>means the political agency of immigrant communities can bolster a colonial system initiated by White settlers.</w:t>
      </w:r>
      <w:r w:rsidRPr="00292257">
        <w:rPr>
          <w:sz w:val="16"/>
        </w:rPr>
        <w:t>”9 The lesson that Hawai‘i offers is one in which a formerly exploited migrant population has achieved structural dominance. Although white settlers exploited indentured Asian laborers in the 1890s as part of the process of dispossessing Native Hawaiians of their land, Asian American invocations of “local” identity and rejection of Native Hawaiian claims for sovereignty reproduce the logics of colonial dispossession. Here Patrick Wolfe’s clarification that settler colonialism is a “structure not an event” is especially salient.10</w:t>
      </w:r>
      <w:r w:rsidR="00305313" w:rsidRPr="00292257">
        <w:rPr>
          <w:sz w:val="16"/>
        </w:rPr>
        <w:t xml:space="preserve"> </w:t>
      </w:r>
      <w:r w:rsidRPr="00292257">
        <w:rPr>
          <w:sz w:val="16"/>
        </w:rPr>
        <w:t xml:space="preserve">In comparison to Canada or Australia, </w:t>
      </w:r>
      <w:r w:rsidRPr="00292257">
        <w:rPr>
          <w:rStyle w:val="Emphasis"/>
        </w:rPr>
        <w:t>what I would describe as a certain attenuation in identifying the continental United States as a settler colony may also be attributed to</w:t>
      </w:r>
      <w:r w:rsidRPr="00292257">
        <w:rPr>
          <w:sz w:val="16"/>
        </w:rPr>
        <w:t xml:space="preserve"> an ideology of American exceptionalism and </w:t>
      </w:r>
      <w:r w:rsidRPr="00292257">
        <w:rPr>
          <w:rStyle w:val="Emphasis"/>
        </w:rPr>
        <w:t>history of empire building</w:t>
      </w:r>
      <w:r w:rsidRPr="00292257">
        <w:rPr>
          <w:sz w:val="16"/>
        </w:rPr>
        <w:t xml:space="preserve">, which are </w:t>
      </w:r>
      <w:r w:rsidRPr="00292257">
        <w:rPr>
          <w:rStyle w:val="StyleUnderline"/>
        </w:rPr>
        <w:t>possibly the most exemplary expressions of settler colonialism</w:t>
      </w:r>
      <w:r w:rsidRPr="00292257">
        <w:rPr>
          <w:sz w:val="16"/>
        </w:rPr>
        <w:t xml:space="preserve">. Indeed, </w:t>
      </w:r>
      <w:r w:rsidRPr="00292257">
        <w:rPr>
          <w:rStyle w:val="StyleUnderline"/>
        </w:rPr>
        <w:t>what distinguishes the</w:t>
      </w:r>
      <w:r w:rsidRPr="00292257">
        <w:rPr>
          <w:sz w:val="16"/>
        </w:rPr>
        <w:t xml:space="preserve"> United States as a </w:t>
      </w:r>
      <w:r w:rsidRPr="00292257">
        <w:rPr>
          <w:rStyle w:val="StyleUnderline"/>
        </w:rPr>
        <w:t>settler colony is the way it epitomizes a paradigm of endless invasion of both Indigenous and foreign lands</w:t>
      </w:r>
      <w:r w:rsidRPr="00292257">
        <w:rPr>
          <w:sz w:val="16"/>
        </w:rPr>
        <w:t>.11 Unlike former franchise colonies, such as British India or the Dutch East Indies—regions where economic exploitation occurred without large-scale white settlement—</w:t>
      </w:r>
      <w:r w:rsidRPr="00292257">
        <w:rPr>
          <w:rStyle w:val="StyleUnderline"/>
        </w:rPr>
        <w:t>settler colonies are also largely immune to decolonization because settlers don’t leave</w:t>
      </w:r>
      <w:r w:rsidRPr="00292257">
        <w:rPr>
          <w:sz w:val="16"/>
        </w:rPr>
        <w:t>. They are “breakaway” colonies insofar as they transfer the power of the metropolitan center to the periphery, subverting a normative logic of colonialism.12 In establishing British settler colonies, it was specifically land acquisition that was the primary objective rather than the exploitation of Indigenous labor.</w:t>
      </w:r>
      <w:r w:rsidRPr="00292257">
        <w:t>13</w:t>
      </w:r>
      <w:r w:rsidRPr="00292257">
        <w:rPr>
          <w:rStyle w:val="StyleUnderline"/>
        </w:rPr>
        <w:t xml:space="preserve"> </w:t>
      </w:r>
      <w:r w:rsidRPr="00292257">
        <w:rPr>
          <w:rStyle w:val="Emphasis"/>
        </w:rPr>
        <w:t>Because white settlement was a primary goal in British North America, Australia, New Zealand, and South Africa, the process of detaching from British imperial rule</w:t>
      </w:r>
      <w:r w:rsidRPr="00292257">
        <w:rPr>
          <w:sz w:val="16"/>
        </w:rPr>
        <w:t>—becoming “postcolonial” as it were—</w:t>
      </w:r>
      <w:r w:rsidRPr="00292257">
        <w:rPr>
          <w:rStyle w:val="Emphasis"/>
        </w:rPr>
        <w:t>did not structurally alter the colonial relationship between settlers and Indigenous populations</w:t>
      </w:r>
      <w:r w:rsidRPr="00292257">
        <w:rPr>
          <w:sz w:val="16"/>
        </w:rPr>
        <w:t>. In other words, there is no “post” to settler colonialism. As Werner Biermann and Reinhart Kössler reflect on the irony of revolutionary settler independence movements like those in the United States, “settler counter- imperialism cannot, in any sense, be considered of an emancipatory nature, but rather as a defense for atavistic forms of exploitation which by this token take on a politically anachronistic stature as well.”14 Therefore, in settler colonies, the diminishing role of an imperial metropole actually facilitated successive stages of Indigenous elimination that involved invasion, removal, relocation, reservation, termination, and assimilation. This renders a paradoxical situation where, as Robert J. C. Young describes it, “</w:t>
      </w:r>
      <w:r w:rsidRPr="00292257">
        <w:rPr>
          <w:rStyle w:val="Emphasis"/>
        </w:rPr>
        <w:t>the postcolonial operates simultaneously as the colonial</w:t>
      </w:r>
      <w:r w:rsidRPr="00292257">
        <w:rPr>
          <w:rStyle w:val="StyleUnderline"/>
        </w:rPr>
        <w:t>.”</w:t>
      </w:r>
      <w:r w:rsidRPr="00292257">
        <w:rPr>
          <w:sz w:val="16"/>
        </w:rPr>
        <w:t>15</w:t>
      </w:r>
    </w:p>
    <w:p w:rsidR="005027D7" w:rsidRPr="00292257" w:rsidRDefault="005027D7" w:rsidP="005027D7">
      <w:pPr>
        <w:pStyle w:val="Heading4"/>
      </w:pPr>
      <w:r w:rsidRPr="00292257">
        <w:lastRenderedPageBreak/>
        <w:t>A colonial analysis alone fails – it diverts attention from current hierarchies, and assumes subaltern</w:t>
      </w:r>
      <w:r w:rsidR="002B7D8E" w:rsidRPr="00292257">
        <w:t>ity is created from colonialism – justifies perm</w:t>
      </w:r>
    </w:p>
    <w:p w:rsidR="005027D7" w:rsidRPr="00292257" w:rsidRDefault="005027D7" w:rsidP="005027D7">
      <w:r w:rsidRPr="00292257">
        <w:rPr>
          <w:rStyle w:val="Style13ptBold"/>
        </w:rPr>
        <w:t xml:space="preserve">Ribiero 11 </w:t>
      </w:r>
      <w:r w:rsidRPr="00292257">
        <w:t xml:space="preserve">Gustavo Lins Ribeiro (2011) “Why (post)colonialism and (de)coloniality are not enough: a post-imperialist perspective”, Postcolonial Studies, 14:3, 285-297, </w:t>
      </w:r>
      <w:hyperlink r:id="rId23" w:history="1">
        <w:r w:rsidRPr="00292257">
          <w:rPr>
            <w:rStyle w:val="Hyperlink"/>
          </w:rPr>
          <w:t>http://dx.doi.org/10.1080/13688790.2011.613107</w:t>
        </w:r>
      </w:hyperlink>
      <w:r w:rsidRPr="00292257">
        <w:t>, /MegLak</w:t>
      </w:r>
    </w:p>
    <w:p w:rsidR="005027D7" w:rsidRPr="00292257" w:rsidRDefault="005027D7" w:rsidP="005027D7">
      <w:pPr>
        <w:rPr>
          <w:sz w:val="16"/>
        </w:rPr>
      </w:pPr>
      <w:r w:rsidRPr="00292257">
        <w:rPr>
          <w:rStyle w:val="StyleUnderline"/>
        </w:rPr>
        <w:t>The</w:t>
      </w:r>
      <w:r w:rsidRPr="00292257">
        <w:rPr>
          <w:sz w:val="16"/>
        </w:rPr>
        <w:t xml:space="preserve"> historical, geographical, economic, cultural, political, social and racial </w:t>
      </w:r>
      <w:r w:rsidRPr="00292257">
        <w:rPr>
          <w:rStyle w:val="StyleUnderline"/>
        </w:rPr>
        <w:t>diversity of the colonial experience is, sometimes, underestimated by an overall critique of one of the most powerful attributes of the human species: the propensity to colonize the entire earth.</w:t>
      </w:r>
      <w:r w:rsidRPr="00292257">
        <w:rPr>
          <w:sz w:val="16"/>
        </w:rPr>
        <w:t xml:space="preserve"> Human beings could well be called the ‘colonizer animal’. If we stretch the amplitude of the colonial drive that much, a substantial part of the history of Homo Sapiens could be seen as the history of colonization and of its ideological, institutional and political legitimations. In this time frame, one that perhaps could be called an archaeological time frame, post-colonial situations would include an enormous number of scenarios. Such a perspective would allow me to go as far as to call, for instance, London a postcolonial city because one day it was a Roman town called Londinium. I will not concede to the temptation of this overarching vision because it would certainly transform colonialism into a sort of hyper-historicism. Furthermore, the duration of the postcolonial condition is an area of intense debate, one that is particularly interesting for Latin Americans since, historically, postcolonialism started there in the early nineteenth century. </w:t>
      </w:r>
      <w:r w:rsidRPr="00292257">
        <w:rPr>
          <w:rStyle w:val="StyleUnderline"/>
        </w:rPr>
        <w:t>Here I want to grapple with the consideration of colonialism as a powerful, all-encompassing historical force that shapes to this day major characteristics of nation-states that are former colonies</w:t>
      </w:r>
      <w:r w:rsidRPr="00292257">
        <w:rPr>
          <w:sz w:val="16"/>
        </w:rPr>
        <w:t xml:space="preserve">. Colonialism and its effects were at the centre of critical analysis well before postcolonialism and de-coloniality became focuses of attention. Neo-colonialism and internal colonialism provided important theoretical frameworks to analyse the existing inequal- ities within the world system and within nation-states. The stress on colonialism, neo-colonialism, internal colonialism, post- colonialism and the coloniality of power is welcome. </w:t>
      </w:r>
      <w:r w:rsidRPr="00292257">
        <w:rPr>
          <w:rStyle w:val="StyleUnderline"/>
        </w:rPr>
        <w:t>No one doubts the power of structuration of colonialism. However, I would like to explore the idea that we cannot think of the ‘structural power’ of colonialism as a lasting force that always overruns others, especially those that are unleashed by what might be called ‘the nationality of power’</w:t>
      </w:r>
      <w:r w:rsidRPr="00292257">
        <w:rPr>
          <w:sz w:val="16"/>
        </w:rPr>
        <w:t xml:space="preserve">.21 For me, </w:t>
      </w:r>
      <w:r w:rsidRPr="00292257">
        <w:rPr>
          <w:rStyle w:val="Emphasis"/>
        </w:rPr>
        <w:t xml:space="preserve">postcolonialism and the coloniality of power coexist in different forms and intensities, in different national scenarios, with the nationality of power as well as with the globality of power. </w:t>
      </w:r>
      <w:r w:rsidRPr="00292257">
        <w:rPr>
          <w:sz w:val="16"/>
        </w:rPr>
        <w:t xml:space="preserve">On the one hand, however strong transnational forces may be, </w:t>
      </w:r>
      <w:r w:rsidRPr="00292257">
        <w:rPr>
          <w:rStyle w:val="StyleUnderline"/>
        </w:rPr>
        <w:t>we cannot diffuse the power of nation-states in global entities such as the world system, nor can we reduce them to mechanic responses to supranational dynamics</w:t>
      </w:r>
      <w:r w:rsidRPr="00292257">
        <w:rPr>
          <w:sz w:val="16"/>
        </w:rPr>
        <w:t xml:space="preserve">. On the other hand, </w:t>
      </w:r>
      <w:r w:rsidRPr="00292257">
        <w:rPr>
          <w:rStyle w:val="StyleUnderline"/>
        </w:rPr>
        <w:t xml:space="preserve">colonialism cannot become an interpretive panacea, nor the latest example of historical determinism. </w:t>
      </w:r>
      <w:r w:rsidRPr="00292257">
        <w:rPr>
          <w:rStyle w:val="Emphasis"/>
        </w:rPr>
        <w:t>The fact that peripheral countries are the privileged scenario for postcolonial</w:t>
      </w:r>
      <w:r w:rsidRPr="00292257">
        <w:rPr>
          <w:sz w:val="16"/>
        </w:rPr>
        <w:t xml:space="preserve"> and decolonial </w:t>
      </w:r>
      <w:r w:rsidRPr="00292257">
        <w:rPr>
          <w:rStyle w:val="Emphasis"/>
        </w:rPr>
        <w:t>interpretations becomes a problem when we realize that the most powerful nation-state of current times, the United States, is a former British colony</w:t>
      </w:r>
      <w:r w:rsidRPr="00292257">
        <w:rPr>
          <w:sz w:val="16"/>
        </w:rPr>
        <w:t xml:space="preserve">. If the explanation for this exception is that there are different colonial experiences that may result in different postcolonial and decolonial experiences then subalternity within the world system is not a necessary result of the colonial experience or an intrinsic quality of postcoloniality and decoloniality. What I am saying is that </w:t>
      </w:r>
      <w:r w:rsidRPr="00292257">
        <w:rPr>
          <w:rStyle w:val="Emphasis"/>
        </w:rPr>
        <w:t>an overemphasis on colonialism and on coloniality can curiously (re)generate precisely what needs to be criticized and surpassed: an explanation that accepts subalternity as a destiny of former colonies.</w:t>
      </w:r>
      <w:r w:rsidRPr="00292257">
        <w:rPr>
          <w:rStyle w:val="StyleUnderline"/>
        </w:rPr>
        <w:t xml:space="preserve"> </w:t>
      </w:r>
      <w:r w:rsidRPr="00292257">
        <w:rPr>
          <w:sz w:val="16"/>
        </w:rPr>
        <w:t xml:space="preserve">My argument calls for a sharper consideration of the ‘causal hierarchies’ among colonialism and other historical processes in diverse concrete scenarios.22 I am implying that </w:t>
      </w:r>
      <w:r w:rsidRPr="00292257">
        <w:rPr>
          <w:rStyle w:val="StyleUnderline"/>
        </w:rPr>
        <w:t>by transforming colonialism</w:t>
      </w:r>
      <w:r w:rsidRPr="00292257">
        <w:rPr>
          <w:sz w:val="16"/>
        </w:rPr>
        <w:t xml:space="preserve"> and not capitalism </w:t>
      </w:r>
      <w:r w:rsidRPr="00292257">
        <w:rPr>
          <w:rStyle w:val="StyleUnderline"/>
        </w:rPr>
        <w:t>into the primordial focus of analysis we underestimate the current importance of nation-states and their elites</w:t>
      </w:r>
      <w:r w:rsidRPr="00292257">
        <w:rPr>
          <w:sz w:val="16"/>
        </w:rPr>
        <w:t xml:space="preserve">, as well as deviate from under- standing the particular characteristics of the power relations of the current relationships between nation-states and the world system. In some places, these relationships are 200 years old or more, if we include in our list the US, the first politically independent modern republic. </w:t>
      </w:r>
      <w:r w:rsidRPr="00292257">
        <w:rPr>
          <w:rStyle w:val="StyleUnderline"/>
        </w:rPr>
        <w:t>Isn’t this a sufficient amount of time to create particular interests and dynamics that are central to the construction of any future scenario?</w:t>
      </w:r>
      <w:r w:rsidRPr="00292257">
        <w:rPr>
          <w:sz w:val="16"/>
        </w:rPr>
        <w:t xml:space="preserve"> If one of the aims of critical theory is to overcome an unjust past and contribute to the construction of a different future, then utopias are a most important object of desire in the progressive intellectual scene. While I am favourable to ideological struggles*without them it wouldn’t be possible to denaturalize the naturalized present*</w:t>
      </w:r>
      <w:r w:rsidRPr="00292257">
        <w:rPr>
          <w:rStyle w:val="Emphasis"/>
        </w:rPr>
        <w:t xml:space="preserve">I want to advocate for more utopian struggles in a juncture where there is a dearth of future scenarios strong enough </w:t>
      </w:r>
      <w:r w:rsidRPr="00292257">
        <w:rPr>
          <w:rStyle w:val="Emphasis"/>
        </w:rPr>
        <w:lastRenderedPageBreak/>
        <w:t>to galvanize the imagination of a great number of political actors</w:t>
      </w:r>
      <w:r w:rsidRPr="00292257">
        <w:rPr>
          <w:rStyle w:val="StyleUnderline"/>
        </w:rPr>
        <w:t>.</w:t>
      </w:r>
      <w:r w:rsidRPr="00292257">
        <w:rPr>
          <w:sz w:val="16"/>
        </w:rPr>
        <w:t xml:space="preserve"> This is one of the reasons why I offered the notion of post-imperialism. Living in a world region that has a longstanding experience with imperialism*in its soft and hard expressions*the imagining of life after imperialism can prove to be an exercise in creativity and audacity*qualities many times denied to the ‘subalterns’.In order to clarify how different colonial enterprises may be experienced in history and how they may shape different senses of the future I will recur to a reading of the Brazilian postcolonial and national history. My arguments suppose that colonialist ‘structural power’ coexists not only with world system forces but also with the rise of post-colonial projects that may congeal and prompt the nationality of power.</w:t>
      </w:r>
    </w:p>
    <w:p w:rsidR="005027D7" w:rsidRPr="00292257" w:rsidRDefault="005027D7" w:rsidP="005027D7">
      <w:pPr>
        <w:pStyle w:val="Heading2"/>
      </w:pPr>
      <w:r w:rsidRPr="00292257">
        <w:lastRenderedPageBreak/>
        <w:t>AT Ontology</w:t>
      </w:r>
    </w:p>
    <w:p w:rsidR="005027D7" w:rsidRPr="00292257" w:rsidRDefault="005027D7" w:rsidP="005027D7">
      <w:pPr>
        <w:pStyle w:val="Heading4"/>
      </w:pPr>
      <w:r w:rsidRPr="00292257">
        <w:t xml:space="preserve">Reject an ontologized understanding of settler colonial violence – Settler Colonial society’s move for “empty lands” denies Indigenous populations corporeal existence. </w:t>
      </w:r>
    </w:p>
    <w:p w:rsidR="005027D7" w:rsidRPr="00292257" w:rsidRDefault="005027D7" w:rsidP="005027D7">
      <w:r w:rsidRPr="00292257">
        <w:rPr>
          <w:rStyle w:val="Style13ptBold"/>
        </w:rPr>
        <w:t xml:space="preserve">Day 15 </w:t>
      </w:r>
      <w:r w:rsidRPr="00292257">
        <w:t xml:space="preserve">Iyko Day, “Being or Nothingness: Indigeneity, Antiblackness, and Settler Colonial Critique”, Critical Ethnic Studies , Vol. 1, No. 2 (Fall 2015), pp. 102-121, University of Minnesota Press, </w:t>
      </w:r>
      <w:hyperlink r:id="rId24" w:history="1">
        <w:r w:rsidRPr="00292257">
          <w:rPr>
            <w:rStyle w:val="Hyperlink"/>
          </w:rPr>
          <w:t>https://www.jstor.org/stable/10.5749/jcritethnstud.1.2.0102</w:t>
        </w:r>
      </w:hyperlink>
      <w:r w:rsidRPr="00292257">
        <w:t>, /MegLak</w:t>
      </w:r>
    </w:p>
    <w:p w:rsidR="005027D7" w:rsidRPr="00292257" w:rsidRDefault="005027D7" w:rsidP="005027D7">
      <w:pPr>
        <w:rPr>
          <w:rStyle w:val="StyleUnderline"/>
        </w:rPr>
      </w:pPr>
      <w:r w:rsidRPr="00292257">
        <w:rPr>
          <w:sz w:val="16"/>
        </w:rPr>
        <w:t xml:space="preserve">Beyond this inconsistency, </w:t>
      </w:r>
      <w:r w:rsidRPr="00292257">
        <w:rPr>
          <w:rStyle w:val="StyleUnderline"/>
        </w:rPr>
        <w:t>the liberal multiculturalist agenda</w:t>
      </w:r>
      <w:r w:rsidRPr="00292257">
        <w:rPr>
          <w:sz w:val="16"/>
        </w:rPr>
        <w:t xml:space="preserve"> that Wilderson and Sexton </w:t>
      </w:r>
      <w:r w:rsidRPr="00292257">
        <w:rPr>
          <w:rStyle w:val="StyleUnderline"/>
        </w:rPr>
        <w:t>project(ed) into Indigenous sovereignty willfully evacuates any Indigenous refusal of a colonial politics of recognition</w:t>
      </w:r>
      <w:r w:rsidRPr="00292257">
        <w:rPr>
          <w:sz w:val="16"/>
        </w:rPr>
        <w:t xml:space="preserve">. Among other broad strokes, Sexton states, “as a rule, Native Studies reproduces the dominant liberal political narrative of emancipation and enfranchisement.”46 This provides a basis for Wilderson’s assertion that Indigenous sovereignty engages in a liberal politics of state legitimation through recognition be- cause “treaties are forms of articulation” that buttress “the interlocutory life of America as a coherent (albeit genocidal) idea.”47 But such </w:t>
      </w:r>
      <w:r w:rsidRPr="00292257">
        <w:rPr>
          <w:rStyle w:val="StyleUnderline"/>
        </w:rPr>
        <w:t>a depoliticized liberal project is frankly incompatible with Indigenous activism and scholarship that emerges from Native studies in North America.</w:t>
      </w:r>
      <w:r w:rsidRPr="00292257">
        <w:rPr>
          <w:sz w:val="16"/>
        </w:rPr>
        <w:t xml:space="preserve"> The main argument in Glen Sean Coulthard’s book Red Skin, White Masks is to categorically reject “the liberal recognition-based approach to Indigenous self- determination.”48 </w:t>
      </w:r>
      <w:r w:rsidRPr="00292257">
        <w:rPr>
          <w:rStyle w:val="StyleUnderline"/>
        </w:rPr>
        <w:t>This is not a politics of legitimizing Indigenous nations through state recognition but rather one of refusal, a refusal to be recognized and thus interpellated by the settler colonial nation-state.</w:t>
      </w:r>
      <w:r w:rsidRPr="00292257">
        <w:rPr>
          <w:sz w:val="16"/>
        </w:rPr>
        <w:t xml:space="preserve"> Drawing on Fanon, </w:t>
      </w:r>
      <w:r w:rsidRPr="00292257">
        <w:rPr>
          <w:rStyle w:val="StyleUnderline"/>
        </w:rPr>
        <w:t>Coulthard describes the “necessity on the part of the oppressed to ‘turn away’ from their other-oriented master-dependency, and to instead struggle for freedom on their own terms and in accordance with their own values.”</w:t>
      </w:r>
      <w:r w:rsidRPr="00292257">
        <w:rPr>
          <w:sz w:val="16"/>
        </w:rPr>
        <w:t xml:space="preserve">49 </w:t>
      </w:r>
      <w:r w:rsidRPr="00292257">
        <w:rPr>
          <w:rStyle w:val="StyleUnderline"/>
        </w:rPr>
        <w:t>It is also difficult to reconcile the depoliticized narrative of “resurgence and recovery”</w:t>
      </w:r>
      <w:r w:rsidRPr="00292257">
        <w:rPr>
          <w:sz w:val="16"/>
        </w:rPr>
        <w:t xml:space="preserve"> that Wilderson and Sexton </w:t>
      </w:r>
      <w:r w:rsidRPr="00292257">
        <w:rPr>
          <w:rStyle w:val="StyleUnderline"/>
        </w:rPr>
        <w:t>attribute to Indigenous sovereignty in the face of Idle No More, the anticapitalist Indigenous sovereignty movement in Canada whose national railway and highway blockades have seriously destabilized the expropriation of natural resources for the global market.</w:t>
      </w:r>
      <w:r w:rsidRPr="00292257">
        <w:rPr>
          <w:sz w:val="16"/>
        </w:rPr>
        <w:t xml:space="preserve"> </w:t>
      </w:r>
      <w:r w:rsidRPr="00292257">
        <w:rPr>
          <w:rStyle w:val="StyleUnderline"/>
        </w:rPr>
        <w:t>These are</w:t>
      </w:r>
      <w:r w:rsidRPr="00292257">
        <w:rPr>
          <w:sz w:val="16"/>
        </w:rPr>
        <w:t xml:space="preserve"> examples that Coulthard describes as </w:t>
      </w:r>
      <w:r w:rsidRPr="00292257">
        <w:rPr>
          <w:rStyle w:val="StyleUnderline"/>
        </w:rPr>
        <w:t>“direct action” rather than negotiation—in other words, antagonism, not conflict resolution:</w:t>
      </w:r>
      <w:r w:rsidRPr="00292257">
        <w:rPr>
          <w:sz w:val="16"/>
        </w:rPr>
        <w:t xml:space="preserve"> They [blockades]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 These modes of direct action . . . seek to have a negative impact on the economic infrastructure that is core to the colonial accumulation of capital in settler-political economies like Canada’s.50 These tactics are part of what Audra Simpson calls a “cartography of refusal” that “negates the authority of the other’s gaze.”51 It is impossible to frame the blockade movement, which has become the greatest threat to Canada’s resource agenda,52 as a struggle for “enfranchisement</w:t>
      </w:r>
      <w:r w:rsidRPr="00292257">
        <w:rPr>
          <w:rStyle w:val="StyleUnderline"/>
        </w:rPr>
        <w:t>.” Idle No More is</w:t>
      </w:r>
      <w:r w:rsidRPr="00292257">
        <w:rPr>
          <w:sz w:val="16"/>
        </w:rPr>
        <w:t xml:space="preserve"> not in “conflict” with the Canadian nation-state; it is in </w:t>
      </w:r>
      <w:r w:rsidRPr="00292257">
        <w:rPr>
          <w:rStyle w:val="StyleUnderline"/>
        </w:rPr>
        <w:t>a struggle against the very premise of settler colonial capitalism that requires the elimination of Indigenous peoples.</w:t>
      </w:r>
      <w:r w:rsidRPr="00292257">
        <w:rPr>
          <w:sz w:val="16"/>
        </w:rPr>
        <w:t xml:space="preserve"> As Coulthard states unambiguously, “For Indigenous nations to live, capitalism must die.”53 </w:t>
      </w:r>
      <w:r w:rsidRPr="00292257">
        <w:rPr>
          <w:rStyle w:val="StyleUnderline"/>
        </w:rPr>
        <w:t>But perhaps my own defense of Indigenous decolonization movements for sovereignty begs a larger question about whether sovereignty in itself offers a radical politics that can encompass or mobilize a black radical tradition rooted in the project of abolition</w:t>
      </w:r>
      <w:r w:rsidRPr="00292257">
        <w:rPr>
          <w:sz w:val="16"/>
        </w:rPr>
        <w:t xml:space="preserve">. And it is here that I agree with Sexton’s intervention to problematize the idea that antiracist agendas must emerge from the foundational priority of Indigenous sovereignty and restoration of land.54 But against the totalizing frame of Afro-pessimism, </w:t>
      </w:r>
      <w:r w:rsidRPr="00292257">
        <w:rPr>
          <w:rStyle w:val="StyleUnderline"/>
        </w:rPr>
        <w:t>I want to stress instead the pitfalls of any antidialectical approach to the political economy of the settler colonial racial state</w:t>
      </w:r>
      <w:r w:rsidRPr="00292257">
        <w:rPr>
          <w:sz w:val="16"/>
        </w:rPr>
        <w:t xml:space="preserve"> from the position of either Indigenous or antiblack exceptionalism. </w:t>
      </w:r>
      <w:r w:rsidRPr="00292257">
        <w:rPr>
          <w:rStyle w:val="StyleUnderline"/>
        </w:rPr>
        <w:t>Settler colonial racial capitalism is not a thing but a social relation</w:t>
      </w:r>
      <w:r w:rsidRPr="00292257">
        <w:rPr>
          <w:sz w:val="16"/>
        </w:rPr>
        <w:t xml:space="preserve">. As such, it is not produced out of the causal relationships that Sexton puts forward here: “Slavery, as it were, precedes and prepares the way for colonialism, its forebear or fundament or support. Colonialism, as it were, the issue or heir of slavery, its outgrowth or edifice or monument.”55 </w:t>
      </w:r>
      <w:r w:rsidRPr="00292257">
        <w:rPr>
          <w:rStyle w:val="StyleUnderline"/>
        </w:rPr>
        <w:t xml:space="preserve">The nearly totalizing black </w:t>
      </w:r>
      <w:r w:rsidRPr="00292257">
        <w:rPr>
          <w:rStyle w:val="StyleUnderline"/>
        </w:rPr>
        <w:lastRenderedPageBreak/>
        <w:t>existential frame is similarly based on a questionable construction of epistemic privilege: [black existence] does relate to the totality; it indicates the (repressed) truth of the political and economic system.</w:t>
      </w:r>
      <w:r w:rsidRPr="00292257">
        <w:rPr>
          <w:sz w:val="16"/>
        </w:rPr>
        <w:t xml:space="preserve">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queer.56 According to Sexton, no other oppression is reducible to antiblackness, but </w:t>
      </w:r>
      <w:r w:rsidRPr="00292257">
        <w:rPr>
          <w:rStyle w:val="StyleUnderline"/>
        </w:rPr>
        <w:t xml:space="preserve">the relative totality of antiblackness is the privileged perspective from which to understand racial formation more broadly. </w:t>
      </w:r>
      <w:r w:rsidRPr="00292257">
        <w:rPr>
          <w:sz w:val="16"/>
        </w:rPr>
        <w:t xml:space="preserve">But </w:t>
      </w:r>
      <w:r w:rsidRPr="00292257">
        <w:rPr>
          <w:rStyle w:val="StyleUnderline"/>
        </w:rPr>
        <w:t>unlike the way feminist and queer critical theory interrogate heteropatriarchy from a subjectless standpoint, Sexton’s entire point seems to rest on the very specificity and singularity—rather than subjectlessness—of black critical theory’s capacity to understand race.</w:t>
      </w:r>
      <w:r w:rsidRPr="00292257">
        <w:rPr>
          <w:sz w:val="16"/>
        </w:rPr>
        <w:t xml:space="preserve"> The privilege of </w:t>
      </w:r>
      <w:r w:rsidRPr="00292257">
        <w:rPr>
          <w:rStyle w:val="StyleUnderline"/>
        </w:rPr>
        <w:t>this embodied viewpoint similarly relies on rigidly binaristic conceptions of land and bodily integrity.</w:t>
      </w:r>
      <w:r w:rsidRPr="00292257">
        <w:rPr>
          <w:sz w:val="16"/>
        </w:rPr>
        <w:t xml:space="preserve"> He writes, “If the indigenous relation to land precedes and exceeds any regime of property, then the slave’s inhabitation of the earth precedes and exceeds any prior relation to land—landlessness. And selflessness is the correlate. No ground for identity, no ground to stand (on).”57 In other words, the slave’s nonrelation to her body precedes and exceeds any other body’s relation to land. However</w:t>
      </w:r>
      <w:r w:rsidRPr="00292257">
        <w:rPr>
          <w:rStyle w:val="StyleUnderline"/>
        </w:rPr>
        <w:t xml:space="preserve">, the settler colonial designation of the United States and Canada as terra nullius—as legally empty lands—denies the very corporeality of Indigenous populations to inhabit land, much less have any rights to it. Alongside genocidal elimination, the erasure of Indigenous corporeal existence is inseparable from the ground it doesn’t stand on, or is removed from. </w:t>
      </w:r>
    </w:p>
    <w:p w:rsidR="0069609A" w:rsidRPr="00292257" w:rsidRDefault="0069609A" w:rsidP="0069609A">
      <w:pPr>
        <w:pStyle w:val="Heading4"/>
      </w:pPr>
      <w:r w:rsidRPr="00292257">
        <w:t>Their analytic is too abstracted and conflates a metaphysical constant with discrete events of oppression</w:t>
      </w:r>
    </w:p>
    <w:p w:rsidR="0069609A" w:rsidRPr="00292257" w:rsidRDefault="0069609A" w:rsidP="0069609A">
      <w:r w:rsidRPr="00292257">
        <w:rPr>
          <w:rStyle w:val="Style13ptBold"/>
        </w:rPr>
        <w:t>Pappas 17</w:t>
      </w:r>
      <w:r w:rsidRPr="00292257">
        <w:t xml:space="preserve"> – PhD, Associate Professor of Philosophy at Texas A&amp; M University (Gregory, “The Limitations and Dangers of Decolonial Philosophies: Lessons from Zapatista Luis Villoro,” </w:t>
      </w:r>
      <w:r w:rsidRPr="00292257">
        <w:rPr>
          <w:i/>
        </w:rPr>
        <w:t>Radical Philosophy Review</w:t>
      </w:r>
      <w:r w:rsidRPr="00292257">
        <w:t>, DOI: 10.5840/radphilrev201732768) --- ability edited</w:t>
      </w:r>
    </w:p>
    <w:p w:rsidR="0069609A" w:rsidRPr="00292257" w:rsidRDefault="0069609A" w:rsidP="0069609A">
      <w:pPr>
        <w:rPr>
          <w:rStyle w:val="StyleUnderline"/>
        </w:rPr>
      </w:pPr>
      <w:r w:rsidRPr="00292257">
        <w:rPr>
          <w:sz w:val="14"/>
        </w:rPr>
        <w:t xml:space="preserve">For decolonialists the sickness that afflicts Latin America is the global hegemony—economic, military, political, and cultural—of the West, first via Europe and then the United States, broadcast under the philosophy of the Enlightenment with Europe carrying the mission. As Vallega explains, “Latin America suffered and continues to suffer under western hegemonic modernity and its system of power and knowledge.”19 Villoro believed that at the turn of the twentieth century </w:t>
      </w:r>
      <w:r w:rsidRPr="00292257">
        <w:rPr>
          <w:rStyle w:val="StyleUnderline"/>
        </w:rPr>
        <w:t>one of the modern ideas we inherited that must be questioned is “global explanations” because “general ideologies tend to slip into totalitarianism in our thinking.”</w:t>
      </w:r>
      <w:r w:rsidRPr="00292257">
        <w:rPr>
          <w:sz w:val="14"/>
        </w:rPr>
        <w:t xml:space="preserve">20 I think Villoro’s reservations are warranted and can be extended to decolonial thought. Granted, </w:t>
      </w:r>
      <w:r w:rsidRPr="00292257">
        <w:rPr>
          <w:rStyle w:val="StyleUnderline"/>
        </w:rPr>
        <w:t xml:space="preserve">a theory of grand historical evil and systematic sickness in the Americas can have great explanatory power and provide theoretical comfort,21 </w:t>
      </w:r>
      <w:r w:rsidRPr="00292257">
        <w:rPr>
          <w:rStyle w:val="Emphasis"/>
        </w:rPr>
        <w:t>but</w:t>
      </w:r>
      <w:r w:rsidRPr="00292257">
        <w:rPr>
          <w:rStyle w:val="StyleUnderline"/>
        </w:rPr>
        <w:t xml:space="preserve"> </w:t>
      </w:r>
      <w:r w:rsidRPr="00292257">
        <w:rPr>
          <w:sz w:val="14"/>
        </w:rPr>
        <w:t>where are we standing when we start with such large historical metanarratives?</w:t>
      </w:r>
      <w:r w:rsidRPr="00292257">
        <w:rPr>
          <w:rStyle w:val="StyleUnderline"/>
        </w:rPr>
        <w:t xml:space="preserve"> </w:t>
      </w:r>
      <w:r w:rsidRPr="00292257">
        <w:rPr>
          <w:rStyle w:val="Emphasis"/>
        </w:rPr>
        <w:t>How is it this not a God’s-eye view of history?</w:t>
      </w:r>
      <w:r w:rsidRPr="00292257">
        <w:rPr>
          <w:rStyle w:val="StyleUnderline"/>
        </w:rPr>
        <w:t xml:space="preserve"> </w:t>
      </w:r>
      <w:r w:rsidRPr="00292257">
        <w:rPr>
          <w:sz w:val="14"/>
        </w:rPr>
        <w:t xml:space="preserve">Is there a danger of </w:t>
      </w:r>
      <w:r w:rsidRPr="00292257">
        <w:rPr>
          <w:rStyle w:val="StyleUnderline"/>
        </w:rPr>
        <w:t xml:space="preserve">slipping back into a form of universalism, which they have explicitly avoided? Isn’t there a danger that when a theory explains so much it becomes </w:t>
      </w:r>
      <w:r w:rsidRPr="00292257">
        <w:rPr>
          <w:rStyle w:val="Emphasis"/>
        </w:rPr>
        <w:t>nonfalsifiable and therefore nonempirical?</w:t>
      </w:r>
      <w:r w:rsidRPr="00292257">
        <w:rPr>
          <w:sz w:val="14"/>
        </w:rPr>
        <w:t xml:space="preserve"> In any case, </w:t>
      </w:r>
      <w:r w:rsidRPr="00292257">
        <w:rPr>
          <w:rStyle w:val="StyleUnderline"/>
        </w:rPr>
        <w:t>the</w:t>
      </w:r>
      <w:r w:rsidRPr="00292257">
        <w:rPr>
          <w:sz w:val="14"/>
        </w:rPr>
        <w:t xml:space="preserve"> quest for a</w:t>
      </w:r>
      <w:r w:rsidRPr="00292257">
        <w:rPr>
          <w:rStyle w:val="StyleUnderline"/>
        </w:rPr>
        <w:t xml:space="preserve"> comprehensive explanation</w:t>
      </w:r>
      <w:r w:rsidRPr="00292257">
        <w:rPr>
          <w:sz w:val="14"/>
        </w:rPr>
        <w:t xml:space="preserve"> and a grand historical narrative</w:t>
      </w:r>
      <w:r w:rsidRPr="00292257">
        <w:rPr>
          <w:rStyle w:val="StyleUnderline"/>
        </w:rPr>
        <w:t xml:space="preserve"> is also in danger of not capturing the </w:t>
      </w:r>
      <w:r w:rsidRPr="00292257">
        <w:rPr>
          <w:sz w:val="14"/>
        </w:rPr>
        <w:t>historical and</w:t>
      </w:r>
      <w:r w:rsidRPr="00292257">
        <w:rPr>
          <w:rStyle w:val="StyleUnderline"/>
        </w:rPr>
        <w:t xml:space="preserve"> concrete particularity (pluralism, complexity, uniqueness) of actual injustices. When we start at the broad level of</w:t>
      </w:r>
      <w:r w:rsidRPr="00292257">
        <w:rPr>
          <w:sz w:val="14"/>
        </w:rPr>
        <w:t xml:space="preserve"> globality and</w:t>
      </w:r>
      <w:r w:rsidRPr="00292257">
        <w:rPr>
          <w:rStyle w:val="StyleUnderline"/>
        </w:rPr>
        <w:t xml:space="preserve"> history as decolonialists</w:t>
      </w:r>
      <w:r w:rsidRPr="00292257">
        <w:rPr>
          <w:sz w:val="14"/>
        </w:rPr>
        <w:t xml:space="preserve"> often </w:t>
      </w:r>
      <w:r w:rsidRPr="00292257">
        <w:rPr>
          <w:rStyle w:val="StyleUnderline"/>
        </w:rPr>
        <w:t xml:space="preserve">do, there is a risk of oversimplifying and encouraging </w:t>
      </w:r>
      <w:r w:rsidRPr="00292257">
        <w:rPr>
          <w:sz w:val="14"/>
        </w:rPr>
        <w:t xml:space="preserve">blindness </w:t>
      </w:r>
      <w:r w:rsidRPr="00292257">
        <w:rPr>
          <w:rStyle w:val="StyleUnderline"/>
        </w:rPr>
        <w:t xml:space="preserve">[ignorance] about concrete injustices. Consulting recent rigorous research </w:t>
      </w:r>
      <w:r w:rsidRPr="00292257">
        <w:rPr>
          <w:sz w:val="14"/>
        </w:rPr>
        <w:t>done by historians and social anthropologist about Latin America (more on this later)</w:t>
      </w:r>
      <w:r w:rsidRPr="00292257">
        <w:rPr>
          <w:rStyle w:val="StyleUnderline"/>
        </w:rPr>
        <w:t xml:space="preserve"> confirms what many know from simply living there: most injustices in different parts of the Americas are </w:t>
      </w:r>
      <w:r w:rsidRPr="00292257">
        <w:rPr>
          <w:rStyle w:val="Emphasis"/>
        </w:rPr>
        <w:t>so complex</w:t>
      </w:r>
      <w:r w:rsidRPr="00292257">
        <w:rPr>
          <w:rStyle w:val="StyleUnderline"/>
        </w:rPr>
        <w:t xml:space="preserve"> that any simple explanation merits the suspicion of being </w:t>
      </w:r>
      <w:r w:rsidRPr="00292257">
        <w:rPr>
          <w:rStyle w:val="Emphasis"/>
        </w:rPr>
        <w:t>wishful</w:t>
      </w:r>
      <w:r w:rsidRPr="00292257">
        <w:rPr>
          <w:rStyle w:val="StyleUnderline"/>
        </w:rPr>
        <w:t xml:space="preserve"> </w:t>
      </w:r>
      <w:r w:rsidRPr="00292257">
        <w:rPr>
          <w:rStyle w:val="Emphasis"/>
        </w:rPr>
        <w:t>thinking</w:t>
      </w:r>
      <w:r w:rsidRPr="00292257">
        <w:rPr>
          <w:rStyle w:val="StyleUnderline"/>
        </w:rPr>
        <w:t xml:space="preserve">. </w:t>
      </w:r>
      <w:r w:rsidRPr="00292257">
        <w:rPr>
          <w:sz w:val="14"/>
        </w:rPr>
        <w:t xml:space="preserve">To be fair, compared to Marxism the decolonial turn added complexity and made a significant shift. Marxism as a tool was not sensitive enough to the realities on the ground in Latin America. It was a universal model that did not adequately address its particular problems. However, decolonialists do not seem to have abandoned or questioned a similar methodological starting point. As a result, decolonial theories may sometimes be presented with the same pretension of offering a universal diagnosis of the complex and tragic problems of Latin America. Perhaps a more pluralistic and context-sensitive approach could avoid some of the dangers I have presented. Here is where the contrast with Villoro is useful. To be sure, Villoro was critical of the same things as the decolonialists: the Eurocentric narrative, modernity, liberalism, and so on. However, when he takes a reflective historical perspective about these large historical and lumpy categories there is a difference in how he does it. He anchors </w:t>
      </w:r>
      <w:r w:rsidRPr="00292257">
        <w:rPr>
          <w:sz w:val="14"/>
        </w:rPr>
        <w:lastRenderedPageBreak/>
        <w:t xml:space="preserve">his account in his local present situation, is very specific about what particular aspects of modernity or liberalism are problematic, and does not have one preferred category of analysis such as coloniality. </w:t>
      </w:r>
      <w:r w:rsidRPr="00292257">
        <w:rPr>
          <w:rStyle w:val="StyleUnderline"/>
        </w:rPr>
        <w:t>For</w:t>
      </w:r>
      <w:r w:rsidRPr="00292257">
        <w:rPr>
          <w:sz w:val="14"/>
        </w:rPr>
        <w:t xml:space="preserve"> most</w:t>
      </w:r>
      <w:r w:rsidRPr="00292257">
        <w:rPr>
          <w:rStyle w:val="StyleUnderline"/>
        </w:rPr>
        <w:t xml:space="preserve"> decolonial theorists, </w:t>
      </w:r>
      <w:r w:rsidRPr="00292257">
        <w:rPr>
          <w:sz w:val="14"/>
        </w:rPr>
        <w:t>however, the legacy of</w:t>
      </w:r>
      <w:r w:rsidRPr="00292257">
        <w:rPr>
          <w:rStyle w:val="StyleUnderline"/>
        </w:rPr>
        <w:t xml:space="preserve"> colonialism is central (understood broadly as coloniality), and the situation of the oppressed is</w:t>
      </w:r>
      <w:r w:rsidRPr="00292257">
        <w:rPr>
          <w:sz w:val="14"/>
        </w:rPr>
        <w:t xml:space="preserve"> to be </w:t>
      </w:r>
      <w:r w:rsidRPr="00292257">
        <w:rPr>
          <w:rStyle w:val="StyleUnderline"/>
        </w:rPr>
        <w:t>analyzed in relation to a global narrative</w:t>
      </w:r>
      <w:r w:rsidRPr="00292257">
        <w:rPr>
          <w:sz w:val="14"/>
        </w:rPr>
        <w:t xml:space="preserve"> in which Europe is at its center or in relation to modernity or a global capitalist system. The decolonial project is centered on detecting plural manifestations of the single evolving domination (a social pathology) that started in 1492. Liberation is understood as decolonization via undoing “the coloniality of power” and affirming what has been “conceal[ed] by the Western modern epistemic hegemony.”22 In contrast, at the center of Villoro’s approach is liberation from domination, and </w:t>
      </w:r>
      <w:r w:rsidRPr="00292257">
        <w:rPr>
          <w:rStyle w:val="StyleUnderline"/>
        </w:rPr>
        <w:t>the causes of domination are</w:t>
      </w:r>
      <w:r w:rsidRPr="00292257">
        <w:rPr>
          <w:sz w:val="14"/>
        </w:rPr>
        <w:t xml:space="preserve"> plural and </w:t>
      </w:r>
      <w:r w:rsidRPr="00292257">
        <w:rPr>
          <w:rStyle w:val="StyleUnderline"/>
        </w:rPr>
        <w:t>contextual and therefore too complex to be</w:t>
      </w:r>
      <w:r w:rsidRPr="00292257">
        <w:rPr>
          <w:sz w:val="14"/>
        </w:rPr>
        <w:t xml:space="preserve"> articulated or framed by a global theory of domination. For Villoro liberation is a local event; one of its tools is to sometimes take a global perspective, and the complexity of the problems on the ground may not be </w:t>
      </w:r>
      <w:r w:rsidRPr="00292257">
        <w:rPr>
          <w:rStyle w:val="StyleUnderline"/>
        </w:rPr>
        <w:t>fully captured by even our best academic global historical narratives and categories</w:t>
      </w:r>
      <w:r w:rsidRPr="00292257">
        <w:rPr>
          <w:sz w:val="14"/>
        </w:rPr>
        <w:t xml:space="preserve">. He inquired into the history of a systematic injustice in order to facilitate inquiry into the present unique, context-bound injustice. If injustice is an illness then Villoro’s approach takes as its main focus diagnosing and treating the particular present illness, i.e., the particular injustice in a corner of Mexico, and not a global “social pathology” or some single transhistorical source of injustice. As concepts and categories, global hierarchies, white supremacy, and coloniality can be great tools that can have planetary significance. One could even argue that they pick out much-larger areas of people’s lives and injustices than the categories of class and gender. However, in spite of their reach and explanatory theoretical value they are nothing more than tools to make reference to and ameliorate particular injustices experienced (suffered) in the midst of a particular and unique relationship in a situation. Why is this important? </w:t>
      </w:r>
      <w:r w:rsidRPr="00292257">
        <w:rPr>
          <w:rStyle w:val="StyleUnderline"/>
        </w:rPr>
        <w:t>In present situations</w:t>
      </w:r>
      <w:r w:rsidRPr="00292257">
        <w:rPr>
          <w:sz w:val="14"/>
        </w:rPr>
        <w:t xml:space="preserve"> (events) of injustice in the Americas </w:t>
      </w:r>
      <w:r w:rsidRPr="00292257">
        <w:rPr>
          <w:rStyle w:val="StyleUnderline"/>
        </w:rPr>
        <w:t>there are not only intersecting histories of white supremacy, capitalist exploitation, and patriarchy; there are also unique events</w:t>
      </w:r>
      <w:r w:rsidRPr="00292257">
        <w:rPr>
          <w:sz w:val="14"/>
        </w:rPr>
        <w:t>, multiple countries</w:t>
      </w:r>
      <w:r w:rsidRPr="00292257">
        <w:rPr>
          <w:rStyle w:val="StyleUnderline"/>
        </w:rPr>
        <w:t xml:space="preserve"> with different complex histories </w:t>
      </w:r>
      <w:r w:rsidRPr="00292257">
        <w:rPr>
          <w:sz w:val="14"/>
        </w:rPr>
        <w:t xml:space="preserve">and present circumstances, </w:t>
      </w:r>
      <w:r w:rsidRPr="00292257">
        <w:rPr>
          <w:rStyle w:val="StyleUnderline"/>
        </w:rPr>
        <w:t>as well as a variety of responsible agents</w:t>
      </w:r>
      <w:r w:rsidRPr="00292257">
        <w:rPr>
          <w:sz w:val="14"/>
        </w:rPr>
        <w:t>—local and international governments, corporations, particular individuals and communities.</w:t>
      </w:r>
      <w:r w:rsidRPr="00292257">
        <w:rPr>
          <w:rStyle w:val="StyleUnderline"/>
        </w:rPr>
        <w:t xml:space="preserve"> Regardless of how much </w:t>
      </w:r>
      <w:r w:rsidRPr="00292257">
        <w:rPr>
          <w:sz w:val="14"/>
        </w:rPr>
        <w:t xml:space="preserve">a theory of global domination that centers on </w:t>
      </w:r>
      <w:r w:rsidRPr="00292257">
        <w:rPr>
          <w:rStyle w:val="StyleUnderline"/>
        </w:rPr>
        <w:t>coloniality can actually explain, it is reasonable to worry about what it leaves out and question the extent to which it really helps those who are victims of injustice</w:t>
      </w:r>
      <w:r w:rsidRPr="00292257">
        <w:rPr>
          <w:sz w:val="14"/>
        </w:rPr>
        <w:t>. A wider net may bring more fish from the ocean, but I am not sure this applies to injustices.</w:t>
      </w:r>
      <w:r w:rsidRPr="00292257">
        <w:rPr>
          <w:rStyle w:val="StyleUnderline"/>
        </w:rPr>
        <w:t xml:space="preserve"> Such theories may lead to analysis</w:t>
      </w:r>
      <w:r w:rsidRPr="00292257">
        <w:rPr>
          <w:sz w:val="14"/>
        </w:rPr>
        <w:t xml:space="preserve"> or diagnosis </w:t>
      </w:r>
      <w:r w:rsidRPr="00292257">
        <w:rPr>
          <w:rStyle w:val="StyleUnderline"/>
        </w:rPr>
        <w:t xml:space="preserve">that while true at some level, may </w:t>
      </w:r>
      <w:r w:rsidRPr="00292257">
        <w:rPr>
          <w:sz w:val="14"/>
        </w:rPr>
        <w:t>actually</w:t>
      </w:r>
      <w:r w:rsidRPr="00292257">
        <w:rPr>
          <w:rStyle w:val="StyleUnderline"/>
        </w:rPr>
        <w:t xml:space="preserve"> have very little to offer in terms of more specific diagnoses and solutions that can be of any help to someone suffering an injustice</w:t>
      </w:r>
      <w:r w:rsidRPr="00292257">
        <w:rPr>
          <w:sz w:val="14"/>
        </w:rPr>
        <w:t xml:space="preserve">. However, for Mignolo coloniality is “the underlying logic of the foundation and unfolding of Western civilization from the Renaissance to today”23 </w:t>
      </w:r>
      <w:r w:rsidRPr="00292257">
        <w:rPr>
          <w:rStyle w:val="StyleUnderline"/>
        </w:rPr>
        <w:t xml:space="preserve">Coloniality helps explain how race and gender became the basis of classification in the Americas, but it remains an open question how these categories actually operate in particular countries or even in particular unjust events. We can say all we want that the oppressed live in power structures located in global hierarchies and a world-system, but that does not fully capture where they are. However useful and true that account may be about someone’s particular circumstances, it is still </w:t>
      </w:r>
      <w:r w:rsidRPr="00292257">
        <w:rPr>
          <w:rStyle w:val="Emphasis"/>
        </w:rPr>
        <w:t>overabstracted</w:t>
      </w:r>
      <w:r w:rsidRPr="00292257">
        <w:rPr>
          <w:rStyle w:val="StyleUnderline"/>
        </w:rPr>
        <w:t xml:space="preserve">. Knowing </w:t>
      </w:r>
      <w:r w:rsidRPr="00292257">
        <w:rPr>
          <w:sz w:val="14"/>
        </w:rPr>
        <w:t>how people have been classified according to</w:t>
      </w:r>
      <w:r w:rsidRPr="00292257">
        <w:rPr>
          <w:rStyle w:val="StyleUnderline"/>
        </w:rPr>
        <w:t xml:space="preserve"> a colonial matrix of power is important, but only insofar as it may help us inquire about the present actual causes of an injustice</w:t>
      </w:r>
      <w:r w:rsidRPr="00292257">
        <w:rPr>
          <w:sz w:val="14"/>
        </w:rPr>
        <w:t xml:space="preserve">. Moreover, </w:t>
      </w:r>
      <w:r w:rsidRPr="00292257">
        <w:rPr>
          <w:rStyle w:val="StyleUnderline"/>
        </w:rPr>
        <w:t>it is not obvious how the use of a single</w:t>
      </w:r>
      <w:r w:rsidRPr="00292257">
        <w:rPr>
          <w:sz w:val="14"/>
        </w:rPr>
        <w:t xml:space="preserve"> name and the </w:t>
      </w:r>
      <w:r w:rsidRPr="00292257">
        <w:rPr>
          <w:rStyle w:val="StyleUnderline"/>
        </w:rPr>
        <w:t>prism</w:t>
      </w:r>
      <w:r w:rsidRPr="00292257">
        <w:rPr>
          <w:sz w:val="14"/>
        </w:rPr>
        <w:t xml:space="preserve"> of a single cause </w:t>
      </w:r>
      <w:r w:rsidRPr="00292257">
        <w:rPr>
          <w:rStyle w:val="StyleUnderline"/>
        </w:rPr>
        <w:t>helps in trying to ameliorate the particular and context-specific evils from which particular countries and people</w:t>
      </w:r>
      <w:r w:rsidRPr="00292257">
        <w:rPr>
          <w:sz w:val="14"/>
        </w:rPr>
        <w:t xml:space="preserve"> in Latin America </w:t>
      </w:r>
      <w:r w:rsidRPr="00292257">
        <w:rPr>
          <w:rStyle w:val="StyleUnderline"/>
        </w:rPr>
        <w:t>suffer</w:t>
      </w:r>
      <w:r w:rsidRPr="00292257">
        <w:rPr>
          <w:sz w:val="14"/>
        </w:rPr>
        <w:t xml:space="preserve">. One could reply that my worries are misplaced. Calling decolonization the cure may suggest that coloniality is some sort of single homogeneous cause, but the </w:t>
      </w:r>
      <w:r w:rsidRPr="00292257">
        <w:rPr>
          <w:rStyle w:val="StyleUnderline"/>
        </w:rPr>
        <w:t>decolonialists have distinguished between different types of coloniality and have included in their diagnosis a plurality of causes such as exploitation of resources, political manipulation, and assimilation of people from other cultures</w:t>
      </w:r>
      <w:r w:rsidRPr="00292257">
        <w:rPr>
          <w:sz w:val="14"/>
        </w:rPr>
        <w:t>. If this is the case then why not address these more particular evils, unless one is really committed to some unitary account in which all of these evils can be reduced to a singular cause?</w:t>
      </w:r>
      <w:r w:rsidRPr="00292257">
        <w:rPr>
          <w:rStyle w:val="StyleUnderline"/>
        </w:rPr>
        <w:t xml:space="preserve"> </w:t>
      </w:r>
    </w:p>
    <w:p w:rsidR="00962A87" w:rsidRPr="00292257" w:rsidRDefault="00962A87" w:rsidP="00962A87">
      <w:pPr>
        <w:pStyle w:val="Heading4"/>
      </w:pPr>
      <w:r w:rsidRPr="00292257">
        <w:t>Reifying settler colonialism as transhistorical and inevita</w:t>
      </w:r>
      <w:r w:rsidRPr="00292257">
        <w:t>ble makes resistance impossible</w:t>
      </w:r>
    </w:p>
    <w:p w:rsidR="00962A87" w:rsidRPr="00292257" w:rsidRDefault="00962A87" w:rsidP="00962A87">
      <w:r w:rsidRPr="00292257">
        <w:t xml:space="preserve">Corey </w:t>
      </w:r>
      <w:r w:rsidRPr="00292257">
        <w:rPr>
          <w:rStyle w:val="Style13ptBold"/>
        </w:rPr>
        <w:t>SNELGROVE ET AL.</w:t>
      </w:r>
      <w:r w:rsidRPr="00292257">
        <w:t xml:space="preserve">, University of British Columbia; Rita Kaur Dhamoon, University of Victoria; and Jeff Corntassel, University of Victoria, </w:t>
      </w:r>
      <w:r w:rsidRPr="00292257">
        <w:rPr>
          <w:rStyle w:val="Style13ptBold"/>
        </w:rPr>
        <w:t>14</w:t>
      </w:r>
      <w:r w:rsidRPr="00292257">
        <w:t xml:space="preserve"> [“Unsettling settler colonialism: The discourse and politics of settlers, and solidarity with Indigenous nations,” </w:t>
      </w:r>
      <w:r w:rsidRPr="00292257">
        <w:rPr>
          <w:i/>
        </w:rPr>
        <w:t xml:space="preserve">Decolonization: </w:t>
      </w:r>
      <w:r w:rsidRPr="00292257">
        <w:rPr>
          <w:i/>
        </w:rPr>
        <w:lastRenderedPageBreak/>
        <w:t>Indigeneity, Education &amp; Society</w:t>
      </w:r>
      <w:r w:rsidRPr="00292257">
        <w:t>, Vol. 3, No. 2, 2014, p. 1-32, http://decolonization.org/index.php/des/article/view/21166/17970]</w:t>
      </w:r>
    </w:p>
    <w:p w:rsidR="00962A87" w:rsidRPr="00292257" w:rsidRDefault="00962A87" w:rsidP="00962A87">
      <w:pPr>
        <w:rPr>
          <w:sz w:val="16"/>
        </w:rPr>
      </w:pPr>
      <w:r w:rsidRPr="00292257">
        <w:rPr>
          <w:rStyle w:val="StyleUnderline"/>
        </w:rPr>
        <w:t>Rita</w:t>
      </w:r>
      <w:r w:rsidRPr="00292257">
        <w:rPr>
          <w:sz w:val="16"/>
        </w:rPr>
        <w:t xml:space="preserve">: Corey, your question is helpful, and Jeff’s response also helps me think through the movement between time-situated and place-based practices of ‘solidarity’ and ways of thinking about these </w:t>
      </w:r>
      <w:r w:rsidRPr="00292257">
        <w:rPr>
          <w:rStyle w:val="StyleUnderline"/>
        </w:rPr>
        <w:t>situated practices in terms of an ethos of ‘unsettled solidarities’</w:t>
      </w:r>
      <w:r w:rsidRPr="00292257">
        <w:rPr>
          <w:sz w:val="16"/>
        </w:rPr>
        <w:t xml:space="preserve"> that moves across time and space, that </w:t>
      </w:r>
      <w:r w:rsidRPr="00292257">
        <w:rPr>
          <w:rStyle w:val="StyleUnderline"/>
        </w:rPr>
        <w:t>is a way of being in the world, a set of ongoing relations</w:t>
      </w:r>
      <w:r w:rsidRPr="00292257">
        <w:rPr>
          <w:sz w:val="16"/>
        </w:rPr>
        <w:t xml:space="preserve">. Where I, </w:t>
      </w:r>
      <w:r w:rsidRPr="00292257">
        <w:rPr>
          <w:rStyle w:val="StyleUnderline"/>
        </w:rPr>
        <w:t>where we</w:t>
      </w:r>
      <w:r w:rsidRPr="00292257">
        <w:rPr>
          <w:sz w:val="16"/>
        </w:rPr>
        <w:t xml:space="preserve">, </w:t>
      </w:r>
      <w:r w:rsidRPr="00292257">
        <w:rPr>
          <w:rStyle w:val="StyleUnderline"/>
        </w:rPr>
        <w:t xml:space="preserve">are </w:t>
      </w:r>
      <w:r w:rsidRPr="00292257">
        <w:rPr>
          <w:rStyle w:val="Emphasis"/>
        </w:rPr>
        <w:t>never outside of struggle</w:t>
      </w:r>
      <w:r w:rsidRPr="00292257">
        <w:rPr>
          <w:rStyle w:val="StyleUnderline"/>
        </w:rPr>
        <w:t>, everyone is ‘structurally implicated’ in the dispossession of Indigenous lands. Everyone is differentially</w:t>
      </w:r>
      <w:r w:rsidRPr="00292257">
        <w:rPr>
          <w:sz w:val="16"/>
        </w:rPr>
        <w:t xml:space="preserve"> structurally </w:t>
      </w:r>
      <w:r w:rsidRPr="00292257">
        <w:rPr>
          <w:rStyle w:val="StyleUnderline"/>
        </w:rPr>
        <w:t>implicated, where the ideology of presumed consent underlies settler colonialism</w:t>
      </w:r>
      <w:r w:rsidRPr="00292257">
        <w:rPr>
          <w:sz w:val="16"/>
        </w:rPr>
        <w:t>.</w:t>
      </w:r>
    </w:p>
    <w:p w:rsidR="00962A87" w:rsidRPr="00292257" w:rsidRDefault="00962A87" w:rsidP="00962A87">
      <w:pPr>
        <w:rPr>
          <w:sz w:val="16"/>
        </w:rPr>
      </w:pPr>
      <w:r w:rsidRPr="00292257">
        <w:rPr>
          <w:rStyle w:val="StyleUnderline"/>
        </w:rPr>
        <w:t>Jeff</w:t>
      </w:r>
      <w:r w:rsidRPr="00292257">
        <w:rPr>
          <w:sz w:val="16"/>
        </w:rPr>
        <w:t xml:space="preserve">: I would add that </w:t>
      </w:r>
      <w:r w:rsidRPr="00292257">
        <w:rPr>
          <w:rStyle w:val="StyleUnderline"/>
        </w:rPr>
        <w:t>living on another Indigenous nation’s territory</w:t>
      </w:r>
      <w:r w:rsidRPr="00292257">
        <w:rPr>
          <w:sz w:val="16"/>
        </w:rPr>
        <w:t xml:space="preserve"> also </w:t>
      </w:r>
      <w:r w:rsidRPr="00292257">
        <w:rPr>
          <w:rStyle w:val="StyleUnderline"/>
        </w:rPr>
        <w:t>carries an obligation to support those defending their homelands</w:t>
      </w:r>
      <w:r w:rsidRPr="00292257">
        <w:rPr>
          <w:sz w:val="16"/>
        </w:rPr>
        <w:t xml:space="preserve">. Cheryl </w:t>
      </w:r>
      <w:r w:rsidRPr="00292257">
        <w:rPr>
          <w:rStyle w:val="StyleUnderline"/>
        </w:rPr>
        <w:t>Bryce from Songhees First Nation started the “Community Tool Shed”</w:t>
      </w:r>
      <w:r w:rsidRPr="00292257">
        <w:rPr>
          <w:sz w:val="16"/>
        </w:rPr>
        <w:t xml:space="preserve"> in 2009 </w:t>
      </w:r>
      <w:r w:rsidRPr="00292257">
        <w:rPr>
          <w:rStyle w:val="StyleUnderline"/>
        </w:rPr>
        <w:t>to generate support for the restoration of Lekwungen food systems. The Community Tool Shed</w:t>
      </w:r>
      <w:r w:rsidRPr="00292257">
        <w:rPr>
          <w:sz w:val="16"/>
        </w:rPr>
        <w:t xml:space="preserve"> in Victoria, British Columbia, </w:t>
      </w:r>
      <w:r w:rsidRPr="00292257">
        <w:rPr>
          <w:rStyle w:val="StyleUnderline"/>
        </w:rPr>
        <w:t>is where settlers and Indigenous peoples can come together to rid the land of invasive species</w:t>
      </w:r>
      <w:r w:rsidRPr="00292257">
        <w:rPr>
          <w:sz w:val="16"/>
        </w:rPr>
        <w:t xml:space="preserve">, such as Scottish Broom, and to revitalize traditional plants such as kwetlal or camas. </w:t>
      </w:r>
      <w:r w:rsidRPr="00292257">
        <w:rPr>
          <w:rStyle w:val="StyleUnderline"/>
        </w:rPr>
        <w:t>Cheryl’s focus for this</w:t>
      </w:r>
      <w:r w:rsidRPr="00292257">
        <w:rPr>
          <w:sz w:val="16"/>
        </w:rPr>
        <w:t xml:space="preserve"> informal </w:t>
      </w:r>
      <w:r w:rsidRPr="00292257">
        <w:rPr>
          <w:rStyle w:val="StyleUnderline"/>
        </w:rPr>
        <w:t>group is on reclaiming traditional place names, educating people about the destructiveness of invasive species, and reinstating Lekwungen food systems</w:t>
      </w:r>
      <w:r w:rsidRPr="00292257">
        <w:rPr>
          <w:sz w:val="16"/>
        </w:rPr>
        <w:t xml:space="preserve">. The tool shed meets once per month to pull invasive species on places that have been managed by Cheryl’s family for generations, such as Meegan (aka, Beacon Hill Park), and Sitchamalth (Willows Beach). </w:t>
      </w:r>
      <w:r w:rsidRPr="00292257">
        <w:rPr>
          <w:rStyle w:val="StyleUnderline"/>
        </w:rPr>
        <w:t xml:space="preserve">To a ‘resident’ of Lekwungen homelands, the above-mentioned places are public lands. This demonstrates the urgency of </w:t>
      </w:r>
      <w:r w:rsidRPr="00292257">
        <w:rPr>
          <w:rStyle w:val="Emphasis"/>
        </w:rPr>
        <w:t>reclaiming Indigenous place names</w:t>
      </w:r>
      <w:r w:rsidRPr="00292257">
        <w:rPr>
          <w:rStyle w:val="StyleUnderline"/>
        </w:rPr>
        <w:t xml:space="preserve"> in tandem with the restoration of Indigenous foodscapes and landscapes</w:t>
      </w:r>
      <w:r w:rsidRPr="00292257">
        <w:rPr>
          <w:sz w:val="16"/>
        </w:rPr>
        <w:t xml:space="preserve">. The May 22, 2013 </w:t>
      </w:r>
      <w:r w:rsidRPr="00292257">
        <w:rPr>
          <w:rStyle w:val="StyleUnderline"/>
        </w:rPr>
        <w:t>reclamation of the name PKOLS</w:t>
      </w:r>
      <w:r w:rsidRPr="00292257">
        <w:rPr>
          <w:sz w:val="16"/>
        </w:rPr>
        <w:t xml:space="preserve"> (formerly known as Mount Douglas) </w:t>
      </w:r>
      <w:r w:rsidRPr="00292257">
        <w:rPr>
          <w:rStyle w:val="StyleUnderline"/>
        </w:rPr>
        <w:t xml:space="preserve">is one of many examples where communities can come together to demand representation on their own terms. These are </w:t>
      </w:r>
      <w:r w:rsidRPr="00292257">
        <w:rPr>
          <w:rStyle w:val="Emphasis"/>
        </w:rPr>
        <w:t>everyday acts of resurgence</w:t>
      </w:r>
      <w:r w:rsidRPr="00292257">
        <w:rPr>
          <w:rStyle w:val="StyleUnderline"/>
        </w:rPr>
        <w:t xml:space="preserve"> that highlight the terrain of Indigenous struggles to restore and reconnect a place-based existence</w:t>
      </w:r>
      <w:r w:rsidRPr="00292257">
        <w:rPr>
          <w:sz w:val="16"/>
        </w:rPr>
        <w:t>.</w:t>
      </w:r>
    </w:p>
    <w:p w:rsidR="00962A87" w:rsidRPr="00292257" w:rsidRDefault="00962A87" w:rsidP="00962A87">
      <w:pPr>
        <w:rPr>
          <w:sz w:val="16"/>
        </w:rPr>
      </w:pPr>
      <w:r w:rsidRPr="00292257">
        <w:rPr>
          <w:rStyle w:val="StyleUnderline"/>
        </w:rPr>
        <w:t>Corey</w:t>
      </w:r>
      <w:r w:rsidRPr="00292257">
        <w:rPr>
          <w:sz w:val="16"/>
        </w:rPr>
        <w:t xml:space="preserve">: And </w:t>
      </w:r>
      <w:r w:rsidRPr="00292257">
        <w:rPr>
          <w:rStyle w:val="StyleUnderline"/>
        </w:rPr>
        <w:t>both examples</w:t>
      </w:r>
      <w:r w:rsidRPr="00292257">
        <w:rPr>
          <w:sz w:val="16"/>
        </w:rPr>
        <w:t xml:space="preserve"> you highlighted Jeff </w:t>
      </w:r>
      <w:r w:rsidRPr="00292257">
        <w:rPr>
          <w:rStyle w:val="Emphasis"/>
        </w:rPr>
        <w:t>do not foreclose a wide-range of participants</w:t>
      </w:r>
      <w:r w:rsidRPr="00292257">
        <w:rPr>
          <w:rStyle w:val="StyleUnderline"/>
        </w:rPr>
        <w:t>. The PKOLS reclamation led by the W̱ SÁNEĆ peoples, involved participation from Indigenous peoples across</w:t>
      </w:r>
      <w:r w:rsidRPr="00292257">
        <w:rPr>
          <w:sz w:val="16"/>
        </w:rPr>
        <w:t xml:space="preserve"> Vancouver Island and across </w:t>
      </w:r>
      <w:r w:rsidRPr="00292257">
        <w:rPr>
          <w:rStyle w:val="StyleUnderline"/>
        </w:rPr>
        <w:t>Turtle Island, it involved the university through the Indigenous Governance program, and it involved local, non-Indigenous, activist groups</w:t>
      </w:r>
      <w:r w:rsidRPr="00292257">
        <w:rPr>
          <w:sz w:val="16"/>
        </w:rPr>
        <w:t xml:space="preserve">, most notably Social Coast. </w:t>
      </w:r>
      <w:r w:rsidRPr="00292257">
        <w:rPr>
          <w:rStyle w:val="StyleUnderline"/>
        </w:rPr>
        <w:t>The Community Tool Shed</w:t>
      </w:r>
      <w:r w:rsidRPr="00292257">
        <w:rPr>
          <w:sz w:val="16"/>
        </w:rPr>
        <w:t xml:space="preserve">, a project that I’ve also been involved in for the past two years, </w:t>
      </w:r>
      <w:r w:rsidRPr="00292257">
        <w:rPr>
          <w:rStyle w:val="StyleUnderline"/>
        </w:rPr>
        <w:t>does something similar</w:t>
      </w:r>
      <w:r w:rsidRPr="00292257">
        <w:rPr>
          <w:sz w:val="16"/>
        </w:rPr>
        <w:t xml:space="preserve">. What I find really interesting in this work is that </w:t>
      </w:r>
      <w:r w:rsidRPr="00292257">
        <w:rPr>
          <w:rStyle w:val="StyleUnderline"/>
        </w:rPr>
        <w:t>settlers and Indigenous peoples challenge our environmentally degraded and colonial present simultaneously. Yet, there is still attention paid to the different roles and responsibilities in this work</w:t>
      </w:r>
      <w:r w:rsidRPr="00292257">
        <w:rPr>
          <w:sz w:val="16"/>
        </w:rPr>
        <w:t xml:space="preserve">. For instance, non-Lekwungen people in removing invasive species, and Lekwungen people in managing these lands and in harvesting plants such as camas. So unlike other stewardship groups around Victoria, </w:t>
      </w:r>
      <w:r w:rsidRPr="00292257">
        <w:rPr>
          <w:rStyle w:val="StyleUnderline"/>
        </w:rPr>
        <w:t>those participating are not seeking to depoliticize this work, nor do they argue that this work erases their complicity or their potential complicity in colonization</w:t>
      </w:r>
      <w:r w:rsidRPr="00292257">
        <w:rPr>
          <w:sz w:val="16"/>
        </w:rPr>
        <w:t xml:space="preserve">. In supporting Cheryl’s assertion of her roles and responsibilities, they aren’t seeking to restore land in order to claim it for themselves. They aren’t Locke redux. And, given the nature and extent of Broom here – you find it pretty much everywhere around Southern Vancouver Island, something like 18,000 seeds are produced in a single plant, and those seeds can lie dormant for up to thirty years – pulling broom one time really does not mean much. So </w:t>
      </w:r>
      <w:r w:rsidRPr="00292257">
        <w:rPr>
          <w:rStyle w:val="StyleUnderline"/>
        </w:rPr>
        <w:t xml:space="preserve">there is a demand for long- term work, which itself can help build accountability through such place-based relationships. And since land is the irreducible element of settler colonialism, and that environmental degradation has often proceeded through and in support of settler colonialism, it provides an example of non-Indigenous practices with the land that </w:t>
      </w:r>
      <w:r w:rsidRPr="00292257">
        <w:rPr>
          <w:rStyle w:val="Emphasis"/>
        </w:rPr>
        <w:t>aren’t necessarily colonial</w:t>
      </w:r>
      <w:r w:rsidRPr="00292257">
        <w:rPr>
          <w:sz w:val="16"/>
        </w:rPr>
        <w:t xml:space="preserve">. Now I’m not saying that this is an example of decolonization or that those involved are somehow not settlers. After all, decolonization and the transformation of settlers requires subjective and objective transformations. </w:t>
      </w:r>
      <w:r w:rsidRPr="00292257">
        <w:rPr>
          <w:sz w:val="16"/>
        </w:rPr>
        <w:lastRenderedPageBreak/>
        <w:t xml:space="preserve">Rather </w:t>
      </w:r>
      <w:r w:rsidRPr="00292257">
        <w:rPr>
          <w:rStyle w:val="StyleUnderline"/>
        </w:rPr>
        <w:t xml:space="preserve">it’s a practice that </w:t>
      </w:r>
      <w:r w:rsidRPr="00292257">
        <w:rPr>
          <w:rStyle w:val="Emphasis"/>
        </w:rPr>
        <w:t>does not reify colonization</w:t>
      </w:r>
      <w:r w:rsidRPr="00292257">
        <w:rPr>
          <w:rStyle w:val="StyleUnderline"/>
        </w:rPr>
        <w:t xml:space="preserve">, and thus </w:t>
      </w:r>
      <w:r w:rsidRPr="00292257">
        <w:rPr>
          <w:rStyle w:val="Emphasis"/>
        </w:rPr>
        <w:t>challenges</w:t>
      </w:r>
      <w:r w:rsidRPr="00292257">
        <w:rPr>
          <w:rStyle w:val="StyleUnderline"/>
        </w:rPr>
        <w:t xml:space="preserve"> settler colonial studies </w:t>
      </w:r>
      <w:r w:rsidRPr="00292257">
        <w:rPr>
          <w:rStyle w:val="Emphasis"/>
        </w:rPr>
        <w:t>construction</w:t>
      </w:r>
      <w:r w:rsidRPr="00292257">
        <w:rPr>
          <w:rStyle w:val="StyleUnderline"/>
        </w:rPr>
        <w:t xml:space="preserve"> of settler colonialism as </w:t>
      </w:r>
      <w:r w:rsidRPr="00292257">
        <w:rPr>
          <w:rStyle w:val="Emphasis"/>
        </w:rPr>
        <w:t>inevitable and transhistorical</w:t>
      </w:r>
      <w:r w:rsidRPr="00292257">
        <w:rPr>
          <w:sz w:val="16"/>
        </w:rPr>
        <w:t>.</w:t>
      </w:r>
    </w:p>
    <w:p w:rsidR="00962A87" w:rsidRPr="00292257" w:rsidRDefault="00962A87" w:rsidP="00962A87"/>
    <w:p w:rsidR="00962A87" w:rsidRPr="00292257" w:rsidRDefault="00962A87" w:rsidP="00962A87">
      <w:pPr>
        <w:rPr>
          <w:sz w:val="16"/>
        </w:rPr>
      </w:pPr>
    </w:p>
    <w:p w:rsidR="00962A87" w:rsidRPr="00292257" w:rsidRDefault="00962A87" w:rsidP="00962A87"/>
    <w:p w:rsidR="00962A87" w:rsidRPr="00292257" w:rsidRDefault="00962A87" w:rsidP="00962A87">
      <w:pPr>
        <w:pStyle w:val="Heading4"/>
      </w:pPr>
      <w:r w:rsidRPr="00292257">
        <w:t>Ontologizing the settler-native binary entrenches critique into moralized outrage while precluding affective alliances from forming to pursue decolonization.</w:t>
      </w:r>
    </w:p>
    <w:p w:rsidR="00962A87" w:rsidRPr="00292257" w:rsidRDefault="00962A87" w:rsidP="00962A87">
      <w:r w:rsidRPr="00292257">
        <w:t xml:space="preserve">Rachel </w:t>
      </w:r>
      <w:r w:rsidRPr="00292257">
        <w:rPr>
          <w:rStyle w:val="Style13ptBold"/>
        </w:rPr>
        <w:t>BUSBRIDGE</w:t>
      </w:r>
      <w:r w:rsidRPr="00292257">
        <w:t xml:space="preserve">, Alexander von Humboldt Postdoctoral Fellow in Institut für Islamwissenschaft (Institute of Islamic Studies), Freie Universität Berlin, </w:t>
      </w:r>
      <w:r w:rsidRPr="00292257">
        <w:rPr>
          <w:rStyle w:val="Style13ptBold"/>
        </w:rPr>
        <w:t>17</w:t>
      </w:r>
      <w:r w:rsidRPr="00292257">
        <w:t xml:space="preserve"> [“Israel-Palestine and the Settler Colonial ‘Turn’: From Interpretation to Decolonization,” </w:t>
      </w:r>
      <w:r w:rsidRPr="00292257">
        <w:rPr>
          <w:i/>
        </w:rPr>
        <w:t>Theory, Culture &amp; Society</w:t>
      </w:r>
      <w:r w:rsidRPr="00292257">
        <w:t>, First Published: January 23, 2017, p. 1-25, Accessed Online through Emory Libraries]</w:t>
      </w:r>
    </w:p>
    <w:p w:rsidR="00962A87" w:rsidRPr="007C233A" w:rsidRDefault="00962A87" w:rsidP="00962A87">
      <w:pPr>
        <w:rPr>
          <w:sz w:val="16"/>
        </w:rPr>
      </w:pPr>
      <w:r w:rsidRPr="00292257">
        <w:rPr>
          <w:sz w:val="16"/>
        </w:rPr>
        <w:t xml:space="preserve">By way of conclusion, however, </w:t>
      </w:r>
      <w:r w:rsidRPr="00292257">
        <w:rPr>
          <w:rStyle w:val="StyleUnderline"/>
        </w:rPr>
        <w:t>I would like to point towards the challenges of the settler colonial paradigm’s insistence on an ontology of absolute polarity of settler and native for the types of political mobilizations and struggles it could inaugurate</w:t>
      </w:r>
      <w:r w:rsidRPr="00292257">
        <w:rPr>
          <w:sz w:val="16"/>
        </w:rPr>
        <w:t xml:space="preserve">. To be sure, </w:t>
      </w:r>
      <w:r w:rsidRPr="00292257">
        <w:rPr>
          <w:rStyle w:val="StyleUnderline"/>
        </w:rPr>
        <w:t>there are immense difficulties in reckoning with heterogeneity in seemingly permanent structures of settler colonialism which</w:t>
      </w:r>
      <w:r w:rsidRPr="00292257">
        <w:rPr>
          <w:sz w:val="16"/>
        </w:rPr>
        <w:t xml:space="preserve"> all too easily </w:t>
      </w:r>
      <w:r w:rsidRPr="00292257">
        <w:rPr>
          <w:rStyle w:val="StyleUnderline"/>
        </w:rPr>
        <w:t xml:space="preserve">assimilate </w:t>
      </w:r>
      <w:r w:rsidRPr="00292257">
        <w:rPr>
          <w:rStyle w:val="Emphasis"/>
        </w:rPr>
        <w:t>nuance into legitimation</w:t>
      </w:r>
      <w:r w:rsidRPr="00292257">
        <w:rPr>
          <w:sz w:val="16"/>
        </w:rPr>
        <w:t xml:space="preserve">; these difficulties are only amplified in the context of long-term intractable conflict like that in Israel-Palestine. </w:t>
      </w:r>
      <w:r w:rsidRPr="00292257">
        <w:rPr>
          <w:rStyle w:val="StyleUnderline"/>
        </w:rPr>
        <w:t>Yet</w:t>
      </w:r>
      <w:r w:rsidRPr="00292257">
        <w:rPr>
          <w:sz w:val="16"/>
        </w:rPr>
        <w:t xml:space="preserve">, as Joyce Dalsheim (2013) has argued in the context of Israeli settlers, </w:t>
      </w:r>
      <w:r w:rsidRPr="00292257">
        <w:rPr>
          <w:rStyle w:val="StyleUnderline"/>
        </w:rPr>
        <w:t xml:space="preserve">the </w:t>
      </w:r>
      <w:r w:rsidRPr="00292257">
        <w:rPr>
          <w:rStyle w:val="Emphasis"/>
        </w:rPr>
        <w:t>entrenchment</w:t>
      </w:r>
      <w:r w:rsidRPr="00292257">
        <w:rPr>
          <w:rStyle w:val="StyleUnderline"/>
        </w:rPr>
        <w:t xml:space="preserve"> of polarized discourse means that we often </w:t>
      </w:r>
      <w:r w:rsidRPr="00292257">
        <w:rPr>
          <w:rStyle w:val="Emphasis"/>
        </w:rPr>
        <w:t>miss alternative models</w:t>
      </w:r>
      <w:r w:rsidRPr="00292257">
        <w:rPr>
          <w:rStyle w:val="StyleUnderline"/>
        </w:rPr>
        <w:t xml:space="preserve"> of political community that may better serve the project of decolonization. It would</w:t>
      </w:r>
      <w:r w:rsidRPr="00292257">
        <w:rPr>
          <w:sz w:val="16"/>
        </w:rPr>
        <w:t xml:space="preserve"> certainly </w:t>
      </w:r>
      <w:r w:rsidRPr="00292257">
        <w:rPr>
          <w:rStyle w:val="StyleUnderline"/>
        </w:rPr>
        <w:t xml:space="preserve">be a shame for the paradigm’s inconsistencies regarding a decolonization effectively rendered impossible to stand against its broader resonance, just as it would the disciplinary dimensions of the settler colonial ontology to </w:t>
      </w:r>
      <w:r w:rsidRPr="00292257">
        <w:rPr>
          <w:rStyle w:val="Emphasis"/>
        </w:rPr>
        <w:t>shut down debate</w:t>
      </w:r>
      <w:r w:rsidRPr="00292257">
        <w:rPr>
          <w:sz w:val="16"/>
        </w:rPr>
        <w:t xml:space="preserve"> – </w:t>
      </w:r>
      <w:r w:rsidRPr="00292257">
        <w:rPr>
          <w:rStyle w:val="StyleUnderline"/>
        </w:rPr>
        <w:t>or</w:t>
      </w:r>
      <w:r w:rsidRPr="00292257">
        <w:rPr>
          <w:sz w:val="16"/>
        </w:rPr>
        <w:t xml:space="preserve">, indeed, </w:t>
      </w:r>
      <w:r w:rsidRPr="00292257">
        <w:rPr>
          <w:rStyle w:val="StyleUnderline"/>
        </w:rPr>
        <w:t>joint mobilization</w:t>
      </w:r>
      <w:r w:rsidRPr="00292257">
        <w:rPr>
          <w:sz w:val="16"/>
        </w:rPr>
        <w:t xml:space="preserve"> – </w:t>
      </w:r>
      <w:r w:rsidRPr="00292257">
        <w:rPr>
          <w:rStyle w:val="StyleUnderline"/>
        </w:rPr>
        <w:t>between those broadly on the same page</w:t>
      </w:r>
      <w:r w:rsidRPr="00292257">
        <w:rPr>
          <w:sz w:val="16"/>
        </w:rPr>
        <w:t xml:space="preserve"> concerning Palestine. In his work on joint Arab-Jewish activism, Marcelo Svirsky (2014: 328) maintains that </w:t>
      </w:r>
      <w:r w:rsidRPr="00292257">
        <w:rPr>
          <w:rStyle w:val="StyleUnderline"/>
        </w:rPr>
        <w:t>what settler colonial studies needs ‘is a corrective ontology and an affective change of heart’</w:t>
      </w:r>
      <w:r w:rsidRPr="00292257">
        <w:rPr>
          <w:sz w:val="16"/>
        </w:rPr>
        <w:t xml:space="preserve">. I thus end with the caution that </w:t>
      </w:r>
      <w:r w:rsidRPr="00292257">
        <w:rPr>
          <w:rStyle w:val="StyleUnderline"/>
        </w:rPr>
        <w:t xml:space="preserve">without this affective change in heart the settler colonial paradigm may continue to facilitate transnational solidarity and international sympathy, but may ultimately </w:t>
      </w:r>
      <w:r w:rsidRPr="00292257">
        <w:rPr>
          <w:rStyle w:val="Emphasis"/>
        </w:rPr>
        <w:t>fail to extend</w:t>
      </w:r>
      <w:r w:rsidRPr="00292257">
        <w:rPr>
          <w:rStyle w:val="StyleUnderline"/>
        </w:rPr>
        <w:t xml:space="preserve"> beyond a politics of moral outrage</w:t>
      </w:r>
      <w:r w:rsidRPr="00292257">
        <w:rPr>
          <w:sz w:val="16"/>
        </w:rPr>
        <w:t>.</w:t>
      </w:r>
    </w:p>
    <w:p w:rsidR="009A069E" w:rsidRPr="005027D7" w:rsidRDefault="009A069E" w:rsidP="005027D7"/>
    <w:sectPr w:rsidR="009A069E" w:rsidRPr="005027D7"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7230" w:rsidRDefault="00617230" w:rsidP="00E06EF0">
      <w:pPr>
        <w:spacing w:after="0" w:line="240" w:lineRule="auto"/>
      </w:pPr>
      <w:r>
        <w:separator/>
      </w:r>
    </w:p>
  </w:endnote>
  <w:endnote w:type="continuationSeparator" w:id="0">
    <w:p w:rsidR="00617230" w:rsidRDefault="00617230" w:rsidP="00E06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7230" w:rsidRDefault="00617230" w:rsidP="00E06EF0">
      <w:pPr>
        <w:spacing w:after="0" w:line="240" w:lineRule="auto"/>
      </w:pPr>
      <w:r>
        <w:separator/>
      </w:r>
    </w:p>
  </w:footnote>
  <w:footnote w:type="continuationSeparator" w:id="0">
    <w:p w:rsidR="00617230" w:rsidRDefault="00617230" w:rsidP="00E06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027D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4A71"/>
    <w:rsid w:val="00100B28"/>
    <w:rsid w:val="00116627"/>
    <w:rsid w:val="00117316"/>
    <w:rsid w:val="001209B4"/>
    <w:rsid w:val="00165ADB"/>
    <w:rsid w:val="001761FC"/>
    <w:rsid w:val="00182655"/>
    <w:rsid w:val="001840F2"/>
    <w:rsid w:val="00185134"/>
    <w:rsid w:val="00185302"/>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2739"/>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3F7B"/>
    <w:rsid w:val="002843B2"/>
    <w:rsid w:val="00284ED6"/>
    <w:rsid w:val="00290C5A"/>
    <w:rsid w:val="00290C92"/>
    <w:rsid w:val="00292257"/>
    <w:rsid w:val="0029647A"/>
    <w:rsid w:val="00296504"/>
    <w:rsid w:val="002B5511"/>
    <w:rsid w:val="002B7ACF"/>
    <w:rsid w:val="002B7D8E"/>
    <w:rsid w:val="002D54EB"/>
    <w:rsid w:val="002E0643"/>
    <w:rsid w:val="002E392E"/>
    <w:rsid w:val="002E6BBC"/>
    <w:rsid w:val="002F1BA9"/>
    <w:rsid w:val="002F6E74"/>
    <w:rsid w:val="00305313"/>
    <w:rsid w:val="003106B3"/>
    <w:rsid w:val="00310FE2"/>
    <w:rsid w:val="0031385D"/>
    <w:rsid w:val="003171AB"/>
    <w:rsid w:val="003223B2"/>
    <w:rsid w:val="00322A67"/>
    <w:rsid w:val="00330E13"/>
    <w:rsid w:val="00335A23"/>
    <w:rsid w:val="003377F8"/>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7D7"/>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61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59F8"/>
    <w:rsid w:val="005C74A6"/>
    <w:rsid w:val="005D3B4D"/>
    <w:rsid w:val="005D615C"/>
    <w:rsid w:val="005E1860"/>
    <w:rsid w:val="005F063B"/>
    <w:rsid w:val="005F192D"/>
    <w:rsid w:val="005F24C8"/>
    <w:rsid w:val="005F26AF"/>
    <w:rsid w:val="00607D6C"/>
    <w:rsid w:val="006109EA"/>
    <w:rsid w:val="0061383D"/>
    <w:rsid w:val="00614D69"/>
    <w:rsid w:val="00617030"/>
    <w:rsid w:val="00617230"/>
    <w:rsid w:val="00621301"/>
    <w:rsid w:val="0062173F"/>
    <w:rsid w:val="006235FB"/>
    <w:rsid w:val="00626A15"/>
    <w:rsid w:val="006379E9"/>
    <w:rsid w:val="006438CB"/>
    <w:rsid w:val="006529B9"/>
    <w:rsid w:val="00654695"/>
    <w:rsid w:val="0065500A"/>
    <w:rsid w:val="00655217"/>
    <w:rsid w:val="0065727C"/>
    <w:rsid w:val="0066663C"/>
    <w:rsid w:val="00674A78"/>
    <w:rsid w:val="0069609A"/>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2A87"/>
    <w:rsid w:val="00963065"/>
    <w:rsid w:val="0097151F"/>
    <w:rsid w:val="00973777"/>
    <w:rsid w:val="00976E78"/>
    <w:rsid w:val="009775C0"/>
    <w:rsid w:val="00981F23"/>
    <w:rsid w:val="00990634"/>
    <w:rsid w:val="00991733"/>
    <w:rsid w:val="00992078"/>
    <w:rsid w:val="00992BE3"/>
    <w:rsid w:val="009A069E"/>
    <w:rsid w:val="009A1467"/>
    <w:rsid w:val="009A6464"/>
    <w:rsid w:val="009B02F0"/>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17A"/>
    <w:rsid w:val="00A65C0B"/>
    <w:rsid w:val="00A776BA"/>
    <w:rsid w:val="00A81FD2"/>
    <w:rsid w:val="00A8441A"/>
    <w:rsid w:val="00A8674A"/>
    <w:rsid w:val="00A96E24"/>
    <w:rsid w:val="00AA6F6E"/>
    <w:rsid w:val="00AB122B"/>
    <w:rsid w:val="00AB21B0"/>
    <w:rsid w:val="00AB48D3"/>
    <w:rsid w:val="00AC4AE1"/>
    <w:rsid w:val="00AE0243"/>
    <w:rsid w:val="00AE1BAD"/>
    <w:rsid w:val="00AE2124"/>
    <w:rsid w:val="00AE24BC"/>
    <w:rsid w:val="00AE3E3F"/>
    <w:rsid w:val="00AF2516"/>
    <w:rsid w:val="00AF4760"/>
    <w:rsid w:val="00AF4E71"/>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B7302"/>
    <w:rsid w:val="00BC0ABE"/>
    <w:rsid w:val="00BC30DB"/>
    <w:rsid w:val="00BC64FF"/>
    <w:rsid w:val="00BC7C37"/>
    <w:rsid w:val="00BD2244"/>
    <w:rsid w:val="00BE51C1"/>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6CA2"/>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6648"/>
    <w:rsid w:val="00DF1210"/>
    <w:rsid w:val="00DF31E9"/>
    <w:rsid w:val="00DF400D"/>
    <w:rsid w:val="00DF5C23"/>
    <w:rsid w:val="00E01DAD"/>
    <w:rsid w:val="00E021DC"/>
    <w:rsid w:val="00E03F91"/>
    <w:rsid w:val="00E064EF"/>
    <w:rsid w:val="00E064F2"/>
    <w:rsid w:val="00E06EF0"/>
    <w:rsid w:val="00E0717B"/>
    <w:rsid w:val="00E15598"/>
    <w:rsid w:val="00E20D65"/>
    <w:rsid w:val="00E353A2"/>
    <w:rsid w:val="00E36881"/>
    <w:rsid w:val="00E42E4C"/>
    <w:rsid w:val="00E47013"/>
    <w:rsid w:val="00E541F9"/>
    <w:rsid w:val="00E57B79"/>
    <w:rsid w:val="00E63419"/>
    <w:rsid w:val="00E64496"/>
    <w:rsid w:val="00E72115"/>
    <w:rsid w:val="00E74220"/>
    <w:rsid w:val="00E81E1E"/>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09C8"/>
    <w:rsid w:val="00FA56F6"/>
    <w:rsid w:val="00FB329D"/>
    <w:rsid w:val="00FC27E3"/>
    <w:rsid w:val="00FC74C7"/>
    <w:rsid w:val="00FD451D"/>
    <w:rsid w:val="00FD5B22"/>
    <w:rsid w:val="00FE1B01"/>
    <w:rsid w:val="00FE4E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0CBB7"/>
  <w14:defaultImageDpi w14:val="300"/>
  <w15:docId w15:val="{E5137574-5F7F-E34C-BBC1-C0932CAF5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6663C"/>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6666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6663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no"/>
    <w:basedOn w:val="Normal"/>
    <w:next w:val="Normal"/>
    <w:link w:val="Heading3Char"/>
    <w:uiPriority w:val="9"/>
    <w:unhideWhenUsed/>
    <w:qFormat/>
    <w:rsid w:val="0066663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Ch,Heading 2 Char2 Char,Heading 2 Char1 Char Char,No Spacing1,No Spacing11,No Spacing111,No Spacing112,No Spacing1121,No Spacing2,Debate Text,Read stuff,No Spacing4,No Spacing21,CD - Cite, Ch,small text,t"/>
    <w:basedOn w:val="Normal"/>
    <w:next w:val="Normal"/>
    <w:link w:val="Heading4Char"/>
    <w:uiPriority w:val="99"/>
    <w:unhideWhenUsed/>
    <w:qFormat/>
    <w:rsid w:val="0066663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666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663C"/>
  </w:style>
  <w:style w:type="character" w:customStyle="1" w:styleId="Heading1Char">
    <w:name w:val="Heading 1 Char"/>
    <w:aliases w:val="Pocket Char"/>
    <w:basedOn w:val="DefaultParagraphFont"/>
    <w:link w:val="Heading1"/>
    <w:uiPriority w:val="9"/>
    <w:rsid w:val="0066663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6663C"/>
    <w:rPr>
      <w:rFonts w:ascii="Calibri" w:eastAsiaTheme="majorEastAsia" w:hAnsi="Calibri" w:cstheme="majorBidi"/>
      <w:b/>
      <w:bCs/>
      <w:sz w:val="44"/>
      <w:szCs w:val="44"/>
      <w:u w:val="double"/>
    </w:rPr>
  </w:style>
  <w:style w:type="character" w:customStyle="1" w:styleId="Heading3Char">
    <w:name w:val="Heading 3 Char"/>
    <w:aliases w:val="Block Char,Author and Date Char,AuthorDate Char,Char Char Char Char Char Char Char Char,Heading 3 Char Char Char, Char Char Char, Char Char Char Char Char Char Char Char, Char Char1,Tag Char Char Char,Bold Cite Char1,Cite 1 Char,Char Char"/>
    <w:basedOn w:val="DefaultParagraphFont"/>
    <w:link w:val="Heading3"/>
    <w:uiPriority w:val="9"/>
    <w:rsid w:val="0066663C"/>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Ch Char,Heading 2 Char2 Char Char,Heading 2 Char1 Char Char Char,No Spacing1 Char,No Spacing11 Char,No Spacing111 Char,No Spacing112 Char,No Spacing1121 Char,No Spacing2 Char"/>
    <w:basedOn w:val="DefaultParagraphFont"/>
    <w:link w:val="Heading4"/>
    <w:uiPriority w:val="9"/>
    <w:rsid w:val="0066663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6663C"/>
    <w:rPr>
      <w:b/>
      <w:sz w:val="26"/>
      <w:u w:val="none"/>
    </w:rPr>
  </w:style>
  <w:style w:type="character" w:customStyle="1" w:styleId="StyleUnderline">
    <w:name w:val="Style Underline"/>
    <w:aliases w:val="Intense Emphasis,Underline,Style Bold Underline,Intense Emphasis1,Style,apple-style-span + 6 pt,Bold,Kern at 16 pt,Intense Emphasis2,HHeading 3 + 12 pt,Bold Cite Char,Intense Emphasis11,ci,c,Intense Emphasis111,Bo,B,Underline Char,cite,8"/>
    <w:basedOn w:val="DefaultParagraphFont"/>
    <w:uiPriority w:val="6"/>
    <w:qFormat/>
    <w:rsid w:val="0066663C"/>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s"/>
    <w:basedOn w:val="DefaultParagraphFont"/>
    <w:link w:val="textbold"/>
    <w:uiPriority w:val="7"/>
    <w:qFormat/>
    <w:rsid w:val="0066663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6663C"/>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Tags v 2 Char1,T"/>
    <w:basedOn w:val="DefaultParagraphFont"/>
    <w:uiPriority w:val="99"/>
    <w:unhideWhenUsed/>
    <w:rsid w:val="0066663C"/>
    <w:rPr>
      <w:color w:val="auto"/>
      <w:u w:val="none"/>
    </w:rPr>
  </w:style>
  <w:style w:type="paragraph" w:styleId="DocumentMap">
    <w:name w:val="Document Map"/>
    <w:basedOn w:val="Normal"/>
    <w:link w:val="DocumentMapChar"/>
    <w:uiPriority w:val="99"/>
    <w:semiHidden/>
    <w:unhideWhenUsed/>
    <w:rsid w:val="0066663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6663C"/>
    <w:rPr>
      <w:rFonts w:ascii="Lucida Grande" w:hAnsi="Lucida Grande" w:cs="Lucida Grande"/>
    </w:rPr>
  </w:style>
  <w:style w:type="paragraph" w:customStyle="1" w:styleId="textbold">
    <w:name w:val="text bold"/>
    <w:basedOn w:val="Normal"/>
    <w:link w:val="Emphasis"/>
    <w:uiPriority w:val="7"/>
    <w:qFormat/>
    <w:rsid w:val="005027D7"/>
    <w:pPr>
      <w:ind w:left="720"/>
      <w:jc w:val="both"/>
    </w:pPr>
    <w:rPr>
      <w:b/>
      <w:iCs/>
      <w:u w:val="single"/>
    </w:rPr>
  </w:style>
  <w:style w:type="paragraph" w:styleId="Revision">
    <w:name w:val="Revision"/>
    <w:hidden/>
    <w:uiPriority w:val="99"/>
    <w:semiHidden/>
    <w:rsid w:val="006109EA"/>
    <w:rPr>
      <w:rFonts w:ascii="Calibri" w:hAnsi="Calibri" w:cs="Calibri"/>
      <w:sz w:val="22"/>
    </w:rPr>
  </w:style>
  <w:style w:type="paragraph" w:customStyle="1" w:styleId="Emphasis1">
    <w:name w:val="Emphasis1"/>
    <w:basedOn w:val="Normal"/>
    <w:uiPriority w:val="20"/>
    <w:qFormat/>
    <w:rsid w:val="00E06EF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Header">
    <w:name w:val="header"/>
    <w:basedOn w:val="Normal"/>
    <w:link w:val="HeaderChar"/>
    <w:uiPriority w:val="99"/>
    <w:unhideWhenUsed/>
    <w:rsid w:val="00E06E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EF0"/>
    <w:rPr>
      <w:rFonts w:ascii="Calibri" w:hAnsi="Calibri" w:cs="Calibri"/>
      <w:sz w:val="22"/>
    </w:rPr>
  </w:style>
  <w:style w:type="paragraph" w:styleId="Footer">
    <w:name w:val="footer"/>
    <w:basedOn w:val="Normal"/>
    <w:link w:val="FooterChar"/>
    <w:uiPriority w:val="99"/>
    <w:unhideWhenUsed/>
    <w:rsid w:val="00E06E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EF0"/>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48452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anifold.umn.edu/read/7ba69a54-7131-4598-9fec-815890725d91/section/06ac5ab1-761c-43da-8a6a-0cb7ecc1760b" TargetMode="External"/><Relationship Id="rId18" Type="http://schemas.openxmlformats.org/officeDocument/2006/relationships/hyperlink" Target="http://digitalcommons.osgoode.yorku.ca/ohlj/vol46/iss3/"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igitalcommons.law.yale.edu/ylpr/vol34/iss2/3" TargetMode="External"/><Relationship Id="rId7" Type="http://schemas.openxmlformats.org/officeDocument/2006/relationships/settings" Target="settings.xml"/><Relationship Id="rId12" Type="http://schemas.openxmlformats.org/officeDocument/2006/relationships/hyperlink" Target="https://manifold.umn.edu/read/7ba69a54-7131-4598-9fec-815890725d91/section/06ac5ab1-761c-43da-8a6a-0cb7ecc1760b" TargetMode="External"/><Relationship Id="rId17" Type="http://schemas.openxmlformats.org/officeDocument/2006/relationships/hyperlink" Target="https://manifold.umn.edu/read/7ba69a54-7131-4598-9fec-815890725d91/section/06ac5ab1-761c-43da-8a6a-0cb7ecc1760b"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manifold.umn.edu/read/7ba69a54-7131-4598-9fec-815890725d91/section/06ac5ab1-761c-43da-8a6a-0cb7ecc1760b" TargetMode="External"/><Relationship Id="rId20" Type="http://schemas.openxmlformats.org/officeDocument/2006/relationships/hyperlink" Target="http://www.elon.edu/e-web/academics/writing_excellence/contest/Contest%20Entry%20Courtney-Lawson%20Essay.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anifold.umn.edu/read/7ba69a54-7131-4598-9fec-815890725d91/section/06ac5ab1-761c-43da-8a6a-0cb7ecc1760b" TargetMode="External"/><Relationship Id="rId24" Type="http://schemas.openxmlformats.org/officeDocument/2006/relationships/hyperlink" Target="https://www.jstor.org/stable/10.5749/jcritethnstud.1.2.0102" TargetMode="External"/><Relationship Id="rId5" Type="http://schemas.openxmlformats.org/officeDocument/2006/relationships/numbering" Target="numbering.xml"/><Relationship Id="rId15" Type="http://schemas.openxmlformats.org/officeDocument/2006/relationships/hyperlink" Target="https://manifold.umn.edu/read/7ba69a54-7131-4598-9fec-815890725d91/section/06ac5ab1-761c-43da-8a6a-0cb7ecc1760b" TargetMode="External"/><Relationship Id="rId23" Type="http://schemas.openxmlformats.org/officeDocument/2006/relationships/hyperlink" Target="http://dx.doi.org/10.1080/13688790.2011.613107" TargetMode="External"/><Relationship Id="rId10" Type="http://schemas.openxmlformats.org/officeDocument/2006/relationships/endnotes" Target="endnotes.xml"/><Relationship Id="rId19" Type="http://schemas.openxmlformats.org/officeDocument/2006/relationships/hyperlink" Target="https://doi.org/10.1080/02185377.2018.151564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nifold.umn.edu/read/7ba69a54-7131-4598-9fec-815890725d91/section/06ac5ab1-761c-43da-8a6a-0cb7ecc1760b" TargetMode="External"/><Relationship Id="rId22" Type="http://schemas.openxmlformats.org/officeDocument/2006/relationships/hyperlink" Target="https://www.jstor.org/stable/10.5749/jcritethnstud.1.2.01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yleesahampt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EA31DDFF-1826-344D-AE16-10783495C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76</Pages>
  <Words>40964</Words>
  <Characters>233496</Characters>
  <Application>Microsoft Office Word</Application>
  <DocSecurity>0</DocSecurity>
  <Lines>1945</Lines>
  <Paragraphs>547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273913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12</cp:revision>
  <dcterms:created xsi:type="dcterms:W3CDTF">2019-07-09T20:41:00Z</dcterms:created>
  <dcterms:modified xsi:type="dcterms:W3CDTF">2019-07-09T20:51:00Z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