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9427D3" w:rsidP="009427D3">
      <w:pPr>
        <w:pStyle w:val="Heading1"/>
      </w:pPr>
      <w:bookmarkStart w:id="0" w:name="_GoBack"/>
      <w:bookmarkEnd w:id="0"/>
      <w:r>
        <w:t>Topicality Core – Arms Sales – UTNIF – 2019</w:t>
      </w:r>
    </w:p>
    <w:p w:rsidR="009427D3" w:rsidRDefault="009427D3" w:rsidP="009427D3">
      <w:pPr>
        <w:pStyle w:val="Heading2"/>
      </w:pPr>
      <w:r>
        <w:t>Arms</w:t>
      </w:r>
    </w:p>
    <w:p w:rsidR="009427D3" w:rsidRDefault="009427D3" w:rsidP="009427D3">
      <w:pPr>
        <w:pStyle w:val="Heading3"/>
      </w:pPr>
      <w:r>
        <w:t xml:space="preserve">Defense Articles and Services </w:t>
      </w:r>
    </w:p>
    <w:p w:rsidR="00F072CF" w:rsidRPr="00F072CF" w:rsidRDefault="00F072CF" w:rsidP="00F072CF">
      <w:pPr>
        <w:pStyle w:val="Heading4"/>
      </w:pPr>
      <w:r>
        <w:t xml:space="preserve">Arms are defense articles, services, and related data – resolution specific evidence </w:t>
      </w:r>
    </w:p>
    <w:p w:rsidR="009427D3" w:rsidRDefault="009427D3" w:rsidP="009427D3">
      <w:r w:rsidRPr="009427D3">
        <w:rPr>
          <w:rStyle w:val="Style13ptBold"/>
        </w:rPr>
        <w:t>Martin et al 2012</w:t>
      </w:r>
      <w:r w:rsidR="00F072CF">
        <w:t xml:space="preserve"> (United States Government Accountability Office, </w:t>
      </w:r>
      <w:proofErr w:type="spellStart"/>
      <w:r w:rsidR="00F072CF">
        <w:t>Belva</w:t>
      </w:r>
      <w:proofErr w:type="spellEnd"/>
      <w:r w:rsidR="00F072CF">
        <w:t xml:space="preserve"> Martin</w:t>
      </w:r>
      <w:r>
        <w:t xml:space="preserve">, Johana R. Ayers, Assistant Director; Patrick Dudley; Dayna Foster; Beth Reed </w:t>
      </w:r>
      <w:proofErr w:type="spellStart"/>
      <w:r>
        <w:t>Fritts</w:t>
      </w:r>
      <w:proofErr w:type="spellEnd"/>
      <w:r>
        <w:t xml:space="preserve">; Justin Jaynes; Julia Kennon; Roxanna Sun; Robert </w:t>
      </w:r>
      <w:proofErr w:type="spellStart"/>
      <w:r>
        <w:t>Swierczek</w:t>
      </w:r>
      <w:proofErr w:type="spellEnd"/>
      <w:r>
        <w:t xml:space="preserve">; Bradley Terry; Brian Tittle; and Alyssa Weir. "U.S. Tactical Wheeled Vehicle Manufacturers Face Period of Uncertainty as DOD Purchases Decline and Foreign Sales Potential Remains Unknown", Report to Congressional Committees, </w:t>
      </w:r>
      <w:hyperlink r:id="rId6" w:history="1">
        <w:r w:rsidRPr="00D358FC">
          <w:rPr>
            <w:rStyle w:val="Hyperlink"/>
          </w:rPr>
          <w:t>https://www.gao.gov/assets/650/648264.pdf</w:t>
        </w:r>
      </w:hyperlink>
      <w:r>
        <w:t>, mmv)</w:t>
      </w:r>
    </w:p>
    <w:p w:rsidR="009427D3" w:rsidRDefault="009427D3" w:rsidP="009427D3">
      <w:r>
        <w:t xml:space="preserve">In addition to sales to DOD, the U.S. TWV industrial base also sells vehicles to foreign governments. </w:t>
      </w:r>
      <w:r w:rsidRPr="00F072CF">
        <w:rPr>
          <w:rStyle w:val="StyleUnderline"/>
        </w:rPr>
        <w:t>The sale of U.S. arms</w:t>
      </w:r>
      <w:r>
        <w:t xml:space="preserve"> and dual-use items, including TWVs, </w:t>
      </w:r>
      <w:r w:rsidRPr="00F072CF">
        <w:rPr>
          <w:rStyle w:val="StyleUnderline"/>
        </w:rPr>
        <w:t>to friendly nations and allies is an integral component of both U.S. national security and foreign policy</w:t>
      </w:r>
      <w:r>
        <w:t xml:space="preserve">.1 </w:t>
      </w:r>
    </w:p>
    <w:p w:rsidR="009427D3" w:rsidRPr="009427D3" w:rsidRDefault="009427D3" w:rsidP="009427D3">
      <w:pPr>
        <w:rPr>
          <w:rStyle w:val="Style13ptBold"/>
        </w:rPr>
      </w:pPr>
      <w:r w:rsidRPr="009427D3">
        <w:rPr>
          <w:rStyle w:val="Style13ptBold"/>
        </w:rPr>
        <w:t>[</w:t>
      </w:r>
      <w:r w:rsidR="00F072CF">
        <w:rPr>
          <w:rStyle w:val="Style13ptBold"/>
        </w:rPr>
        <w:t xml:space="preserve">BEGIN </w:t>
      </w:r>
      <w:r w:rsidRPr="009427D3">
        <w:rPr>
          <w:rStyle w:val="Style13ptBold"/>
        </w:rPr>
        <w:t xml:space="preserve">FOOTNOTE </w:t>
      </w:r>
      <w:r w:rsidR="00F072CF">
        <w:rPr>
          <w:rStyle w:val="Style13ptBold"/>
        </w:rPr>
        <w:t>1</w:t>
      </w:r>
      <w:r w:rsidRPr="009427D3">
        <w:rPr>
          <w:rStyle w:val="Style13ptBold"/>
        </w:rPr>
        <w:t>]</w:t>
      </w:r>
    </w:p>
    <w:p w:rsidR="009427D3" w:rsidRDefault="009427D3" w:rsidP="009427D3">
      <w:r>
        <w:t xml:space="preserve">For the purposes of this report, </w:t>
      </w:r>
      <w:r w:rsidRPr="00F072CF">
        <w:rPr>
          <w:rStyle w:val="StyleUnderline"/>
        </w:rPr>
        <w:t>the term arms refers to defense articles, defense services, and related technical data as specified by 22 U.S.C. § 2778 and defined in 22 C.F.R. Part 120</w:t>
      </w:r>
      <w:r>
        <w:t>. Dual-use items are those which have both military and commercial applications</w:t>
      </w:r>
    </w:p>
    <w:p w:rsidR="009427D3" w:rsidRPr="009427D3" w:rsidRDefault="009427D3" w:rsidP="009427D3">
      <w:pPr>
        <w:rPr>
          <w:b/>
          <w:bCs/>
          <w:sz w:val="26"/>
        </w:rPr>
      </w:pPr>
      <w:r>
        <w:rPr>
          <w:rStyle w:val="Style13ptBold"/>
        </w:rPr>
        <w:t>[END FOOTNOTE</w:t>
      </w:r>
      <w:r w:rsidR="00F072CF">
        <w:rPr>
          <w:rStyle w:val="Style13ptBold"/>
        </w:rPr>
        <w:t xml:space="preserve"> 1</w:t>
      </w:r>
      <w:r>
        <w:rPr>
          <w:rStyle w:val="Style13ptBold"/>
        </w:rPr>
        <w:t>]</w:t>
      </w:r>
    </w:p>
    <w:p w:rsidR="009427D3" w:rsidRDefault="009427D3" w:rsidP="009427D3">
      <w:r>
        <w:t xml:space="preserve">The Arms Export Control Act (AECA) authorizes the President to control the export and import of arms.2 </w:t>
      </w:r>
      <w:r w:rsidRPr="00F072CF">
        <w:rPr>
          <w:rStyle w:val="StyleUnderline"/>
        </w:rPr>
        <w:t>The AECA authorizes the U.S. government to sell arms to foreign governments through government-to-government agreements as part of the Foreign Military Sales (FMS) program</w:t>
      </w:r>
      <w:r>
        <w:t xml:space="preserve">.3 </w:t>
      </w:r>
      <w:r w:rsidRPr="00F072CF">
        <w:rPr>
          <w:rStyle w:val="StyleUnderline"/>
        </w:rPr>
        <w:t>It also authorizes the issuance of export licenses for U.S. manufacturers to sell arms directly to eligible foreign governments, known as direct commercial sales (DCS).</w:t>
      </w:r>
      <w:r>
        <w:t xml:space="preserve"> Regardless of the method of sale, each FMS request or DCS license application is reviewed by officials from DOD and the Department of State (State) to ensure the sale would not result in harm to U.S. interests and is consistent with national security and foreign policies.</w:t>
      </w:r>
    </w:p>
    <w:p w:rsidR="00F072CF" w:rsidRDefault="00F072CF" w:rsidP="009427D3"/>
    <w:p w:rsidR="003F72FA" w:rsidRDefault="003F72FA" w:rsidP="009427D3"/>
    <w:p w:rsidR="00F072CF" w:rsidRDefault="00F072CF" w:rsidP="00F072CF">
      <w:pPr>
        <w:pStyle w:val="Heading4"/>
      </w:pPr>
      <w:r>
        <w:t xml:space="preserve">Arms transfers are the sale of defense articles and services </w:t>
      </w:r>
    </w:p>
    <w:p w:rsidR="00F072CF" w:rsidRDefault="00F072CF" w:rsidP="009427D3">
      <w:r w:rsidRPr="00F072CF">
        <w:rPr>
          <w:rStyle w:val="Style13ptBold"/>
        </w:rPr>
        <w:t>SAMM 2012</w:t>
      </w:r>
      <w:r>
        <w:t xml:space="preserve"> (Defense Security Cooperation Agency's Security Assistance Management Manual, ESAMM Glossary, </w:t>
      </w:r>
      <w:hyperlink r:id="rId7" w:history="1">
        <w:r w:rsidRPr="00D358FC">
          <w:rPr>
            <w:rStyle w:val="Hyperlink"/>
          </w:rPr>
          <w:t>https://www.samm.dsca.mil/listing/esamm-glossary</w:t>
        </w:r>
      </w:hyperlink>
      <w:r>
        <w:t>, mmv)</w:t>
      </w:r>
    </w:p>
    <w:p w:rsidR="00F072CF" w:rsidRPr="00F072CF" w:rsidRDefault="00F072CF" w:rsidP="009427D3">
      <w:pPr>
        <w:rPr>
          <w:rStyle w:val="StyleUnderline"/>
        </w:rPr>
      </w:pPr>
      <w:r w:rsidRPr="00F072CF">
        <w:rPr>
          <w:rStyle w:val="StyleUnderline"/>
        </w:rPr>
        <w:t xml:space="preserve">Arms Transfers </w:t>
      </w:r>
    </w:p>
    <w:p w:rsidR="00F072CF" w:rsidRDefault="00F072CF" w:rsidP="009427D3">
      <w:r w:rsidRPr="00F072CF">
        <w:rPr>
          <w:rStyle w:val="StyleUnderline"/>
        </w:rPr>
        <w:t>The sale</w:t>
      </w:r>
      <w:r>
        <w:t xml:space="preserve">, lease, loan, </w:t>
      </w:r>
      <w:r w:rsidRPr="00F072CF">
        <w:rPr>
          <w:rStyle w:val="StyleUnderline"/>
        </w:rPr>
        <w:t xml:space="preserve">or other transfer of defense articles and defense services such as arms, ammunition, and implements of war, including components thereof, and the training, manufacturing licenses, technical assistance, and technical data related </w:t>
      </w:r>
      <w:r>
        <w:t>thereto, provided by the USG under the authority of the Foreign Assistance Act (FAA) of 1961, as amended, or the Arms Export Control Act (AECA), as amended, or other statutory authority, or directly by commercial firms to foreign countries, foreign private firms, or to international organizations. See also conventional arms transfers.</w:t>
      </w:r>
    </w:p>
    <w:p w:rsidR="00F072CF" w:rsidRDefault="00F072CF" w:rsidP="009427D3"/>
    <w:p w:rsidR="00F072CF" w:rsidRDefault="00F072CF" w:rsidP="00F072CF">
      <w:pPr>
        <w:pStyle w:val="Heading3"/>
      </w:pPr>
      <w:r>
        <w:t>Military Use</w:t>
      </w:r>
    </w:p>
    <w:p w:rsidR="00F072CF" w:rsidRPr="00F072CF" w:rsidRDefault="00F072CF" w:rsidP="00F072CF">
      <w:pPr>
        <w:pStyle w:val="Heading4"/>
      </w:pPr>
      <w:r>
        <w:t xml:space="preserve">Arms sales are </w:t>
      </w:r>
      <w:r w:rsidRPr="002845FA">
        <w:rPr>
          <w:i/>
        </w:rPr>
        <w:t>solely</w:t>
      </w:r>
      <w:r>
        <w:t xml:space="preserve"> for military use</w:t>
      </w:r>
    </w:p>
    <w:p w:rsidR="00F072CF" w:rsidRDefault="00F072CF" w:rsidP="00F072CF">
      <w:r w:rsidRPr="00F072CF">
        <w:rPr>
          <w:rStyle w:val="Style13ptBold"/>
        </w:rPr>
        <w:t>SIPRI 2019</w:t>
      </w:r>
      <w:r>
        <w:t xml:space="preserve"> (Stockholm International Peace Research Institute, "Sources and methods", SIPRI Arms Industry Database, </w:t>
      </w:r>
      <w:hyperlink r:id="rId8" w:history="1">
        <w:r w:rsidRPr="00D358FC">
          <w:rPr>
            <w:rStyle w:val="Hyperlink"/>
          </w:rPr>
          <w:t>https://www.sipri.org/databases/armsindustry/sources-and-methods</w:t>
        </w:r>
      </w:hyperlink>
      <w:r>
        <w:t>, mmv)</w:t>
      </w:r>
    </w:p>
    <w:p w:rsidR="00F072CF" w:rsidRDefault="00F072CF" w:rsidP="00F072CF">
      <w:r w:rsidRPr="00F072CF">
        <w:rPr>
          <w:rStyle w:val="StyleUnderline"/>
        </w:rPr>
        <w:t>Arms and military services sales</w:t>
      </w:r>
      <w:r>
        <w:t xml:space="preserve"> (</w:t>
      </w:r>
      <w:r w:rsidRPr="00F072CF">
        <w:rPr>
          <w:rStyle w:val="StyleUnderline"/>
        </w:rPr>
        <w:t>arms sales for short</w:t>
      </w:r>
      <w:r>
        <w:t xml:space="preserve">) </w:t>
      </w:r>
      <w:r w:rsidRPr="00F072CF">
        <w:rPr>
          <w:rStyle w:val="StyleUnderline"/>
        </w:rPr>
        <w:t>are defined by SIPRI as sales of military goods and services to military customers</w:t>
      </w:r>
      <w:r>
        <w:t>, including both sales for domestic procurement and sales for export:</w:t>
      </w:r>
    </w:p>
    <w:p w:rsidR="00F072CF" w:rsidRDefault="00F072CF" w:rsidP="00F072CF">
      <w:r w:rsidRPr="00F072CF">
        <w:rPr>
          <w:rStyle w:val="StyleUnderline"/>
        </w:rPr>
        <w:t>Military goods and services are those that are designed specifically for military purposes and the technologies related to such goods and services</w:t>
      </w:r>
      <w:r>
        <w:t xml:space="preserve">. </w:t>
      </w:r>
      <w:r w:rsidRPr="00F072CF">
        <w:rPr>
          <w:rStyle w:val="StyleUnderline"/>
        </w:rPr>
        <w:t>Military goods are military-specific equipment and do not include general-purpose goods</w:t>
      </w:r>
      <w:r>
        <w:t xml:space="preserve">, such as oil, electricity, office computers, uniforms and boots. </w:t>
      </w:r>
    </w:p>
    <w:p w:rsidR="00F072CF" w:rsidRDefault="00F072CF" w:rsidP="00F072CF">
      <w:r w:rsidRPr="00F072CF">
        <w:rPr>
          <w:rStyle w:val="StyleUnderline"/>
        </w:rPr>
        <w:t>Military services are also military-specific. They include technical services, such as information technology, maintenance, repair and overhaul, and operational support</w:t>
      </w:r>
      <w:r>
        <w:t xml:space="preserve">; services related to the operation of the armed forces, such as intelligence, training, logistics and facilities management; and armed security in conflict zones. </w:t>
      </w:r>
      <w:r w:rsidRPr="00F072CF">
        <w:rPr>
          <w:rStyle w:val="StyleUnderline"/>
        </w:rPr>
        <w:t>They do not include the peacetime provision of purely civilian services, such as health care, cleaning, catering and transportation, but supply services to operationally deployed forces are included</w:t>
      </w:r>
      <w:r>
        <w:t>.</w:t>
      </w:r>
    </w:p>
    <w:p w:rsidR="00F072CF" w:rsidRDefault="00F072CF" w:rsidP="00F072CF">
      <w:r w:rsidRPr="00F072CF">
        <w:rPr>
          <w:rStyle w:val="StyleUnderline"/>
        </w:rPr>
        <w:t>The SIPRI definition of arms sales serves as a guideline</w:t>
      </w:r>
      <w:r>
        <w:t xml:space="preserve">; in practice it is difficult to apply. </w:t>
      </w:r>
      <w:r w:rsidRPr="00F072CF">
        <w:rPr>
          <w:rStyle w:val="StyleUnderline"/>
        </w:rPr>
        <w:t>Nor is there any good alternative, since no generally agreed standard definition exists</w:t>
      </w:r>
      <w:r>
        <w:t xml:space="preserve">. In some cases, the data on arms sales reflects only what a company considers to be the </w:t>
      </w:r>
      <w:proofErr w:type="spellStart"/>
      <w:r>
        <w:t>defence</w:t>
      </w:r>
      <w:proofErr w:type="spellEnd"/>
      <w:r>
        <w:t xml:space="preserve"> share of its total sales. In other cases, SIPRI uses the figure for the total sales of a ‘</w:t>
      </w:r>
      <w:proofErr w:type="spellStart"/>
      <w:r>
        <w:t>defence</w:t>
      </w:r>
      <w:proofErr w:type="spellEnd"/>
      <w:r>
        <w:t>’ division, although the division may also have some unspecified civil sales.</w:t>
      </w:r>
    </w:p>
    <w:p w:rsidR="00F072CF" w:rsidRDefault="00F072CF" w:rsidP="00F072CF"/>
    <w:p w:rsidR="003F72FA" w:rsidRDefault="001E148D" w:rsidP="003F72FA">
      <w:pPr>
        <w:pStyle w:val="Heading3"/>
      </w:pPr>
      <w:proofErr w:type="spellStart"/>
      <w:r>
        <w:t>Wassenaar</w:t>
      </w:r>
      <w:proofErr w:type="spellEnd"/>
      <w:r>
        <w:t xml:space="preserve"> Arrangement</w:t>
      </w:r>
    </w:p>
    <w:p w:rsidR="003F72FA" w:rsidRPr="003F72FA" w:rsidRDefault="001E148D" w:rsidP="003F72FA">
      <w:pPr>
        <w:pStyle w:val="Heading4"/>
      </w:pPr>
      <w:r>
        <w:t xml:space="preserve">Arms are anything defined on the Munitions List of the </w:t>
      </w:r>
      <w:proofErr w:type="spellStart"/>
      <w:r>
        <w:t>Wassenaar</w:t>
      </w:r>
      <w:proofErr w:type="spellEnd"/>
      <w:r>
        <w:t xml:space="preserve"> Arrangement </w:t>
      </w:r>
    </w:p>
    <w:p w:rsidR="003F72FA" w:rsidRDefault="003F72FA" w:rsidP="003F72FA">
      <w:proofErr w:type="spellStart"/>
      <w:r w:rsidRPr="003F72FA">
        <w:rPr>
          <w:rStyle w:val="Style13ptBold"/>
        </w:rPr>
        <w:t>Holtom</w:t>
      </w:r>
      <w:proofErr w:type="spellEnd"/>
      <w:r w:rsidRPr="003F72FA">
        <w:rPr>
          <w:rStyle w:val="Style13ptBold"/>
        </w:rPr>
        <w:t xml:space="preserve"> and Bromley</w:t>
      </w:r>
      <w:r>
        <w:rPr>
          <w:rStyle w:val="Style13ptBold"/>
        </w:rPr>
        <w:t xml:space="preserve"> 2010</w:t>
      </w:r>
      <w:r>
        <w:t xml:space="preserve"> (Paul </w:t>
      </w:r>
      <w:proofErr w:type="spellStart"/>
      <w:r>
        <w:t>Holtom</w:t>
      </w:r>
      <w:proofErr w:type="spellEnd"/>
      <w:r>
        <w:t xml:space="preserve"> is director of the arms transfers program at the Stockholm International Peace Research Institute. Mark Bromley is a researcher in the same program, "The International Arms Trade: Difficult to Define, Measure, and Control", Arms Control Association, </w:t>
      </w:r>
      <w:hyperlink r:id="rId9" w:history="1">
        <w:r w:rsidRPr="00D358FC">
          <w:rPr>
            <w:rStyle w:val="Hyperlink"/>
          </w:rPr>
          <w:t>https://www.armscontrol.org/act/2010_07-08/holtom-bromley</w:t>
        </w:r>
      </w:hyperlink>
      <w:r>
        <w:t>, mmv)</w:t>
      </w:r>
    </w:p>
    <w:p w:rsidR="003F72FA" w:rsidRDefault="003F72FA" w:rsidP="003F72FA">
      <w:r w:rsidRPr="003F72FA">
        <w:rPr>
          <w:rStyle w:val="StyleUnderline"/>
        </w:rPr>
        <w:t>The national lists of arms and military equipment to be subject to export controls</w:t>
      </w:r>
      <w:r>
        <w:t xml:space="preserve"> (control lists) </w:t>
      </w:r>
      <w:r w:rsidRPr="003F72FA">
        <w:rPr>
          <w:rStyle w:val="StyleUnderline"/>
        </w:rPr>
        <w:t>maintained by most states and all major arms exporters provide a useful starting point for defining “arms”</w:t>
      </w:r>
      <w:r>
        <w:t xml:space="preserve"> and the international arms trade. </w:t>
      </w:r>
      <w:r w:rsidRPr="003F72FA">
        <w:rPr>
          <w:rStyle w:val="StyleUnderline"/>
        </w:rPr>
        <w:t xml:space="preserve">The Munitions List and Lists of Dual-Use Goods and Technologies of the </w:t>
      </w:r>
      <w:proofErr w:type="spellStart"/>
      <w:r w:rsidRPr="003F72FA">
        <w:rPr>
          <w:rStyle w:val="StyleUnderline"/>
        </w:rPr>
        <w:t>Wassenaar</w:t>
      </w:r>
      <w:proofErr w:type="spellEnd"/>
      <w:r w:rsidRPr="003F72FA">
        <w:rPr>
          <w:rStyle w:val="StyleUnderline"/>
        </w:rPr>
        <w:t xml:space="preserve"> Arrangement on Export Controls for Conventional Arms and Dual-Use Goods and Technologies provide the basis for the control lists of the 40 states that are members of the group</w:t>
      </w:r>
      <w:r>
        <w:t xml:space="preserve">. The Munitions List covers a wide range of arms and military equipment, from small arms to ships, as well as ammunition, information and communication technologies, training equipment, and equipment for producing arms. Several significant arms-exporting nonmembers, including China, have fully or partially aligned their national control lists with the Munitions List. As a result, all of the top 10 arms suppliers during 2005-2009 have control lists derived from the </w:t>
      </w:r>
      <w:proofErr w:type="spellStart"/>
      <w:r>
        <w:t>Wassenaar</w:t>
      </w:r>
      <w:proofErr w:type="spellEnd"/>
      <w:r>
        <w:t xml:space="preserve"> Arrangement.</w:t>
      </w:r>
    </w:p>
    <w:p w:rsidR="003F72FA" w:rsidRDefault="003F72FA" w:rsidP="003F72FA"/>
    <w:p w:rsidR="001E148D" w:rsidRDefault="001E148D" w:rsidP="003F72FA"/>
    <w:p w:rsidR="00DF2AB6" w:rsidRDefault="00EE33C4" w:rsidP="001E148D">
      <w:pPr>
        <w:pStyle w:val="Heading3"/>
      </w:pPr>
      <w:r>
        <w:t>I</w:t>
      </w:r>
      <w:r w:rsidR="00DF2AB6">
        <w:t>nclude</w:t>
      </w:r>
      <w:r>
        <w:t>s</w:t>
      </w:r>
      <w:r w:rsidR="00DF2AB6">
        <w:t xml:space="preserve"> police</w:t>
      </w:r>
    </w:p>
    <w:p w:rsidR="00DF2AB6" w:rsidRDefault="00EE33C4" w:rsidP="00EE33C4">
      <w:pPr>
        <w:pStyle w:val="Heading4"/>
      </w:pPr>
      <w:r>
        <w:t xml:space="preserve">Arms includes police and military weapons – no functional difference in function and design </w:t>
      </w:r>
    </w:p>
    <w:p w:rsidR="00DF2AB6" w:rsidRPr="00DF2AB6" w:rsidRDefault="00EE33C4" w:rsidP="00DF2AB6">
      <w:r w:rsidRPr="00EE33C4">
        <w:rPr>
          <w:rStyle w:val="Style13ptBold"/>
        </w:rPr>
        <w:t xml:space="preserve">ORF </w:t>
      </w:r>
      <w:r>
        <w:rPr>
          <w:rStyle w:val="Style13ptBold"/>
        </w:rPr>
        <w:t>2017</w:t>
      </w:r>
      <w:r>
        <w:t xml:space="preserve"> (Omega Research Foundation, UK registered charity in consultative status with UN ECOSOC, and with over 20 years’ experience researching international arms transfers, "Omega Research Foundation Response to OHCHR Questionnaire to Inform the Report on the impact of Arms Transfers on Human Rights.", May 3 2017, </w:t>
      </w:r>
      <w:hyperlink r:id="rId10" w:history="1">
        <w:r w:rsidRPr="004A67EA">
          <w:rPr>
            <w:rStyle w:val="Hyperlink"/>
          </w:rPr>
          <w:t>https://www.ohchr.org/Documents/Issues/RuleOfLaw/ArmsTransfers/OmegaResearchFoundation.pdf</w:t>
        </w:r>
      </w:hyperlink>
      <w:r>
        <w:t>, mmv)</w:t>
      </w:r>
    </w:p>
    <w:p w:rsidR="00DF2AB6" w:rsidRDefault="00DF2AB6" w:rsidP="00DF2AB6">
      <w:r w:rsidRPr="00DF2AB6">
        <w:rPr>
          <w:rStyle w:val="StyleUnderline"/>
        </w:rPr>
        <w:t xml:space="preserve">We submit that a comprehensive definition of ‘arms’ should include police as well as military weapons. This would include, not only police small arms that fire lethal ammunition but also, for example, riot launchers and ammunition of all kinds, including ‘tear gas’ grenades and cartridge launched projectiles, kinetic impact projectiles </w:t>
      </w:r>
      <w:r w:rsidRPr="00EE33C4">
        <w:t xml:space="preserve">(such as rubber coated steel bullets, plastic baton rounds and solid rubber baton rounds), </w:t>
      </w:r>
      <w:r w:rsidRPr="00DF2AB6">
        <w:rPr>
          <w:rStyle w:val="StyleUnderline"/>
        </w:rPr>
        <w:t>projectile electrical weapons,</w:t>
      </w:r>
      <w:r>
        <w:t xml:space="preserve"> (such as ‘Taser’ weapons made by American company Taser International), </w:t>
      </w:r>
      <w:r w:rsidRPr="00EE33C4">
        <w:rPr>
          <w:rStyle w:val="StyleUnderline"/>
        </w:rPr>
        <w:t>directed energy weapons</w:t>
      </w:r>
      <w:r>
        <w:t xml:space="preserve"> (such as acoustic weapons, </w:t>
      </w:r>
      <w:proofErr w:type="spellStart"/>
      <w:r>
        <w:t>millimetre</w:t>
      </w:r>
      <w:proofErr w:type="spellEnd"/>
      <w:r>
        <w:t xml:space="preserve"> wave weapons and laser dazzlers), </w:t>
      </w:r>
      <w:r w:rsidRPr="00EE33C4">
        <w:rPr>
          <w:rStyle w:val="StyleUnderline"/>
        </w:rPr>
        <w:t>shotgun fired birdshot and buckshot, and water cannon and other riot control type vehicles – technologies often referred to as ‘less-lethal’ but which can impact human rights, including the right to life, in various ways. Whilst these less lethal technologies might appear a diverse group, they all act in various ways to direct energy or matter to one or more targets, with a range of intended and unintended outcomes</w:t>
      </w:r>
      <w:r>
        <w:t xml:space="preserve"> 2.</w:t>
      </w:r>
    </w:p>
    <w:p w:rsidR="00EE33C4" w:rsidRDefault="00EE33C4" w:rsidP="00DF2AB6"/>
    <w:p w:rsidR="00EE33C4" w:rsidRDefault="00EE33C4" w:rsidP="00EE33C4">
      <w:pPr>
        <w:pStyle w:val="Heading3"/>
      </w:pPr>
      <w:r>
        <w:t>Doesn’t Include Police</w:t>
      </w:r>
    </w:p>
    <w:p w:rsidR="00EE33C4" w:rsidRDefault="00EE33C4" w:rsidP="00EE33C4">
      <w:pPr>
        <w:pStyle w:val="Heading4"/>
      </w:pPr>
      <w:r>
        <w:t>Even if they are similar – police weapons and military arms are governed by different export laws</w:t>
      </w:r>
    </w:p>
    <w:p w:rsidR="00EE33C4" w:rsidRPr="00EE33C4" w:rsidRDefault="00EE33C4" w:rsidP="00EE33C4">
      <w:r w:rsidRPr="00EE33C4">
        <w:rPr>
          <w:rStyle w:val="Style13ptBold"/>
        </w:rPr>
        <w:t xml:space="preserve">ORF </w:t>
      </w:r>
      <w:r>
        <w:rPr>
          <w:rStyle w:val="Style13ptBold"/>
        </w:rPr>
        <w:t>2017</w:t>
      </w:r>
      <w:r>
        <w:t xml:space="preserve"> (Omega Research Foundation, UK registered charity in consultative status with UN ECOSOC, and with over 20 years’ experience researching international arms transfers, "Omega Research Foundation Response to OHCHR Questionnaire to Inform the Report on the impact of Arms Transfers on Human Rights.", May 3 2017, </w:t>
      </w:r>
      <w:hyperlink r:id="rId11" w:history="1">
        <w:r w:rsidRPr="004A67EA">
          <w:rPr>
            <w:rStyle w:val="Hyperlink"/>
          </w:rPr>
          <w:t>https://www.ohchr.org/Documents/Issues/RuleOfLaw/ArmsTransfers/OmegaResearchFoundation.pdf</w:t>
        </w:r>
      </w:hyperlink>
      <w:r>
        <w:t>, mmv)</w:t>
      </w:r>
    </w:p>
    <w:p w:rsidR="00EE33C4" w:rsidRPr="00EE33C4" w:rsidRDefault="00EE33C4" w:rsidP="00EE33C4">
      <w:r w:rsidRPr="00EE33C4">
        <w:rPr>
          <w:rStyle w:val="StyleUnderline"/>
        </w:rPr>
        <w:t>Whilst the technical and physical difference between weapons and equipment intended for use by military or police can be small or non-existent, they are often treated in very different ways in the export control process, with equipment designated as military controlled and that designated as police equipment not controlled</w:t>
      </w:r>
      <w:r>
        <w:t xml:space="preserve">. The UN Register of Conventional arms, export control regimes such as the international Arms Trade Treaty or the </w:t>
      </w:r>
      <w:proofErr w:type="spellStart"/>
      <w:r>
        <w:t>Wassenaar</w:t>
      </w:r>
      <w:proofErr w:type="spellEnd"/>
      <w:r>
        <w:t xml:space="preserve"> Arrangement and most national export control lists do not list or control a wide variety of arms and equipment, particularly those </w:t>
      </w:r>
      <w:proofErr w:type="spellStart"/>
      <w:r>
        <w:t>utilised</w:t>
      </w:r>
      <w:proofErr w:type="spellEnd"/>
      <w:r>
        <w:t xml:space="preserve"> in law enforcement operations that can impact on the enjoyment of human rights.</w:t>
      </w:r>
    </w:p>
    <w:p w:rsidR="001E148D" w:rsidRDefault="001E148D" w:rsidP="001E148D">
      <w:pPr>
        <w:pStyle w:val="Heading3"/>
      </w:pPr>
      <w:r>
        <w:t xml:space="preserve">Aff – Reasonability </w:t>
      </w:r>
    </w:p>
    <w:p w:rsidR="003F72FA" w:rsidRDefault="003F72FA" w:rsidP="003F72FA">
      <w:pPr>
        <w:pStyle w:val="Heading4"/>
      </w:pPr>
      <w:r>
        <w:t xml:space="preserve">Strict definitions </w:t>
      </w:r>
      <w:r w:rsidR="001E148D">
        <w:t xml:space="preserve">of arms are incomplete and don’t describe the bigger picture – overlapping definitions </w:t>
      </w:r>
    </w:p>
    <w:p w:rsidR="003F72FA" w:rsidRDefault="003F72FA" w:rsidP="003F72FA">
      <w:proofErr w:type="spellStart"/>
      <w:r w:rsidRPr="003F72FA">
        <w:rPr>
          <w:rStyle w:val="Style13ptBold"/>
        </w:rPr>
        <w:t>Holtom</w:t>
      </w:r>
      <w:proofErr w:type="spellEnd"/>
      <w:r w:rsidRPr="003F72FA">
        <w:rPr>
          <w:rStyle w:val="Style13ptBold"/>
        </w:rPr>
        <w:t xml:space="preserve"> and Bromley</w:t>
      </w:r>
      <w:r>
        <w:rPr>
          <w:rStyle w:val="Style13ptBold"/>
        </w:rPr>
        <w:t xml:space="preserve"> 2010</w:t>
      </w:r>
      <w:r>
        <w:t xml:space="preserve"> (Paul </w:t>
      </w:r>
      <w:proofErr w:type="spellStart"/>
      <w:r>
        <w:t>Holtom</w:t>
      </w:r>
      <w:proofErr w:type="spellEnd"/>
      <w:r>
        <w:t xml:space="preserve"> is director of the arms transfers program at the Stockholm International Peace Research Institute. Mark Bromley is a researcher in the same program, "The International Arms Trade: Difficult to Define, Measure, and Control", Arms Control Association, </w:t>
      </w:r>
      <w:hyperlink r:id="rId12" w:history="1">
        <w:r w:rsidRPr="00D358FC">
          <w:rPr>
            <w:rStyle w:val="Hyperlink"/>
          </w:rPr>
          <w:t>https://www.armscontrol.org/act/2010_07-08/holtom-bromley</w:t>
        </w:r>
      </w:hyperlink>
      <w:r>
        <w:t>, mmv)</w:t>
      </w:r>
    </w:p>
    <w:p w:rsidR="003F72FA" w:rsidRDefault="003F72FA" w:rsidP="003F72FA">
      <w:r>
        <w:t xml:space="preserve">For several reasons, there is no straightforward answer to the question, “How big is the international arms trade?” First, </w:t>
      </w:r>
      <w:r w:rsidRPr="003F72FA">
        <w:rPr>
          <w:rStyle w:val="StyleUnderline"/>
        </w:rPr>
        <w:t>there is no globally agreed definition of “arms.” States and international organizations that seek to measure or control the arms trade use lists of items that vary in their complexity and coverage, most notably with regard to their inclusion of “dual-use goods,”</w:t>
      </w:r>
      <w:r>
        <w:t xml:space="preserve"> items with both military and civilian applications.[1] </w:t>
      </w:r>
      <w:r w:rsidRPr="003F72FA">
        <w:rPr>
          <w:rStyle w:val="StyleUnderline"/>
        </w:rPr>
        <w:t>Second, there is no common agreement on what types of activities constitute the arms trade</w:t>
      </w:r>
      <w:r>
        <w:t xml:space="preserve">. Examples of areas where differences exist include arms leased to other states; gifts and donations; the transfer of technology to produce arms and military equipment; and upgrades, parts, and services related to the transfer of arms and military equipment. </w:t>
      </w:r>
      <w:r w:rsidRPr="003F72FA">
        <w:rPr>
          <w:rStyle w:val="StyleUnderline"/>
        </w:rPr>
        <w:t>Third, the lack of openness and transparency by many arms suppliers and recipients regarding the value and volume of their arms exports and imports makes it difficult to collect accurate data</w:t>
      </w:r>
      <w:r>
        <w:t>. As a result, a variety of different definitions of the international arms trade and estimates of its scale exists. This has implications for efforts to establish controls on arms transfers via a future international arms trade treaty (ATT). This article will outline some of the challenges in defining, measuring, and controlling the international arms trade.</w:t>
      </w:r>
    </w:p>
    <w:p w:rsidR="003F72FA" w:rsidRPr="003F72FA" w:rsidRDefault="003F72FA" w:rsidP="003F72FA"/>
    <w:p w:rsidR="009427D3" w:rsidRDefault="009427D3" w:rsidP="009427D3">
      <w:pPr>
        <w:pStyle w:val="Heading2"/>
      </w:pPr>
      <w:r>
        <w:t>DCS</w:t>
      </w:r>
    </w:p>
    <w:p w:rsidR="00E57861" w:rsidRPr="00E57861" w:rsidRDefault="00E57861" w:rsidP="00E57861">
      <w:pPr>
        <w:pStyle w:val="Heading3"/>
      </w:pPr>
      <w:r>
        <w:t>Private Sale</w:t>
      </w:r>
    </w:p>
    <w:p w:rsidR="00375DF7" w:rsidRPr="002845FA" w:rsidRDefault="00375DF7" w:rsidP="00375DF7">
      <w:pPr>
        <w:pStyle w:val="Heading4"/>
      </w:pPr>
      <w:r>
        <w:t xml:space="preserve">DCS is a sale from a US firm to </w:t>
      </w:r>
      <w:r w:rsidRPr="002845FA">
        <w:rPr>
          <w:i/>
        </w:rPr>
        <w:t>foreign</w:t>
      </w:r>
      <w:r>
        <w:t xml:space="preserve"> governments or </w:t>
      </w:r>
      <w:r w:rsidRPr="002845FA">
        <w:rPr>
          <w:i/>
        </w:rPr>
        <w:t>international</w:t>
      </w:r>
      <w:r>
        <w:t xml:space="preserve"> organizations </w:t>
      </w:r>
    </w:p>
    <w:p w:rsidR="00375DF7" w:rsidRDefault="00375DF7" w:rsidP="00375DF7">
      <w:r w:rsidRPr="001E148D">
        <w:rPr>
          <w:rStyle w:val="Style13ptBold"/>
        </w:rPr>
        <w:t>Kerr and Rosen 2019</w:t>
      </w:r>
      <w:r>
        <w:t xml:space="preserve"> (Paul Kerr, Liana Rosen, Congressional Research Service, "U.S. Arms Sales and Human Rights: Legislative Basis and Frequently Asked Questions", In Focus, Updated May 6, 2019, </w:t>
      </w:r>
      <w:hyperlink r:id="rId13" w:history="1">
        <w:r w:rsidRPr="00D358FC">
          <w:rPr>
            <w:rStyle w:val="Hyperlink"/>
          </w:rPr>
          <w:t>https://fas.org/sgp/crs/weapons/IF11197.pdf</w:t>
        </w:r>
      </w:hyperlink>
      <w:r>
        <w:t>, mmv)</w:t>
      </w:r>
    </w:p>
    <w:p w:rsidR="00375DF7" w:rsidRDefault="00375DF7" w:rsidP="00375DF7">
      <w:r w:rsidRPr="002845FA">
        <w:rPr>
          <w:rStyle w:val="StyleUnderline"/>
        </w:rPr>
        <w:t>The Arms Export Control Act</w:t>
      </w:r>
      <w:r>
        <w:t xml:space="preserve"> (AECA; P.L. 90-629; 22 U.S.C. 2751 et seq.) </w:t>
      </w:r>
      <w:r w:rsidRPr="002845FA">
        <w:rPr>
          <w:rStyle w:val="StyleUnderline"/>
        </w:rPr>
        <w:t>and the Foreign Assistance Act</w:t>
      </w:r>
      <w:r>
        <w:t xml:space="preserve"> of 1961 (FAA; P.L. 87-195; 22 U.S.C. 2151 et seq.) </w:t>
      </w:r>
      <w:r w:rsidRPr="002845FA">
        <w:rPr>
          <w:rStyle w:val="StyleUnderline"/>
        </w:rPr>
        <w:t>establish provisions governing Foreign Military Sales (FMS) and Direct Commercial Sales (DCS) to foreign consumers</w:t>
      </w:r>
      <w:r>
        <w:t xml:space="preserve">, including foreign governments. </w:t>
      </w:r>
      <w:r w:rsidRPr="002845FA">
        <w:t>FMS refers to the sale of U.S.-origin defense articles, equipment, services, and training (hereafter referred to as “defense articles”) on a government-to-government basis.</w:t>
      </w:r>
      <w:r w:rsidRPr="002845FA">
        <w:rPr>
          <w:rStyle w:val="StyleUnderline"/>
        </w:rPr>
        <w:t xml:space="preserve"> DCS refers to the sale of U.S.-government licensed defense articles and services directly from U.S. firms to eligible foreign governments and international organizations</w:t>
      </w:r>
      <w:r>
        <w:t>.</w:t>
      </w:r>
    </w:p>
    <w:p w:rsidR="00E701F4" w:rsidRDefault="00E701F4" w:rsidP="00375DF7"/>
    <w:p w:rsidR="00E701F4" w:rsidRDefault="00E701F4" w:rsidP="00375DF7"/>
    <w:p w:rsidR="009D3510" w:rsidRDefault="009D3510" w:rsidP="009D3510">
      <w:pPr>
        <w:pStyle w:val="Heading4"/>
      </w:pPr>
      <w:r>
        <w:t xml:space="preserve">DCS is between private domestic contractors and foreign purchasers  </w:t>
      </w:r>
    </w:p>
    <w:p w:rsidR="009D3510" w:rsidRDefault="009D3510" w:rsidP="009D3510">
      <w:r w:rsidRPr="009D3510">
        <w:rPr>
          <w:rStyle w:val="Style13ptBold"/>
        </w:rPr>
        <w:t>Nichols 2014</w:t>
      </w:r>
      <w:r>
        <w:t xml:space="preserve"> (Robert Nichols, Partner at Covington &amp; Burling LLP, “Direct Commercial Sales”, September 30 2014, </w:t>
      </w:r>
      <w:hyperlink r:id="rId14" w:history="1">
        <w:r w:rsidRPr="004A67EA">
          <w:rPr>
            <w:rStyle w:val="Hyperlink"/>
          </w:rPr>
          <w:t>https://www.dsca.mil/sites/default/files/final-fms-dcs_30_sep.pdf</w:t>
        </w:r>
      </w:hyperlink>
      <w:r>
        <w:t>, mmv)</w:t>
      </w:r>
    </w:p>
    <w:p w:rsidR="00E57861" w:rsidRDefault="009D3510" w:rsidP="00375DF7">
      <w:r>
        <w:t xml:space="preserve">I. AN OVERVIEW OF DCS </w:t>
      </w:r>
      <w:r w:rsidRPr="009D3510">
        <w:rPr>
          <w:rStyle w:val="StyleUnderline"/>
        </w:rPr>
        <w:t>In addition to the U.S. Government’s FMS program, U.S. Contractors</w:t>
      </w:r>
      <w:r>
        <w:t xml:space="preserve"> 71 </w:t>
      </w:r>
      <w:r w:rsidRPr="009D3510">
        <w:rPr>
          <w:rStyle w:val="StyleUnderline"/>
        </w:rPr>
        <w:t>can sell U.S. defense articles and services to Non-U.S Purchasers</w:t>
      </w:r>
      <w:r>
        <w:t xml:space="preserve"> 72 </w:t>
      </w:r>
      <w:r w:rsidRPr="009D3510">
        <w:rPr>
          <w:rStyle w:val="StyleUnderline"/>
        </w:rPr>
        <w:t>without the direct involvement of the U.S. Government</w:t>
      </w:r>
      <w:r>
        <w:t xml:space="preserve">, subject to certain regulatory hurdles and U.S. Government oversight. </w:t>
      </w:r>
      <w:r w:rsidRPr="009D3510">
        <w:rPr>
          <w:rStyle w:val="StyleUnderline"/>
        </w:rPr>
        <w:t>This type of transaction is typically referred to as a Direct Commercial Sale (“DCS”).</w:t>
      </w:r>
      <w:r>
        <w:t xml:space="preserve"> DCS is like FMS in that it is as “an integral part of safeguarding U.S. national security and furthering U.S. foreign policy objectives.”73 </w:t>
      </w:r>
      <w:r w:rsidRPr="009D3510">
        <w:rPr>
          <w:rStyle w:val="StyleUnderline"/>
        </w:rPr>
        <w:t>Both FMS and DCS facilitate the interoperability of foreign military partners and U.S. forces, and thus they are seen by the U.S. Government as complementary, not competing</w:t>
      </w:r>
      <w:r>
        <w:t>.74</w:t>
      </w:r>
    </w:p>
    <w:p w:rsidR="009D3510" w:rsidRDefault="009D3510" w:rsidP="00375DF7">
      <w:r>
        <w:t xml:space="preserve">Still, the laws and process for DCS differ from FMS. Furthermore, avoiding tripwires and successfully conducting a DCS transaction demands a holistic and realistic understanding of how DCS works, how it differs from FMS, and how it can be safely structured—to include, where appropriate, how it can be combined with FMS in hybrid transactions. This section of paper tackles these topics, focusing on the most relevant and pressing nuances and possible pitfalls.75 A. </w:t>
      </w:r>
      <w:r w:rsidRPr="009D3510">
        <w:rPr>
          <w:rStyle w:val="StyleUnderline"/>
        </w:rPr>
        <w:t>The Range of DCS Options DCS typifies the adage “you get what you negotiate.” A U.S. Contractor and a Non-U.S. Purchaser have several options for structuring the DCS transaction, with the option selected determining the relative level of involvement by the Non-U.S. Purchaser and the U.S. Government, respectively, in negotiating, executing, and administering the DCS contract</w:t>
      </w:r>
      <w:r>
        <w:t>. Whatever the structure, though, through DCS the parties may have the flexibility to negotiate terms suiting their goals and circumstances to a greater extent than FMS might allow.</w:t>
      </w:r>
    </w:p>
    <w:p w:rsidR="009D3510" w:rsidRDefault="009D3510" w:rsidP="00375DF7">
      <w:r>
        <w:t xml:space="preserve">1. Traditional DCS </w:t>
      </w:r>
      <w:r w:rsidRPr="009D3510">
        <w:rPr>
          <w:rStyle w:val="StyleUnderline"/>
        </w:rPr>
        <w:t>In a traditional DCS transaction, the U.S. Contractor and the Non-U.S. Purchaser directly negotiate almost all contract elements and terms; the U.S. Government is largely sidelined</w:t>
      </w:r>
      <w:r>
        <w:t>. Hence, of all the DCS forms, traditional DCS has the most direct, significant involvement by Non-U.S. Purchasers. But by extension, the Non-U.S. Purchaser must accept a significant responsibility for contract negotiation, administration, quality control, inspection, acceptance, and auditing. In the same way, the U.S. Contractor must directly address its concerns with the Non-U.S. Purchaser—to include a lack of payment or problems with contract performance.</w:t>
      </w:r>
    </w:p>
    <w:p w:rsidR="009D3510" w:rsidRDefault="009D3510" w:rsidP="00375DF7"/>
    <w:p w:rsidR="00E57861" w:rsidRDefault="00E57861" w:rsidP="00E57861">
      <w:pPr>
        <w:pStyle w:val="Heading4"/>
      </w:pPr>
      <w:r>
        <w:t xml:space="preserve">DCS regulates US companies sale of defense articles and services abroad </w:t>
      </w:r>
    </w:p>
    <w:p w:rsidR="00E57861" w:rsidRPr="002845FA" w:rsidRDefault="00E57861" w:rsidP="00375DF7">
      <w:r w:rsidRPr="00E57861">
        <w:rPr>
          <w:rStyle w:val="Style13ptBold"/>
        </w:rPr>
        <w:t>SAM 2018</w:t>
      </w:r>
      <w:r>
        <w:t xml:space="preserve"> (Security Assistance Monitor, a citizen's guide to US security and defense assistance, "Direct Commercial Sales", </w:t>
      </w:r>
      <w:hyperlink r:id="rId15" w:history="1">
        <w:r w:rsidRPr="004A67EA">
          <w:rPr>
            <w:rStyle w:val="Hyperlink"/>
          </w:rPr>
          <w:t>https://securityassistance.org/content/direct%20commercial%20sales</w:t>
        </w:r>
      </w:hyperlink>
      <w:r>
        <w:t>, mmv)</w:t>
      </w:r>
    </w:p>
    <w:p w:rsidR="00E57861" w:rsidRDefault="00E57861" w:rsidP="00375DF7">
      <w:r w:rsidRPr="00E57861">
        <w:rPr>
          <w:rStyle w:val="StyleUnderline"/>
        </w:rPr>
        <w:t>The Direct Commercial Sales program regulates U.S. companies' sales of U.S. defense articles and defense services on the U.S. Munitions List abroad</w:t>
      </w:r>
      <w:r>
        <w:t>.</w:t>
      </w:r>
    </w:p>
    <w:p w:rsidR="00375DF7" w:rsidRPr="00980C5C" w:rsidRDefault="00375DF7" w:rsidP="00375DF7"/>
    <w:p w:rsidR="00980C5C" w:rsidRDefault="00980C5C" w:rsidP="00980C5C">
      <w:pPr>
        <w:pStyle w:val="Heading3"/>
      </w:pPr>
      <w:r>
        <w:t xml:space="preserve">Done by DOS </w:t>
      </w:r>
    </w:p>
    <w:p w:rsidR="00980C5C" w:rsidRDefault="00980C5C" w:rsidP="00980C5C">
      <w:pPr>
        <w:pStyle w:val="Heading4"/>
      </w:pPr>
      <w:r>
        <w:t>DCS is overseen by the DOS</w:t>
      </w:r>
    </w:p>
    <w:p w:rsidR="00980C5C" w:rsidRPr="00980C5C" w:rsidRDefault="00980C5C" w:rsidP="00980C5C">
      <w:r w:rsidRPr="00980C5C">
        <w:rPr>
          <w:rStyle w:val="Style13ptBold"/>
        </w:rPr>
        <w:t>PM-CPA 2019</w:t>
      </w:r>
      <w:r>
        <w:t xml:space="preserve"> (Bureau of Political-Military Affairs; Office of Congressional and Public Affairs, US Department of State Fact Sheet, "U.S. Arms Sales and Defense Trade", https://www.state.gov/u-s-arms-sales-and-defense-trade/, mmv)</w:t>
      </w:r>
    </w:p>
    <w:p w:rsidR="00980C5C" w:rsidRPr="00980C5C" w:rsidRDefault="00980C5C" w:rsidP="00980C5C">
      <w:r>
        <w:t>DIRECT COMMERCIAL SALES (DCS)</w:t>
      </w:r>
    </w:p>
    <w:p w:rsidR="00980C5C" w:rsidRPr="00980C5C" w:rsidRDefault="00980C5C" w:rsidP="00980C5C">
      <w:r w:rsidRPr="00980C5C">
        <w:rPr>
          <w:rStyle w:val="StyleUnderline"/>
        </w:rPr>
        <w:t>Under DCS, the Bureau of Political-Military Affairs’ Directorate of Defense Trade Controls</w:t>
      </w:r>
      <w:r>
        <w:t xml:space="preserve"> (PM/DDTC) </w:t>
      </w:r>
      <w:r w:rsidRPr="00980C5C">
        <w:rPr>
          <w:rStyle w:val="StyleUnderline"/>
        </w:rPr>
        <w:t xml:space="preserve">provides regulatory approvals for </w:t>
      </w:r>
      <w:r w:rsidRPr="00980C5C">
        <w:t>more than $136 billion per year in</w:t>
      </w:r>
      <w:r w:rsidRPr="00980C5C">
        <w:rPr>
          <w:rStyle w:val="StyleUnderline"/>
        </w:rPr>
        <w:t xml:space="preserve"> sales of defense equipment</w:t>
      </w:r>
      <w:r>
        <w:t xml:space="preserve">, </w:t>
      </w:r>
      <w:r w:rsidRPr="00980C5C">
        <w:rPr>
          <w:rStyle w:val="StyleUnderline"/>
        </w:rPr>
        <w:t xml:space="preserve">services, and related manufacturing technologies </w:t>
      </w:r>
      <w:r w:rsidRPr="00980C5C">
        <w:t>controlled under the 21 categories of the U.S. Munitions List (USML). These sales are negotiated privately between foreign end-users and U.S. companies.</w:t>
      </w:r>
    </w:p>
    <w:p w:rsidR="00980C5C" w:rsidRDefault="00980C5C" w:rsidP="00980C5C"/>
    <w:p w:rsidR="002716BA" w:rsidRDefault="002716BA" w:rsidP="002716BA">
      <w:pPr>
        <w:pStyle w:val="Heading3"/>
      </w:pPr>
      <w:r>
        <w:t xml:space="preserve">Not </w:t>
      </w:r>
      <w:r w:rsidR="00E701F4">
        <w:t>Only</w:t>
      </w:r>
      <w:r>
        <w:t xml:space="preserve"> DOS</w:t>
      </w:r>
    </w:p>
    <w:p w:rsidR="002716BA" w:rsidRDefault="00346791" w:rsidP="00346791">
      <w:pPr>
        <w:pStyle w:val="Heading4"/>
      </w:pPr>
      <w:r>
        <w:t xml:space="preserve">DCS can be done by the Department of State and Commerce </w:t>
      </w:r>
    </w:p>
    <w:p w:rsidR="002716BA" w:rsidRPr="002716BA" w:rsidRDefault="002716BA" w:rsidP="002716BA">
      <w:r w:rsidRPr="009D3510">
        <w:rPr>
          <w:rStyle w:val="Style13ptBold"/>
        </w:rPr>
        <w:t>Nichols 2014</w:t>
      </w:r>
      <w:r>
        <w:t xml:space="preserve"> (Robert Nichols, Partner at Covington &amp; Burling LLP, “Direct Commercial Sales”, September 30 2014, </w:t>
      </w:r>
      <w:hyperlink r:id="rId16" w:history="1">
        <w:r w:rsidRPr="004A67EA">
          <w:rPr>
            <w:rStyle w:val="Hyperlink"/>
          </w:rPr>
          <w:t>https://www.dsca.mil/sites/default/files/final-fms-dcs_30_sep.pdf</w:t>
        </w:r>
      </w:hyperlink>
      <w:r>
        <w:t>, mmv)</w:t>
      </w:r>
    </w:p>
    <w:p w:rsidR="002716BA" w:rsidRDefault="002716BA" w:rsidP="002716BA">
      <w:r w:rsidRPr="002716BA">
        <w:rPr>
          <w:rStyle w:val="StyleUnderline"/>
        </w:rPr>
        <w:t>Pursuant to the U.S. export control regime, DCS transactions must comply with the U.S. Government’s export licensing requirements. Here, the U.S. Department of State, Directorate of Defense Trade Controls (“DDTC”), and the U.S. Department of Commerce, Bureau of Industry and Security (“BIS”), exercise primary jurisdiction.</w:t>
      </w:r>
      <w:r>
        <w:t xml:space="preserve">92 Traditionally, </w:t>
      </w:r>
      <w:r w:rsidRPr="002716BA">
        <w:rPr>
          <w:rStyle w:val="StyleUnderline"/>
        </w:rPr>
        <w:t>DDTC has exercised jurisdiction over transactions involving defense articles and services. BIS exercises jurisdiction over transactions involving commercial or “dual-use”</w:t>
      </w:r>
      <w:r>
        <w:t xml:space="preserve"> (i.e., both commercial and military) </w:t>
      </w:r>
      <w:r w:rsidRPr="002716BA">
        <w:rPr>
          <w:rStyle w:val="StyleUnderline"/>
        </w:rPr>
        <w:t>articles and services. Both agencies could have jurisdiction over a DCS transaction.</w:t>
      </w:r>
      <w:r>
        <w:t xml:space="preserve"> However, as a result of recent U.S. export control reforms, BIS has acquired increased jurisdiction over certain defense items. For example, DDTC often licenses the export and </w:t>
      </w:r>
      <w:proofErr w:type="spellStart"/>
      <w:r>
        <w:t>reexport</w:t>
      </w:r>
      <w:proofErr w:type="spellEnd"/>
      <w:r>
        <w:t xml:space="preserve"> of key end-items (e.g., fighter aircraft), while BIS authorizes the export and retransfer of many of the end-items’ parts, components, accessories, attachments, and associated equipment (e.g., aircraft tires; filters; brake wear pads; and cockpit-panel knobs, indicators, switches, buttons, and dials).</w:t>
      </w:r>
    </w:p>
    <w:p w:rsidR="00E701F4" w:rsidRDefault="00E701F4" w:rsidP="002716BA"/>
    <w:p w:rsidR="00E701F4" w:rsidRDefault="00E701F4" w:rsidP="00E701F4">
      <w:pPr>
        <w:pStyle w:val="Heading4"/>
      </w:pPr>
      <w:r>
        <w:t xml:space="preserve">DCS and FMS are authorized through the DOS and the DOC </w:t>
      </w:r>
    </w:p>
    <w:p w:rsidR="00E701F4" w:rsidRPr="008125A1" w:rsidRDefault="00E701F4" w:rsidP="00E701F4">
      <w:r w:rsidRPr="008125A1">
        <w:rPr>
          <w:rStyle w:val="Style13ptBold"/>
        </w:rPr>
        <w:t>Hays 2016</w:t>
      </w:r>
      <w:r>
        <w:t xml:space="preserve"> (Laurie Hays, international trade specialist on the Aerospace Team in the U.S. Department of Commerce’s International Trade Administration. A note of thanks goes out to Kim Wells, Aerospace Team Leader, and Scott Kennedy, Director of the Office of Transportation and Machinery, "2016-17 Defense Export Handbook Export Strategy, Export Promotion and Resource Guidelines", December 2016, https://www.trade.gov/td/otm/assets/aero/DefHB_FULL.pdf, mmv)</w:t>
      </w:r>
    </w:p>
    <w:p w:rsidR="00E701F4" w:rsidRPr="004C3112" w:rsidRDefault="00E701F4" w:rsidP="00E701F4">
      <w:r w:rsidRPr="008125A1">
        <w:rPr>
          <w:rStyle w:val="StyleUnderline"/>
        </w:rPr>
        <w:t>Things to understand and confirm prior to submitting a DCS bid to a foreign government</w:t>
      </w:r>
      <w:r>
        <w:t xml:space="preserve">: </w:t>
      </w:r>
      <w:r>
        <w:sym w:font="Symbol" w:char="F0B7"/>
      </w:r>
      <w:r>
        <w:t xml:space="preserve"> </w:t>
      </w:r>
      <w:r w:rsidRPr="008125A1">
        <w:rPr>
          <w:rStyle w:val="StyleUnderline"/>
        </w:rPr>
        <w:t>Confirm the type of export control license needed, based on jurisdiction: Export Administration Regulations (EAR), which are regulated by the Department of Commerce, or International Traffic in Arms Regulations (ITAR), which are regulated by DOS</w:t>
      </w:r>
      <w:r>
        <w:t xml:space="preserve">. </w:t>
      </w:r>
      <w:r>
        <w:sym w:font="Symbol" w:char="F0B7"/>
      </w:r>
      <w:r>
        <w:t xml:space="preserve"> Whether any sanctions would preclude a sale (section 126.1 of the ITAR). Identification of penalties that could be imposed if regulations are not upheld. 3 </w:t>
      </w:r>
      <w:r>
        <w:sym w:font="Symbol" w:char="F0B7"/>
      </w:r>
      <w:r>
        <w:t xml:space="preserve"> Know that with DCS, if the foreign entity withholds payment, a company has no direct recourse to payment collection from the U.S. government. ITA primarily assists exporters implementing DCS projects; however the ITAs Advocacy Center provides advocacy for both DCS and FMS cas</w:t>
      </w:r>
      <w:r w:rsidR="0009598A">
        <w:t>es through the Advocacy Center4</w:t>
      </w:r>
      <w:r>
        <w:t xml:space="preserve">. A company can contact a Commercial Services U.S. Export Assistance Centers (USEACs) in their local area for support also. Country Snapshot: DCS to the Republic of Korea (ROK). When exporting via DCS to the ROK, along with receiving potential assistance from the Department of Commerce, U.S. suppliers would deal directly with the ROK military through the Korean Defense Acquisition Program Administration (DAPA). This organization is the sole government agency responsible for conducting and executing the procurement of defense equipment in the ROK. Between 2009 and 2013, 44% of DAPA procurements were DCS </w:t>
      </w:r>
      <w:r w:rsidRPr="008125A1">
        <w:rPr>
          <w:rStyle w:val="StyleUnderline"/>
        </w:rPr>
        <w:t>Ultimately, the U.S. Government authorizes both FMS and DCS sales—but in different ways. For FMS, DSCA and the Department of State (DOS) review and initiate new FMS cases</w:t>
      </w:r>
      <w:r>
        <w:t xml:space="preserve">, based on national security and foreign policy priorities. The U.S. Government is exporting on behalf of the U.S. vendor under the authority of the LOA, so the items do not require an export license. </w:t>
      </w:r>
      <w:r w:rsidRPr="008125A1">
        <w:rPr>
          <w:rStyle w:val="StyleUnderline"/>
        </w:rPr>
        <w:t>Under DCS, USML and dual-use items require an export license. The contractor must apply to either the Department of State or the Department of Commerce, depending on jurisdiction</w:t>
      </w:r>
      <w:r>
        <w:t xml:space="preserve">, to obtain an export license. </w:t>
      </w:r>
      <w:r w:rsidRPr="008125A1">
        <w:rPr>
          <w:rStyle w:val="StyleUnderline"/>
        </w:rPr>
        <w:t>In either method (FMS or DCS), the U.S. Government makes a final decision to authorize a defense export</w:t>
      </w:r>
      <w:r>
        <w:t>.</w:t>
      </w:r>
    </w:p>
    <w:p w:rsidR="00E701F4" w:rsidRPr="002716BA" w:rsidRDefault="00E701F4" w:rsidP="002716BA"/>
    <w:p w:rsidR="00980C5C" w:rsidRDefault="002716BA" w:rsidP="00980C5C">
      <w:pPr>
        <w:pStyle w:val="Heading3"/>
      </w:pPr>
      <w:r>
        <w:t>No Commerce Control List</w:t>
      </w:r>
    </w:p>
    <w:p w:rsidR="00980C5C" w:rsidRPr="00980C5C" w:rsidRDefault="00980C5C" w:rsidP="00980C5C">
      <w:pPr>
        <w:pStyle w:val="Heading4"/>
      </w:pPr>
      <w:r>
        <w:t xml:space="preserve">DCS </w:t>
      </w:r>
      <w:r w:rsidR="003F72FA">
        <w:t xml:space="preserve">only includes arms controlled under the US Munitions List </w:t>
      </w:r>
    </w:p>
    <w:p w:rsidR="00980C5C" w:rsidRPr="00980C5C" w:rsidRDefault="00980C5C" w:rsidP="00980C5C">
      <w:r w:rsidRPr="00980C5C">
        <w:rPr>
          <w:rStyle w:val="Style13ptBold"/>
        </w:rPr>
        <w:t>PM-CPA 2019</w:t>
      </w:r>
      <w:r>
        <w:t xml:space="preserve"> (Bureau of Political-Military Affairs; Office of Congressional and Public Affairs, US Department of State Fact Sheet, "U.S. Arms Sales and Defense Trade", https://www.state.gov/u-s-arms-sales-and-defense-trade/, mmv)</w:t>
      </w:r>
    </w:p>
    <w:p w:rsidR="00980C5C" w:rsidRPr="00980C5C" w:rsidRDefault="00980C5C" w:rsidP="00980C5C">
      <w:r>
        <w:t>DIRECT COMMERCIAL SALES (DCS)</w:t>
      </w:r>
    </w:p>
    <w:p w:rsidR="00980C5C" w:rsidRDefault="00980C5C" w:rsidP="00980C5C">
      <w:r w:rsidRPr="00980C5C">
        <w:rPr>
          <w:rStyle w:val="StyleUnderline"/>
        </w:rPr>
        <w:t>Under DCS, the Bureau of Political-Military Affairs’ Directorate of Defense Trade Controls</w:t>
      </w:r>
      <w:r>
        <w:t xml:space="preserve"> (PM/DDTC) </w:t>
      </w:r>
      <w:r w:rsidRPr="00980C5C">
        <w:rPr>
          <w:rStyle w:val="StyleUnderline"/>
        </w:rPr>
        <w:t xml:space="preserve">provides regulatory approvals for </w:t>
      </w:r>
      <w:r w:rsidRPr="00980C5C">
        <w:t>more than $136 billion per year in</w:t>
      </w:r>
      <w:r w:rsidRPr="00980C5C">
        <w:rPr>
          <w:rStyle w:val="StyleUnderline"/>
        </w:rPr>
        <w:t xml:space="preserve"> sales of defense equipment</w:t>
      </w:r>
      <w:r>
        <w:t xml:space="preserve">, </w:t>
      </w:r>
      <w:r w:rsidRPr="00980C5C">
        <w:t>services, and related manufacturing technologies</w:t>
      </w:r>
      <w:r w:rsidRPr="00980C5C">
        <w:rPr>
          <w:rStyle w:val="StyleUnderline"/>
        </w:rPr>
        <w:t xml:space="preserve"> controlled under the 21 categories of the U.S. Munitions List</w:t>
      </w:r>
      <w:r>
        <w:t xml:space="preserve"> (USML). </w:t>
      </w:r>
      <w:r w:rsidRPr="00980C5C">
        <w:t>These sales are negotiated privately between foreign end-users and U.S. companies</w:t>
      </w:r>
      <w:r>
        <w:t>.</w:t>
      </w:r>
    </w:p>
    <w:p w:rsidR="00980C5C" w:rsidRDefault="00980C5C" w:rsidP="00980C5C"/>
    <w:p w:rsidR="00302A01" w:rsidRDefault="00302A01" w:rsidP="00980C5C"/>
    <w:p w:rsidR="00302A01" w:rsidRDefault="00302A01" w:rsidP="00302A01">
      <w:pPr>
        <w:pStyle w:val="Heading4"/>
      </w:pPr>
      <w:r>
        <w:t>Direct Commercial Sales exclusively refer to items on the US Munitions List</w:t>
      </w:r>
    </w:p>
    <w:p w:rsidR="00302A01" w:rsidRDefault="00302A01" w:rsidP="00302A01">
      <w:pPr>
        <w:rPr>
          <w:b/>
          <w:bCs/>
        </w:rPr>
      </w:pPr>
      <w:r>
        <w:rPr>
          <w:b/>
          <w:bCs/>
        </w:rPr>
        <w:t xml:space="preserve">Abramson, 19 - </w:t>
      </w:r>
      <w:r w:rsidRPr="00D10186">
        <w:t xml:space="preserve">Jeff Abramson is a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  (“High School Policy Debate Resources - 2019-2020” </w:t>
      </w:r>
      <w:hyperlink r:id="rId17" w:history="1">
        <w:r w:rsidRPr="00D10186">
          <w:rPr>
            <w:rStyle w:val="Hyperlink"/>
          </w:rPr>
          <w:t>https://www.forumarmstrade.org/hspolicydebate.html</w:t>
        </w:r>
      </w:hyperlink>
    </w:p>
    <w:p w:rsidR="00302A01" w:rsidRPr="00D10186" w:rsidRDefault="00302A01" w:rsidP="00302A01">
      <w:r w:rsidRPr="00D10186">
        <w:t>What are Foreign Military Sales and Direct Commercial Sales?</w:t>
      </w:r>
    </w:p>
    <w:p w:rsidR="00302A01" w:rsidRPr="00D10186" w:rsidRDefault="00302A01" w:rsidP="00302A01">
      <w:r w:rsidRPr="00D10186">
        <w:t>The Foreign Military Sales (FMS) program manages government-to-government purchases of U.S. defense articles and defense services that are on the U.S. Munitions List (USML) for export to foreign countries. The Direct Commercial Sales (</w:t>
      </w:r>
      <w:r w:rsidRPr="00D10186">
        <w:rPr>
          <w:rStyle w:val="StyleUnderline"/>
        </w:rPr>
        <w:t>DCS</w:t>
      </w:r>
      <w:r w:rsidRPr="00D10186">
        <w:t xml:space="preserve">) program </w:t>
      </w:r>
      <w:r w:rsidRPr="00D10186">
        <w:rPr>
          <w:rStyle w:val="StyleUnderline"/>
        </w:rPr>
        <w:t xml:space="preserve">regulates U.S. companies' international sales of U.S. defense articles and defense services that are on the </w:t>
      </w:r>
      <w:r w:rsidRPr="00D10186">
        <w:rPr>
          <w:rStyle w:val="Emphasis"/>
        </w:rPr>
        <w:t>USML.</w:t>
      </w:r>
      <w:r w:rsidRPr="00D10186">
        <w:t xml:space="preserve"> </w:t>
      </w:r>
      <w:r w:rsidRPr="00D10186">
        <w:rPr>
          <w:rStyle w:val="StyleUnderline"/>
        </w:rPr>
        <w:t>The F</w:t>
      </w:r>
      <w:r w:rsidRPr="00D10186">
        <w:t xml:space="preserve">oreign </w:t>
      </w:r>
      <w:r w:rsidRPr="00D10186">
        <w:rPr>
          <w:rStyle w:val="StyleUnderline"/>
        </w:rPr>
        <w:t>A</w:t>
      </w:r>
      <w:r w:rsidRPr="00D10186">
        <w:t xml:space="preserve">ssistance </w:t>
      </w:r>
      <w:r w:rsidRPr="00D10186">
        <w:rPr>
          <w:rStyle w:val="StyleUnderline"/>
        </w:rPr>
        <w:t>A</w:t>
      </w:r>
      <w:r w:rsidRPr="00D10186">
        <w:t xml:space="preserve">ct of 1961 </w:t>
      </w:r>
      <w:r w:rsidRPr="00D10186">
        <w:rPr>
          <w:rStyle w:val="StyleUnderline"/>
        </w:rPr>
        <w:t>and</w:t>
      </w:r>
      <w:r w:rsidRPr="00D10186">
        <w:t xml:space="preserve"> the </w:t>
      </w:r>
      <w:r w:rsidRPr="00D10186">
        <w:rPr>
          <w:rStyle w:val="StyleUnderline"/>
        </w:rPr>
        <w:t>A</w:t>
      </w:r>
      <w:r w:rsidRPr="00D10186">
        <w:t xml:space="preserve">rms </w:t>
      </w:r>
      <w:r w:rsidRPr="00D10186">
        <w:rPr>
          <w:rStyle w:val="StyleUnderline"/>
        </w:rPr>
        <w:t>E</w:t>
      </w:r>
      <w:r w:rsidRPr="00D10186">
        <w:t xml:space="preserve">xport </w:t>
      </w:r>
      <w:r w:rsidRPr="00D10186">
        <w:rPr>
          <w:rStyle w:val="StyleUnderline"/>
        </w:rPr>
        <w:t>C</w:t>
      </w:r>
      <w:r w:rsidRPr="00D10186">
        <w:t xml:space="preserve">ontrol </w:t>
      </w:r>
      <w:r w:rsidRPr="00D10186">
        <w:rPr>
          <w:rStyle w:val="StyleUnderline"/>
        </w:rPr>
        <w:t>A</w:t>
      </w:r>
      <w:r w:rsidRPr="00D10186">
        <w:t xml:space="preserve">ct of 1976 </w:t>
      </w:r>
      <w:r w:rsidRPr="00D10186">
        <w:rPr>
          <w:rStyle w:val="StyleUnderline"/>
        </w:rPr>
        <w:t>provide the</w:t>
      </w:r>
      <w:r w:rsidRPr="00D10186">
        <w:t xml:space="preserve"> primary </w:t>
      </w:r>
      <w:r w:rsidRPr="00D10186">
        <w:rPr>
          <w:rStyle w:val="StyleUnderline"/>
        </w:rPr>
        <w:t>legal basis for the FMS and DCS</w:t>
      </w:r>
      <w:r w:rsidRPr="00D10186">
        <w:t xml:space="preserve"> programs, which require Congressional notification and other reporting steps.</w:t>
      </w:r>
    </w:p>
    <w:p w:rsidR="00302A01" w:rsidRPr="00D10186" w:rsidRDefault="00302A01" w:rsidP="00302A01">
      <w:r w:rsidRPr="00D10186">
        <w:t>At times, Foreign Military Financing (FMF) is used in FMS and DCS transactions. Items transferred as Excess Defense Articles (EDAs) typically are not counted as FMS and DCS, but may be included in some data sources. Many other forms of security assistance, which often involve weapons transfers and/or training/services, also exist outside of FMS and DCS.</w:t>
      </w:r>
    </w:p>
    <w:p w:rsidR="00302A01" w:rsidRPr="00D10186" w:rsidRDefault="00302A01" w:rsidP="00302A01">
      <w:r w:rsidRPr="00D10186">
        <w:t xml:space="preserve">Traditionally, </w:t>
      </w:r>
      <w:r w:rsidRPr="00D10186">
        <w:rPr>
          <w:rStyle w:val="StyleUnderline"/>
        </w:rPr>
        <w:t>items sold from the</w:t>
      </w:r>
      <w:r w:rsidRPr="00D10186">
        <w:t xml:space="preserve"> Commerce Control List (</w:t>
      </w:r>
      <w:r w:rsidRPr="00D10186">
        <w:rPr>
          <w:rStyle w:val="StyleUnderline"/>
        </w:rPr>
        <w:t>CCL</w:t>
      </w:r>
      <w:r w:rsidRPr="00D10186">
        <w:t xml:space="preserve">), </w:t>
      </w:r>
      <w:r w:rsidRPr="00D10186">
        <w:rPr>
          <w:rStyle w:val="StyleUnderline"/>
        </w:rPr>
        <w:t>be they</w:t>
      </w:r>
      <w:r w:rsidRPr="00D10186">
        <w:t xml:space="preserve"> items with both commercial and military applications (so-called "</w:t>
      </w:r>
      <w:r w:rsidRPr="00D10186">
        <w:rPr>
          <w:rStyle w:val="StyleUnderline"/>
        </w:rPr>
        <w:t>dual-use"</w:t>
      </w:r>
      <w:r w:rsidRPr="00D10186">
        <w:t xml:space="preserve"> goods), </w:t>
      </w:r>
      <w:r w:rsidRPr="00D10186">
        <w:rPr>
          <w:rStyle w:val="StyleUnderline"/>
        </w:rPr>
        <w:t xml:space="preserve">or military items now listed in the CCL 600 series, are </w:t>
      </w:r>
      <w:r w:rsidRPr="00D10186">
        <w:rPr>
          <w:rStyle w:val="Emphasis"/>
        </w:rPr>
        <w:t>not considered DCS</w:t>
      </w:r>
      <w:r w:rsidRPr="00D10186">
        <w:t xml:space="preserve">, </w:t>
      </w:r>
      <w:r w:rsidRPr="00D10186">
        <w:rPr>
          <w:rStyle w:val="StyleUnderline"/>
        </w:rPr>
        <w:t>although some sources create confusion on this issue</w:t>
      </w:r>
      <w:r w:rsidRPr="00D10186">
        <w:t xml:space="preserve">. </w:t>
      </w:r>
    </w:p>
    <w:p w:rsidR="00302A01" w:rsidRDefault="00302A01" w:rsidP="00980C5C"/>
    <w:p w:rsidR="002716BA" w:rsidRDefault="002716BA" w:rsidP="00980C5C"/>
    <w:p w:rsidR="009427D3" w:rsidRDefault="009427D3" w:rsidP="009427D3">
      <w:pPr>
        <w:pStyle w:val="Heading2"/>
      </w:pPr>
      <w:r>
        <w:t>FMS</w:t>
      </w:r>
    </w:p>
    <w:p w:rsidR="003706EA" w:rsidRDefault="003706EA" w:rsidP="00E57861">
      <w:pPr>
        <w:pStyle w:val="Heading3"/>
      </w:pPr>
      <w:r>
        <w:t>FMS Only List</w:t>
      </w:r>
    </w:p>
    <w:p w:rsidR="009312E5" w:rsidRPr="009312E5" w:rsidRDefault="009312E5" w:rsidP="009312E5">
      <w:pPr>
        <w:pStyle w:val="Heading4"/>
      </w:pPr>
      <w:r>
        <w:t xml:space="preserve">Types of things that can only be sold through FMS </w:t>
      </w:r>
    </w:p>
    <w:p w:rsidR="003706EA" w:rsidRDefault="003706EA" w:rsidP="003706EA">
      <w:r w:rsidRPr="00132358">
        <w:rPr>
          <w:rStyle w:val="Style13ptBold"/>
        </w:rPr>
        <w:t>DSCA 2019</w:t>
      </w:r>
      <w:r>
        <w:t xml:space="preserve"> (Defense Security Cooperation Agency, Department of Defense FMS oversight agency, Green Book, "A Comparison of Foreign Military Sales and Direct Commercial Sales", </w:t>
      </w:r>
      <w:hyperlink r:id="rId18" w:history="1">
        <w:r w:rsidRPr="004A67EA">
          <w:rPr>
            <w:rStyle w:val="Hyperlink"/>
          </w:rPr>
          <w:t>https://www.discs.dsca.mil/documents/greenbook/15_Chapter.pdf?id=1</w:t>
        </w:r>
      </w:hyperlink>
      <w:r>
        <w:t>, March 2019, mmv)</w:t>
      </w:r>
    </w:p>
    <w:p w:rsidR="003706EA" w:rsidRPr="003706EA" w:rsidRDefault="003706EA" w:rsidP="003706EA">
      <w:r w:rsidRPr="003706EA">
        <w:rPr>
          <w:rStyle w:val="StyleUnderline"/>
        </w:rPr>
        <w:t xml:space="preserve">The Arms Export Control Act (AECA) gives the President discretion to designate which military end items must be sold exclusively through FMS channels. </w:t>
      </w:r>
      <w:r w:rsidRPr="003706EA">
        <w:t xml:space="preserve">This authority is delegated to the Secretary of State. Generally, this discretion is exercised upon recommendation of </w:t>
      </w:r>
      <w:proofErr w:type="gramStart"/>
      <w:r w:rsidRPr="003706EA">
        <w:t>DoD</w:t>
      </w:r>
      <w:proofErr w:type="gramEnd"/>
      <w:r>
        <w:t xml:space="preserve">. The MILDEPs and </w:t>
      </w:r>
      <w:proofErr w:type="gramStart"/>
      <w:r>
        <w:t>DoD</w:t>
      </w:r>
      <w:proofErr w:type="gramEnd"/>
      <w:r>
        <w:t xml:space="preserve"> components forward recommendations and rationales for FMS-only designations to the Defense Security Cooperation Agency (DSCA) and the Defense Technology Security Administration (DTSA). DSCA provides FMS-Only recommendations to the </w:t>
      </w:r>
      <w:proofErr w:type="spellStart"/>
      <w:r>
        <w:t>DoS</w:t>
      </w:r>
      <w:proofErr w:type="spellEnd"/>
      <w:r>
        <w:t xml:space="preserve"> for review and approval/disapproval. </w:t>
      </w:r>
      <w:r w:rsidRPr="003706EA">
        <w:t xml:space="preserve">DTSA monitors this process through its involvement with the </w:t>
      </w:r>
      <w:proofErr w:type="spellStart"/>
      <w:r w:rsidRPr="003706EA">
        <w:t>DoS</w:t>
      </w:r>
      <w:proofErr w:type="spellEnd"/>
      <w:r w:rsidRPr="003706EA">
        <w:t xml:space="preserve"> in reviewing commercial export license requests</w:t>
      </w:r>
      <w:r>
        <w:t xml:space="preserve">. The </w:t>
      </w:r>
      <w:proofErr w:type="spellStart"/>
      <w:r>
        <w:t>DoS</w:t>
      </w:r>
      <w:proofErr w:type="spellEnd"/>
      <w:r>
        <w:t xml:space="preserve"> will not issue a commercial export license for sales restricted to FMS-Only. In the absence of an export license, the only remaining method to procure U.S. defense articles or services is the FMS process. </w:t>
      </w:r>
      <w:r w:rsidRPr="003706EA">
        <w:rPr>
          <w:rStyle w:val="StyleUnderline"/>
        </w:rPr>
        <w:t>SAMM C4.3.5.2 lists military capabilities and systems by general category that the USG broadly considers to be available for export on an FMS-Only basis</w:t>
      </w:r>
      <w:r>
        <w:t>. This list is reflected in Table 15-1.</w:t>
      </w:r>
    </w:p>
    <w:p w:rsidR="003706EA" w:rsidRDefault="003706EA" w:rsidP="003706EA">
      <w:r w:rsidRPr="003706EA">
        <w:rPr>
          <w:rStyle w:val="StyleUnderline"/>
        </w:rPr>
        <w:t>Select Radars</w:t>
      </w:r>
      <w:r>
        <w:t xml:space="preserve">: such as but not limited to AESA, </w:t>
      </w:r>
      <w:r w:rsidRPr="003706EA">
        <w:rPr>
          <w:rStyle w:val="StyleUnderline"/>
        </w:rPr>
        <w:t>Ballistic Missile Defense</w:t>
      </w:r>
      <w:r>
        <w:t xml:space="preserve">, and High-Frequency Phased Array Microwave • </w:t>
      </w:r>
      <w:r w:rsidRPr="003706EA">
        <w:rPr>
          <w:rStyle w:val="StyleUnderline"/>
        </w:rPr>
        <w:t>Air-to-Air Missiles</w:t>
      </w:r>
      <w:r>
        <w:t xml:space="preserve"> • </w:t>
      </w:r>
      <w:r w:rsidRPr="003706EA">
        <w:rPr>
          <w:rStyle w:val="StyleUnderline"/>
        </w:rPr>
        <w:t>Attack Helicopters</w:t>
      </w:r>
      <w:r>
        <w:t xml:space="preserve"> • </w:t>
      </w:r>
      <w:r w:rsidRPr="003706EA">
        <w:rPr>
          <w:rStyle w:val="StyleUnderline"/>
        </w:rPr>
        <w:t>Autonomous Weapons Systems</w:t>
      </w:r>
      <w:r>
        <w:t xml:space="preserve"> • Ballistic Missile Defense Items: Effectors; Firing Units; Software • </w:t>
      </w:r>
      <w:r w:rsidRPr="003706EA">
        <w:rPr>
          <w:rStyle w:val="StyleUnderline"/>
        </w:rPr>
        <w:t>Special Purpose Aircraft</w:t>
      </w:r>
      <w:r>
        <w:t xml:space="preserve"> Items • </w:t>
      </w:r>
      <w:r w:rsidRPr="003706EA">
        <w:rPr>
          <w:rStyle w:val="StyleUnderline"/>
        </w:rPr>
        <w:t>Counter Improvised Explosive Device Items</w:t>
      </w:r>
      <w:r>
        <w:t xml:space="preserve"> • Cross Domain Solutions (involving critical U.S. systems) • </w:t>
      </w:r>
      <w:r w:rsidRPr="003706EA">
        <w:rPr>
          <w:rStyle w:val="StyleUnderline"/>
        </w:rPr>
        <w:t>Directed Energy Weapons</w:t>
      </w:r>
      <w:r>
        <w:t xml:space="preserve"> • </w:t>
      </w:r>
      <w:r w:rsidRPr="003706EA">
        <w:rPr>
          <w:rStyle w:val="StyleUnderline"/>
        </w:rPr>
        <w:t>Fighter Aircraft</w:t>
      </w:r>
      <w:r>
        <w:t xml:space="preserve"> • </w:t>
      </w:r>
      <w:r w:rsidRPr="003706EA">
        <w:rPr>
          <w:rStyle w:val="StyleUnderline"/>
        </w:rPr>
        <w:t>Ground Based Air Defense Items</w:t>
      </w:r>
      <w:r>
        <w:t xml:space="preserve"> • </w:t>
      </w:r>
      <w:r w:rsidRPr="003706EA">
        <w:rPr>
          <w:rStyle w:val="StyleUnderline"/>
        </w:rPr>
        <w:t>Infrared Countermeasures</w:t>
      </w:r>
      <w:r>
        <w:t xml:space="preserve"> • Intelligence Libraries/Threat Data • LADAR/LIDAR (Laser/Light Detection and Ranging) • Man-Portable Air Defense Items • Military Aerosol Delivery Systems • </w:t>
      </w:r>
      <w:r w:rsidRPr="003706EA">
        <w:rPr>
          <w:rStyle w:val="StyleUnderline"/>
        </w:rPr>
        <w:t>Missiles</w:t>
      </w:r>
      <w:r>
        <w:t xml:space="preserve"> • Mission Equipment/Systems • Mission Planning Systems • </w:t>
      </w:r>
      <w:r w:rsidRPr="003706EA">
        <w:rPr>
          <w:rStyle w:val="StyleUnderline"/>
        </w:rPr>
        <w:t>Missile Technology Control Regime</w:t>
      </w:r>
      <w:r>
        <w:t xml:space="preserve"> CAT I Items • GPS/PPS (Allowances made for certain DCS transfers remain in effect) • </w:t>
      </w:r>
      <w:r w:rsidRPr="003706EA">
        <w:rPr>
          <w:rStyle w:val="StyleUnderline"/>
        </w:rPr>
        <w:t>Nuclear/Nuclear Propulsion</w:t>
      </w:r>
      <w:r>
        <w:t xml:space="preserve"> • Select Electronic Warfare Items • Select Sensor Fusion Man-Portable Night Vision Devices • Sensor Fused Weapons • Stand Off Weapons • </w:t>
      </w:r>
      <w:r w:rsidRPr="009312E5">
        <w:rPr>
          <w:rStyle w:val="StyleUnderline"/>
        </w:rPr>
        <w:t>Sonar</w:t>
      </w:r>
      <w:r>
        <w:t xml:space="preserve"> • COMSEC • </w:t>
      </w:r>
      <w:r w:rsidRPr="009312E5">
        <w:rPr>
          <w:rStyle w:val="StyleUnderline"/>
        </w:rPr>
        <w:t>Select Torpedoes</w:t>
      </w:r>
      <w:r>
        <w:t xml:space="preserve"> • Torpedo Countermeasures • </w:t>
      </w:r>
      <w:r w:rsidRPr="009312E5">
        <w:rPr>
          <w:rStyle w:val="StyleUnderline"/>
        </w:rPr>
        <w:t>Anti-Ship Cruise Missile Countermeasures</w:t>
      </w:r>
      <w:r>
        <w:t xml:space="preserve"> • </w:t>
      </w:r>
      <w:r w:rsidRPr="009312E5">
        <w:rPr>
          <w:rStyle w:val="StyleUnderline"/>
        </w:rPr>
        <w:t>Unmanned Aerial Systems and related components</w:t>
      </w:r>
    </w:p>
    <w:p w:rsidR="003706EA" w:rsidRPr="003706EA" w:rsidRDefault="003706EA" w:rsidP="003706EA"/>
    <w:p w:rsidR="00E57861" w:rsidRDefault="00E57861" w:rsidP="00E57861">
      <w:pPr>
        <w:pStyle w:val="Heading3"/>
      </w:pPr>
      <w:proofErr w:type="spellStart"/>
      <w:r>
        <w:t>Gov</w:t>
      </w:r>
      <w:proofErr w:type="spellEnd"/>
      <w:r>
        <w:t xml:space="preserve"> to </w:t>
      </w:r>
      <w:proofErr w:type="spellStart"/>
      <w:r>
        <w:t>Gov</w:t>
      </w:r>
      <w:proofErr w:type="spellEnd"/>
    </w:p>
    <w:p w:rsidR="00E57861" w:rsidRPr="002845FA" w:rsidRDefault="00E57861" w:rsidP="00E57861">
      <w:pPr>
        <w:pStyle w:val="Heading4"/>
      </w:pPr>
      <w:r>
        <w:t xml:space="preserve">FMS is a </w:t>
      </w:r>
      <w:proofErr w:type="spellStart"/>
      <w:r w:rsidRPr="002845FA">
        <w:rPr>
          <w:i/>
        </w:rPr>
        <w:t>gov</w:t>
      </w:r>
      <w:proofErr w:type="spellEnd"/>
      <w:r w:rsidRPr="002845FA">
        <w:rPr>
          <w:i/>
        </w:rPr>
        <w:t xml:space="preserve"> to </w:t>
      </w:r>
      <w:proofErr w:type="spellStart"/>
      <w:r w:rsidRPr="002845FA">
        <w:rPr>
          <w:i/>
        </w:rPr>
        <w:t>gov</w:t>
      </w:r>
      <w:proofErr w:type="spellEnd"/>
      <w:r>
        <w:t xml:space="preserve"> sale of US origin defense articles</w:t>
      </w:r>
    </w:p>
    <w:p w:rsidR="00E57861" w:rsidRDefault="00E57861" w:rsidP="00E57861">
      <w:r w:rsidRPr="001E148D">
        <w:rPr>
          <w:rStyle w:val="Style13ptBold"/>
        </w:rPr>
        <w:t>Kerr and Rosen 2019</w:t>
      </w:r>
      <w:r>
        <w:t xml:space="preserve"> (Paul Kerr, Liana Rosen, Congressional Research Service, "U.S. Arms Sales and Human Rights: Legislative Basis and Frequently Asked Questions", In Focus, Updated May 6, 2019, </w:t>
      </w:r>
      <w:hyperlink r:id="rId19" w:history="1">
        <w:r w:rsidRPr="00D358FC">
          <w:rPr>
            <w:rStyle w:val="Hyperlink"/>
          </w:rPr>
          <w:t>https://fas.org/sgp/crs/weapons/IF11197.pdf</w:t>
        </w:r>
      </w:hyperlink>
      <w:r>
        <w:t>, mmv)</w:t>
      </w:r>
    </w:p>
    <w:p w:rsidR="00E57861" w:rsidRPr="002845FA" w:rsidRDefault="00E57861" w:rsidP="00E57861">
      <w:r w:rsidRPr="002845FA">
        <w:rPr>
          <w:rStyle w:val="StyleUnderline"/>
        </w:rPr>
        <w:t>The Arms Export Control Act</w:t>
      </w:r>
      <w:r>
        <w:t xml:space="preserve"> (AECA; P.L. 90-629; 22 U.S.C. 2751 et seq.) </w:t>
      </w:r>
      <w:r w:rsidRPr="002845FA">
        <w:rPr>
          <w:rStyle w:val="StyleUnderline"/>
        </w:rPr>
        <w:t>and the Foreign Assistance Act</w:t>
      </w:r>
      <w:r>
        <w:t xml:space="preserve"> of 1961 (FAA; P.L. 87-195; 22 U.S.C. 2151 et seq.) </w:t>
      </w:r>
      <w:r w:rsidRPr="002845FA">
        <w:rPr>
          <w:rStyle w:val="StyleUnderline"/>
        </w:rPr>
        <w:t>establish provisions governing Foreign Military Sales (FMS) and Direct Commercial Sales (DCS) to foreign consumers</w:t>
      </w:r>
      <w:r>
        <w:t xml:space="preserve">, including foreign governments. </w:t>
      </w:r>
      <w:r w:rsidRPr="002845FA">
        <w:rPr>
          <w:rStyle w:val="StyleUnderline"/>
        </w:rPr>
        <w:t>FMS refers to the sale of U.S.-origin defense articles, equipment, services, and training</w:t>
      </w:r>
      <w:r>
        <w:t xml:space="preserve"> (hereafter </w:t>
      </w:r>
      <w:r w:rsidRPr="002845FA">
        <w:rPr>
          <w:rStyle w:val="StyleUnderline"/>
        </w:rPr>
        <w:t xml:space="preserve">referred to as “defense articles”) on a government-to-government basis. </w:t>
      </w:r>
      <w:r w:rsidRPr="002845FA">
        <w:t>DCS refers to the sale of U.S.-government licensed defense articles and services directly from U.S. firms to eligible foreign governments and international organizations</w:t>
      </w:r>
      <w:r>
        <w:t>.</w:t>
      </w:r>
    </w:p>
    <w:p w:rsidR="00E57861" w:rsidRDefault="00E57861" w:rsidP="00E57861"/>
    <w:p w:rsidR="00E57861" w:rsidRDefault="00E57861" w:rsidP="00E57861"/>
    <w:p w:rsidR="00E57861" w:rsidRDefault="00E57861" w:rsidP="00E57861">
      <w:pPr>
        <w:pStyle w:val="Heading4"/>
      </w:pPr>
      <w:r>
        <w:t xml:space="preserve">FMS has to be </w:t>
      </w:r>
      <w:proofErr w:type="spellStart"/>
      <w:r>
        <w:t>gov</w:t>
      </w:r>
      <w:proofErr w:type="spellEnd"/>
      <w:r>
        <w:t xml:space="preserve"> to </w:t>
      </w:r>
      <w:proofErr w:type="spellStart"/>
      <w:r>
        <w:t>gov</w:t>
      </w:r>
      <w:proofErr w:type="spellEnd"/>
    </w:p>
    <w:p w:rsidR="00E57861" w:rsidRDefault="00E57861" w:rsidP="00E57861">
      <w:r w:rsidRPr="00DF2AB6">
        <w:rPr>
          <w:rStyle w:val="Style13ptBold"/>
        </w:rPr>
        <w:t xml:space="preserve">DSCA </w:t>
      </w:r>
      <w:r>
        <w:rPr>
          <w:rStyle w:val="Style13ptBold"/>
        </w:rPr>
        <w:t>No Date</w:t>
      </w:r>
      <w:r>
        <w:t xml:space="preserve"> (Defense Security Cooperation Agency, Department of Defense FMS oversight agency, "Foreign Military Sales", </w:t>
      </w:r>
      <w:hyperlink r:id="rId20" w:history="1">
        <w:r w:rsidRPr="004A67EA">
          <w:rPr>
            <w:rStyle w:val="Hyperlink"/>
          </w:rPr>
          <w:t>https://www.dsca.mil/programs/foreign-military-sales-fms</w:t>
        </w:r>
      </w:hyperlink>
      <w:r>
        <w:t>, mmv)</w:t>
      </w:r>
    </w:p>
    <w:p w:rsidR="00E57861" w:rsidRDefault="00E57861" w:rsidP="00E57861">
      <w:r w:rsidRPr="00DF2AB6">
        <w:rPr>
          <w:rStyle w:val="StyleUnderline"/>
        </w:rPr>
        <w:t>The Foreign Military Sales (FMS) program is a form of security assistance authorized by the Arms Export Control Act (AECA),</w:t>
      </w:r>
      <w:r>
        <w:t xml:space="preserve"> as amended [22 U.S.C. 2751, et. seq.] and a fundamental tool of U.S. foreign policy.</w:t>
      </w:r>
    </w:p>
    <w:p w:rsidR="00E57861" w:rsidRDefault="00E57861" w:rsidP="00E57861">
      <w:r>
        <w:t>Under Section 3, of the AECA, the U.S. may sell defense articles and services to foreign countries and international organizations when the President formally finds that to do so will strengthen the security of the U.S. and promote world peace.</w:t>
      </w:r>
    </w:p>
    <w:p w:rsidR="00E57861" w:rsidRPr="00DF2AB6" w:rsidRDefault="00E57861" w:rsidP="00E57861">
      <w:pPr>
        <w:rPr>
          <w:rStyle w:val="StyleUnderline"/>
        </w:rPr>
      </w:pPr>
      <w:r w:rsidRPr="00DF2AB6">
        <w:rPr>
          <w:rStyle w:val="StyleUnderline"/>
        </w:rPr>
        <w:t>Under FMS, the U.S. Government and a foreign government enter into a government-to-government agreement called a Letter of Offer and Acceptance (LOA).</w:t>
      </w:r>
    </w:p>
    <w:p w:rsidR="00E57861" w:rsidRDefault="00E57861" w:rsidP="00E57861">
      <w:pPr>
        <w:tabs>
          <w:tab w:val="left" w:pos="2385"/>
          <w:tab w:val="left" w:pos="5640"/>
        </w:tabs>
      </w:pPr>
      <w:r>
        <w:t>Who:</w:t>
      </w:r>
      <w:r>
        <w:tab/>
      </w:r>
      <w:r>
        <w:tab/>
      </w:r>
    </w:p>
    <w:p w:rsidR="00E57861" w:rsidRDefault="00E57861" w:rsidP="00E57861">
      <w:r>
        <w:t>Secretary of State determines which countries will have programs.  Secretary of Defense executes the program.</w:t>
      </w:r>
    </w:p>
    <w:p w:rsidR="00E57861" w:rsidRDefault="00E57861" w:rsidP="00E57861"/>
    <w:p w:rsidR="004C3112" w:rsidRDefault="004C3112" w:rsidP="00E57861"/>
    <w:p w:rsidR="00E57861" w:rsidRPr="002845FA" w:rsidRDefault="00E57861" w:rsidP="00E57861"/>
    <w:p w:rsidR="00F072CF" w:rsidRDefault="009312E5" w:rsidP="00F072CF">
      <w:pPr>
        <w:pStyle w:val="Heading3"/>
      </w:pPr>
      <w:r>
        <w:t xml:space="preserve">Any </w:t>
      </w:r>
      <w:r w:rsidR="00E57861">
        <w:t>For</w:t>
      </w:r>
      <w:r w:rsidR="002845FA">
        <w:t>ei</w:t>
      </w:r>
      <w:r w:rsidR="00E57861">
        <w:t>g</w:t>
      </w:r>
      <w:r w:rsidR="002845FA">
        <w:t>n</w:t>
      </w:r>
    </w:p>
    <w:p w:rsidR="00F072CF" w:rsidRPr="00F072CF" w:rsidRDefault="00F072CF" w:rsidP="00F072CF">
      <w:pPr>
        <w:pStyle w:val="Heading4"/>
      </w:pPr>
      <w:r>
        <w:t xml:space="preserve">FMS is a sale of defense articles and </w:t>
      </w:r>
      <w:r w:rsidR="002845FA">
        <w:t>services</w:t>
      </w:r>
      <w:r>
        <w:t xml:space="preserve"> from the </w:t>
      </w:r>
      <w:proofErr w:type="spellStart"/>
      <w:r>
        <w:t>USfg</w:t>
      </w:r>
      <w:proofErr w:type="spellEnd"/>
      <w:r>
        <w:t xml:space="preserve"> to an international agent </w:t>
      </w:r>
    </w:p>
    <w:p w:rsidR="00F072CF" w:rsidRDefault="00F072CF" w:rsidP="00F072CF">
      <w:r w:rsidRPr="00F072CF">
        <w:rPr>
          <w:rStyle w:val="Style13ptBold"/>
        </w:rPr>
        <w:t>DOD 2019</w:t>
      </w:r>
      <w:r>
        <w:t xml:space="preserve"> (Department of Defense Dictionary of Military and Associated Terms, As of May 2019, </w:t>
      </w:r>
      <w:hyperlink r:id="rId21" w:history="1">
        <w:r w:rsidRPr="00D358FC">
          <w:rPr>
            <w:rStyle w:val="Hyperlink"/>
          </w:rPr>
          <w:t>https://www.jcs.mil/Portals/36/Documents/Doctrine/pubs/dictionary.pdf</w:t>
        </w:r>
      </w:hyperlink>
      <w:r>
        <w:t>, mmv)</w:t>
      </w:r>
    </w:p>
    <w:p w:rsidR="00F072CF" w:rsidRDefault="00F072CF" w:rsidP="00F072CF">
      <w:r w:rsidRPr="00F072CF">
        <w:rPr>
          <w:rStyle w:val="StyleUnderline"/>
        </w:rPr>
        <w:t>foreign military sales</w:t>
      </w:r>
      <w:r>
        <w:t xml:space="preserve"> — That </w:t>
      </w:r>
      <w:r w:rsidRPr="00F072CF">
        <w:rPr>
          <w:rStyle w:val="StyleUnderline"/>
        </w:rPr>
        <w:t>portion of United States security assistance for sales programs that require</w:t>
      </w:r>
      <w:r>
        <w:t xml:space="preserve"> agreements/</w:t>
      </w:r>
      <w:r w:rsidRPr="00F072CF">
        <w:rPr>
          <w:rStyle w:val="StyleUnderline"/>
        </w:rPr>
        <w:t>contracts between the United States Government and an authorized recipient government or international organization for defense articles and services to be provided to the recipient for current stocks or new procurements under Department of Defense-managed contracts</w:t>
      </w:r>
      <w:r>
        <w:t xml:space="preserve">, regardless of the source of financing. </w:t>
      </w:r>
      <w:r w:rsidRPr="00F072CF">
        <w:rPr>
          <w:rStyle w:val="StyleUnderline"/>
        </w:rPr>
        <w:t>Also called FMS</w:t>
      </w:r>
      <w:r>
        <w:t>. (JP 3-20)</w:t>
      </w:r>
    </w:p>
    <w:p w:rsidR="00F072CF" w:rsidRDefault="00F072CF" w:rsidP="00F072CF"/>
    <w:p w:rsidR="00F072CF" w:rsidRDefault="00980C5C" w:rsidP="00F072CF">
      <w:pPr>
        <w:pStyle w:val="Heading3"/>
      </w:pPr>
      <w:r>
        <w:t>Done by the DOS and DOD</w:t>
      </w:r>
    </w:p>
    <w:p w:rsidR="003706EA" w:rsidRPr="003706EA" w:rsidRDefault="003706EA" w:rsidP="003706EA">
      <w:pPr>
        <w:pStyle w:val="Heading4"/>
      </w:pPr>
      <w:r>
        <w:t>Authority for FMS only designation belongs to the DOS</w:t>
      </w:r>
    </w:p>
    <w:p w:rsidR="003706EA" w:rsidRDefault="00132358" w:rsidP="00132358">
      <w:r w:rsidRPr="00132358">
        <w:rPr>
          <w:rStyle w:val="Style13ptBold"/>
        </w:rPr>
        <w:t>DSCA 2019</w:t>
      </w:r>
      <w:r>
        <w:t xml:space="preserve"> (</w:t>
      </w:r>
      <w:r w:rsidR="003706EA">
        <w:t xml:space="preserve">Defense Security Cooperation Agency, Department of Defense FMS oversight agency, </w:t>
      </w:r>
      <w:r>
        <w:t xml:space="preserve">Green Book, "A Comparison of Foreign Military Sales and Direct Commercial Sales", </w:t>
      </w:r>
      <w:hyperlink r:id="rId22" w:history="1">
        <w:r w:rsidR="003706EA" w:rsidRPr="004A67EA">
          <w:rPr>
            <w:rStyle w:val="Hyperlink"/>
          </w:rPr>
          <w:t>https://www.discs.dsca.mil/documents/greenbook/15_Chapter.pdf?id=1</w:t>
        </w:r>
      </w:hyperlink>
      <w:r w:rsidR="003706EA">
        <w:t>, March 2019, mmv)</w:t>
      </w:r>
    </w:p>
    <w:p w:rsidR="00132358" w:rsidRDefault="00132358" w:rsidP="00132358">
      <w:r w:rsidRPr="003706EA">
        <w:rPr>
          <w:rStyle w:val="StyleUnderline"/>
        </w:rPr>
        <w:t>The Arms Export Control Act (AECA) gives the President discretion to designate which military end items must be sold exclusively through FMS channels. This authority is delegated to the Secretary of State</w:t>
      </w:r>
      <w:r>
        <w:t xml:space="preserve">. Generally, </w:t>
      </w:r>
      <w:r w:rsidRPr="003706EA">
        <w:rPr>
          <w:rStyle w:val="StyleUnderline"/>
        </w:rPr>
        <w:t xml:space="preserve">this discretion is exercised upon recommendation of </w:t>
      </w:r>
      <w:proofErr w:type="gramStart"/>
      <w:r w:rsidRPr="003706EA">
        <w:rPr>
          <w:rStyle w:val="StyleUnderline"/>
        </w:rPr>
        <w:t>DoD</w:t>
      </w:r>
      <w:proofErr w:type="gramEnd"/>
      <w:r>
        <w:t xml:space="preserve">. The MILDEPs and </w:t>
      </w:r>
      <w:proofErr w:type="gramStart"/>
      <w:r>
        <w:t>DoD</w:t>
      </w:r>
      <w:proofErr w:type="gramEnd"/>
      <w:r>
        <w:t xml:space="preserve"> components forward recommendations and rationales for FMS-only designations to the Defense Security Cooperation Agency (DSCA) and the Defense Technology Security Administration (DTSA). DSCA provides FMS-Only recommendations to the </w:t>
      </w:r>
      <w:proofErr w:type="spellStart"/>
      <w:r>
        <w:t>DoS</w:t>
      </w:r>
      <w:proofErr w:type="spellEnd"/>
      <w:r>
        <w:t xml:space="preserve"> for review and approval/disapproval. </w:t>
      </w:r>
      <w:r w:rsidRPr="003706EA">
        <w:rPr>
          <w:rStyle w:val="StyleUnderline"/>
        </w:rPr>
        <w:t xml:space="preserve">DTSA monitors this process through its involvement with the </w:t>
      </w:r>
      <w:proofErr w:type="spellStart"/>
      <w:r w:rsidRPr="003706EA">
        <w:rPr>
          <w:rStyle w:val="StyleUnderline"/>
        </w:rPr>
        <w:t>DoS</w:t>
      </w:r>
      <w:proofErr w:type="spellEnd"/>
      <w:r w:rsidRPr="003706EA">
        <w:rPr>
          <w:rStyle w:val="StyleUnderline"/>
        </w:rPr>
        <w:t xml:space="preserve"> in reviewing commercial export license requests</w:t>
      </w:r>
      <w:r>
        <w:t xml:space="preserve">. The </w:t>
      </w:r>
      <w:proofErr w:type="spellStart"/>
      <w:r>
        <w:t>DoS</w:t>
      </w:r>
      <w:proofErr w:type="spellEnd"/>
      <w:r>
        <w:t xml:space="preserve"> will not issue a commercial export license for sales restricted to FMS-Only. In the absence of an export license, the only remaining method to procure U.S. defense articles or services is the FMS process. </w:t>
      </w:r>
      <w:r w:rsidRPr="003706EA">
        <w:t>SAMM C4.3.5.2 lists military capabilities and systems by general category that the USG broadly considers to be available for export on an FMS-Only basis</w:t>
      </w:r>
      <w:r>
        <w:t>. This list is reflected in Table 15-1.</w:t>
      </w:r>
    </w:p>
    <w:p w:rsidR="00132358" w:rsidRDefault="00132358" w:rsidP="00132358"/>
    <w:p w:rsidR="00132358" w:rsidRPr="00132358" w:rsidRDefault="00132358" w:rsidP="00132358"/>
    <w:p w:rsidR="00980C5C" w:rsidRPr="00980C5C" w:rsidRDefault="00980C5C" w:rsidP="00980C5C">
      <w:pPr>
        <w:pStyle w:val="Heading4"/>
      </w:pPr>
      <w:r>
        <w:t>All FMS policy is enacted by the DOS and enforced and monitored by the DOD</w:t>
      </w:r>
    </w:p>
    <w:p w:rsidR="00980C5C" w:rsidRPr="00980C5C" w:rsidRDefault="00980C5C" w:rsidP="00980C5C">
      <w:r w:rsidRPr="00980C5C">
        <w:rPr>
          <w:rStyle w:val="Style13ptBold"/>
        </w:rPr>
        <w:t>PM-CPA 2019</w:t>
      </w:r>
      <w:r>
        <w:t xml:space="preserve"> (Bureau of Political-Military Affairs; Office of Congressional and Public Affairs, US Department of State Fact Sheet, "U.S. Arms Sales and Defense Trade", </w:t>
      </w:r>
      <w:hyperlink r:id="rId23" w:history="1">
        <w:r w:rsidRPr="00D358FC">
          <w:rPr>
            <w:rStyle w:val="Hyperlink"/>
          </w:rPr>
          <w:t>https://www.state.gov/u-s-arms-sales-and-defense-trade/</w:t>
        </w:r>
      </w:hyperlink>
      <w:r>
        <w:t>, mmv)</w:t>
      </w:r>
    </w:p>
    <w:p w:rsidR="00F072CF" w:rsidRDefault="00F072CF" w:rsidP="00F072CF">
      <w:r>
        <w:t>FOREIGN MILITARY SALES (FMS)</w:t>
      </w:r>
    </w:p>
    <w:p w:rsidR="00F072CF" w:rsidRDefault="00F072CF" w:rsidP="00F072CF">
      <w:r w:rsidRPr="00F072CF">
        <w:rPr>
          <w:rStyle w:val="StyleUnderline"/>
        </w:rPr>
        <w:t xml:space="preserve">Under FMS, the United States </w:t>
      </w:r>
      <w:r w:rsidRPr="00980C5C">
        <w:rPr>
          <w:rStyle w:val="StyleUnderline"/>
        </w:rPr>
        <w:t>government manages the transfer</w:t>
      </w:r>
      <w:r>
        <w:t xml:space="preserve"> of approximately $43 billion per year </w:t>
      </w:r>
      <w:r w:rsidRPr="00980C5C">
        <w:rPr>
          <w:rStyle w:val="StyleUnderline"/>
        </w:rPr>
        <w:t>of defense equipment purchased by foreign allies and partners</w:t>
      </w:r>
      <w:r>
        <w:t xml:space="preserve">. </w:t>
      </w:r>
      <w:r w:rsidRPr="00980C5C">
        <w:rPr>
          <w:rStyle w:val="StyleUnderline"/>
        </w:rPr>
        <w:t>The Office of Regional Security and Arms Transfers in the Department of State’s Bureau of Political-Military Affairs</w:t>
      </w:r>
      <w:r>
        <w:t xml:space="preserve"> (PM/RSAT) </w:t>
      </w:r>
      <w:r w:rsidRPr="00980C5C">
        <w:rPr>
          <w:rStyle w:val="StyleUnderline"/>
        </w:rPr>
        <w:t>manages the FMS process, in close partnership with the Department of Defense’s Defense Security Cooperation Agency (DSCA), which implements FMS cases by working through the military services to negotiate with U.S. defense contractors, and by providing the customer with training, sustainment, and contractor logistics support for the lifetime of the sale</w:t>
      </w:r>
      <w:r>
        <w:t>.</w:t>
      </w:r>
    </w:p>
    <w:p w:rsidR="00F072CF" w:rsidRDefault="00F072CF" w:rsidP="00F072CF"/>
    <w:p w:rsidR="002845FA" w:rsidRDefault="002845FA" w:rsidP="00F072CF"/>
    <w:p w:rsidR="00DF2AB6" w:rsidRDefault="00DF2AB6" w:rsidP="00DF2AB6">
      <w:pPr>
        <w:pStyle w:val="Heading4"/>
      </w:pPr>
      <w:r>
        <w:t>The DOS would pass the plan, the DOD would execute it</w:t>
      </w:r>
    </w:p>
    <w:p w:rsidR="00DF2AB6" w:rsidRDefault="00DF2AB6" w:rsidP="00DF2AB6">
      <w:r w:rsidRPr="00DF2AB6">
        <w:rPr>
          <w:rStyle w:val="Style13ptBold"/>
        </w:rPr>
        <w:t xml:space="preserve">DSCA </w:t>
      </w:r>
      <w:r>
        <w:rPr>
          <w:rStyle w:val="Style13ptBold"/>
        </w:rPr>
        <w:t>No Date</w:t>
      </w:r>
      <w:r>
        <w:t xml:space="preserve"> (Defense Security Cooperation Agency, Department of Defense FMS oversight agency, "Foreign Military Sales", </w:t>
      </w:r>
      <w:hyperlink r:id="rId24" w:history="1">
        <w:r w:rsidRPr="004A67EA">
          <w:rPr>
            <w:rStyle w:val="Hyperlink"/>
          </w:rPr>
          <w:t>https://www.dsca.mil/programs/foreign-military-sales-fms</w:t>
        </w:r>
      </w:hyperlink>
      <w:r>
        <w:t>, mmv)</w:t>
      </w:r>
    </w:p>
    <w:p w:rsidR="00DF2AB6" w:rsidRDefault="00DF2AB6" w:rsidP="00DF2AB6">
      <w:r w:rsidRPr="00DF2AB6">
        <w:rPr>
          <w:rStyle w:val="StyleUnderline"/>
        </w:rPr>
        <w:t>The Foreign Military Sales (FMS) program is a form of security assistance authorized by the Arms Export Control Act (AECA),</w:t>
      </w:r>
      <w:r>
        <w:t xml:space="preserve"> as amended [22 U.S.C. 2751, et. seq.] and a fundamental tool of U.S. foreign policy.</w:t>
      </w:r>
    </w:p>
    <w:p w:rsidR="00DF2AB6" w:rsidRDefault="00DF2AB6" w:rsidP="00DF2AB6">
      <w:r>
        <w:t>Under Section 3, of the AECA, the U.S. may sell defense articles and services to foreign countries and international organizations when the President formally finds that to do so will strengthen the security of the U.S. and promote world peace.</w:t>
      </w:r>
    </w:p>
    <w:p w:rsidR="00DF2AB6" w:rsidRPr="00DF2AB6" w:rsidRDefault="00DF2AB6" w:rsidP="00DF2AB6">
      <w:r w:rsidRPr="00DF2AB6">
        <w:t>Under FMS, the U.S. Government and a foreign government enter into a government-to-government agreement called a Letter of Offer and Acceptance (LOA).</w:t>
      </w:r>
    </w:p>
    <w:p w:rsidR="00DF2AB6" w:rsidRPr="00DF2AB6" w:rsidRDefault="00DF2AB6" w:rsidP="00DF2AB6">
      <w:pPr>
        <w:tabs>
          <w:tab w:val="left" w:pos="2385"/>
          <w:tab w:val="left" w:pos="5640"/>
        </w:tabs>
        <w:rPr>
          <w:rStyle w:val="StyleUnderline"/>
        </w:rPr>
      </w:pPr>
      <w:r w:rsidRPr="00DF2AB6">
        <w:rPr>
          <w:rStyle w:val="StyleUnderline"/>
        </w:rPr>
        <w:t>Who:</w:t>
      </w:r>
    </w:p>
    <w:p w:rsidR="00DF2AB6" w:rsidRPr="00DF2AB6" w:rsidRDefault="00DF2AB6" w:rsidP="00DF2AB6">
      <w:pPr>
        <w:rPr>
          <w:rStyle w:val="StyleUnderline"/>
        </w:rPr>
      </w:pPr>
      <w:r w:rsidRPr="00DF2AB6">
        <w:rPr>
          <w:rStyle w:val="StyleUnderline"/>
        </w:rPr>
        <w:t>Secretary of State determines which countries will have programs.  Secretary of Defense executes the program.</w:t>
      </w:r>
    </w:p>
    <w:p w:rsidR="00DF2AB6" w:rsidRDefault="00DF2AB6" w:rsidP="00F072CF"/>
    <w:p w:rsidR="004C3112" w:rsidRDefault="004C3112" w:rsidP="00F072CF"/>
    <w:p w:rsidR="004C3112" w:rsidRDefault="004C3112" w:rsidP="00F072CF"/>
    <w:p w:rsidR="004C3112" w:rsidRDefault="004C3112" w:rsidP="004C3112">
      <w:pPr>
        <w:pStyle w:val="Heading3"/>
      </w:pPr>
      <w:r>
        <w:t xml:space="preserve">No Security Assistance </w:t>
      </w:r>
    </w:p>
    <w:p w:rsidR="004C3112" w:rsidRPr="002845FA" w:rsidRDefault="004C3112" w:rsidP="004C3112">
      <w:pPr>
        <w:pStyle w:val="Heading4"/>
      </w:pPr>
      <w:r>
        <w:t>Security assistance is not FMS or DCS – security assistance uses domestic funds</w:t>
      </w:r>
    </w:p>
    <w:p w:rsidR="004C3112" w:rsidRPr="001E148D" w:rsidRDefault="004C3112" w:rsidP="004C3112">
      <w:r w:rsidRPr="001E148D">
        <w:rPr>
          <w:rStyle w:val="Style13ptBold"/>
        </w:rPr>
        <w:t>Kerr and Rosen 2019</w:t>
      </w:r>
      <w:r>
        <w:t xml:space="preserve"> (Paul Kerr, Liana Rosen, Congressional Research Service, "U.S. Arms Sales and Human Rights: Legislative Basis and Frequently Asked Questions", In Focus, Updated May 6, 2019, </w:t>
      </w:r>
      <w:hyperlink r:id="rId25" w:history="1">
        <w:r w:rsidRPr="00D358FC">
          <w:rPr>
            <w:rStyle w:val="Hyperlink"/>
          </w:rPr>
          <w:t>https://fas.org/sgp/crs/weapons/IF11197.pdf</w:t>
        </w:r>
      </w:hyperlink>
      <w:r>
        <w:t>, mmv)</w:t>
      </w:r>
    </w:p>
    <w:p w:rsidR="004C3112" w:rsidRPr="001E148D" w:rsidRDefault="004C3112" w:rsidP="004C3112">
      <w:r>
        <w:t xml:space="preserve">Do the Leahy Laws apply to arms sales? </w:t>
      </w:r>
      <w:r w:rsidRPr="001E148D">
        <w:rPr>
          <w:rStyle w:val="StyleUnderline"/>
        </w:rPr>
        <w:t>The U.S. “Leahy Laws”</w:t>
      </w:r>
      <w:r w:rsidRPr="001E148D">
        <w:t>—</w:t>
      </w:r>
      <w:r>
        <w:t>Section 620M of the FAA (22 U.S.C. 2378d) and 10 U.S.C. 362—</w:t>
      </w:r>
      <w:r w:rsidRPr="001E148D">
        <w:rPr>
          <w:rStyle w:val="StyleUnderline"/>
        </w:rPr>
        <w:t>prohibit U.S. security assistance to a foreign security force unit when there is credible information that such unit has committed a “gross violation of human rights”</w:t>
      </w:r>
      <w:r>
        <w:t xml:space="preserve"> (GVHR)—described by the State Department to mean (1) torture, (2) extrajudicial killing, (3) enforced disappearance, or (4) rape under color of law (in which a perpetrator abuses their official position to commit rape). In order to comply with the laws, the State Department leads a process of unit-level GVHR vetting before providing security assistance, including training and equipping. </w:t>
      </w:r>
      <w:r w:rsidRPr="001E148D">
        <w:rPr>
          <w:rStyle w:val="StyleUnderline"/>
        </w:rPr>
        <w:t>The Leahy Laws</w:t>
      </w:r>
      <w:r>
        <w:t xml:space="preserve">, however, </w:t>
      </w:r>
      <w:r w:rsidRPr="001E148D">
        <w:rPr>
          <w:rStyle w:val="StyleUnderline"/>
        </w:rPr>
        <w:t>do not define security assistance</w:t>
      </w:r>
      <w:r>
        <w:t xml:space="preserve">; in practice, </w:t>
      </w:r>
      <w:r w:rsidRPr="001E148D">
        <w:rPr>
          <w:rStyle w:val="StyleUnderline"/>
        </w:rPr>
        <w:t>the executive branch considers the term to mean support provided with U.S</w:t>
      </w:r>
      <w:proofErr w:type="gramStart"/>
      <w:r w:rsidRPr="001E148D">
        <w:rPr>
          <w:rStyle w:val="StyleUnderline"/>
        </w:rPr>
        <w:t>.-</w:t>
      </w:r>
      <w:proofErr w:type="gramEnd"/>
      <w:r w:rsidRPr="001E148D">
        <w:rPr>
          <w:rStyle w:val="StyleUnderline"/>
        </w:rPr>
        <w:t xml:space="preserve"> appropriated funds and, in its view, the restrictions are thus not applicable to FMS or DCS</w:t>
      </w:r>
      <w:r>
        <w:t>.</w:t>
      </w:r>
    </w:p>
    <w:p w:rsidR="004C3112" w:rsidRPr="001E148D" w:rsidRDefault="004C3112" w:rsidP="004C3112"/>
    <w:p w:rsidR="004C3112" w:rsidRDefault="004C3112" w:rsidP="004C3112">
      <w:pPr>
        <w:pStyle w:val="Heading3"/>
      </w:pPr>
      <w:r>
        <w:t xml:space="preserve">Yes Security Assistance </w:t>
      </w:r>
    </w:p>
    <w:p w:rsidR="004C3112" w:rsidRPr="004C3112" w:rsidRDefault="004C3112" w:rsidP="004C3112">
      <w:pPr>
        <w:pStyle w:val="Heading4"/>
      </w:pPr>
      <w:r>
        <w:t xml:space="preserve">Security assistance is FMS – done through the DOD with a foreign government </w:t>
      </w:r>
    </w:p>
    <w:p w:rsidR="004C3112" w:rsidRPr="004C3112" w:rsidRDefault="004C3112" w:rsidP="004C3112">
      <w:r w:rsidRPr="004C3112">
        <w:rPr>
          <w:rStyle w:val="Style13ptBold"/>
        </w:rPr>
        <w:t>Hays 2016</w:t>
      </w:r>
      <w:r>
        <w:t xml:space="preserve"> (Laurie Hays, international trade specialist on the Aerospace Team in the U.S. Department of Commerce’s International Trade Administration. A note of thanks goes out to Kim Wells, Aerospace Team Leader, and Scott Kennedy, Director of the Office of Transportation and Machinery, "2016-17 Defense Export Handbook Export Strategy, Export Promotion and Resource Guidelines", December 2016, </w:t>
      </w:r>
      <w:hyperlink r:id="rId26" w:history="1">
        <w:r w:rsidRPr="004A67EA">
          <w:rPr>
            <w:rStyle w:val="Hyperlink"/>
          </w:rPr>
          <w:t>https://www.trade.gov/td/otm/assets/aero/DefHB_FULL.pdf</w:t>
        </w:r>
      </w:hyperlink>
      <w:r>
        <w:t>, mmv)</w:t>
      </w:r>
    </w:p>
    <w:p w:rsidR="004C3112" w:rsidRPr="004C3112" w:rsidRDefault="004C3112" w:rsidP="004C3112">
      <w:r>
        <w:t xml:space="preserve">1) The Foreign Military Sales (FMS) Program: </w:t>
      </w:r>
      <w:r w:rsidRPr="004C3112">
        <w:rPr>
          <w:rStyle w:val="StyleUnderline"/>
        </w:rPr>
        <w:t>FMS is a form of security assistance authorized by the Arms Export Control Act (AECA)</w:t>
      </w:r>
      <w:r>
        <w:t xml:space="preserve"> and is a fundamental tool of U.S. foreign policy in support of U.S. national security and defense objectives. </w:t>
      </w:r>
      <w:r w:rsidRPr="004C3112">
        <w:rPr>
          <w:rStyle w:val="StyleUnderline"/>
        </w:rPr>
        <w:t>The Defense Security Cooperation Agency (DSCA) administers the FMS program for the United States’ Department of Defense (DOD).</w:t>
      </w:r>
      <w:r>
        <w:t xml:space="preserve"> Exporters should review the official DSCA Customer Guide for a more detailed summary of the FMS process. FMS sales are concluded when the President formally determines that the sale will strengthen U.S. national security and promote world peace. </w:t>
      </w:r>
      <w:r w:rsidRPr="004C3112">
        <w:rPr>
          <w:rStyle w:val="StyleUnderline"/>
        </w:rPr>
        <w:t>In FMS sales, the foreign government purchaser does not deal directly with the manufacturer. Instead, the foreign purchaser contracts with DOD</w:t>
      </w:r>
      <w:r>
        <w:t xml:space="preserve">, who then handles procurement, logistics, delivery, and often provides product support, training, and other infrastructure or technical support. </w:t>
      </w:r>
      <w:r w:rsidRPr="004C3112">
        <w:rPr>
          <w:rStyle w:val="StyleUnderline"/>
        </w:rPr>
        <w:t>DOD provides a “total package” approach to ensure that foreign purchases include the full range or support and training required to operate and sustain the new capability</w:t>
      </w:r>
      <w:r>
        <w:t xml:space="preserve">. </w:t>
      </w:r>
      <w:r w:rsidRPr="004C3112">
        <w:rPr>
          <w:rStyle w:val="StyleUnderline"/>
        </w:rPr>
        <w:t xml:space="preserve">Sales are implemented through </w:t>
      </w:r>
      <w:proofErr w:type="spellStart"/>
      <w:r w:rsidRPr="004C3112">
        <w:rPr>
          <w:rStyle w:val="StyleUnderline"/>
        </w:rPr>
        <w:t>contractlike</w:t>
      </w:r>
      <w:proofErr w:type="spellEnd"/>
      <w:r w:rsidRPr="004C3112">
        <w:rPr>
          <w:rStyle w:val="StyleUnderline"/>
        </w:rPr>
        <w:t xml:space="preserve"> agreements called Letters of Offer and Acceptance (LOAs) between the U.S. Government and an eligible foreign government purchaser</w:t>
      </w:r>
      <w:r>
        <w:t>.</w:t>
      </w:r>
    </w:p>
    <w:p w:rsidR="004C3112" w:rsidRDefault="004C3112" w:rsidP="004C3112">
      <w:pPr>
        <w:spacing w:after="160" w:line="259" w:lineRule="auto"/>
        <w:rPr>
          <w:rFonts w:asciiTheme="minorHAnsi" w:hAnsiTheme="minorHAnsi"/>
        </w:rPr>
      </w:pPr>
    </w:p>
    <w:p w:rsidR="004C3112" w:rsidRDefault="004C3112" w:rsidP="00F072CF"/>
    <w:p w:rsidR="00F93372" w:rsidRDefault="00F93372" w:rsidP="009427D3">
      <w:pPr>
        <w:pStyle w:val="Heading2"/>
      </w:pPr>
      <w:r>
        <w:t>Reduce</w:t>
      </w:r>
    </w:p>
    <w:p w:rsidR="00D25E30" w:rsidRDefault="00D25E30" w:rsidP="00D25E30">
      <w:pPr>
        <w:pStyle w:val="Heading3"/>
      </w:pPr>
      <w:r>
        <w:t>Decrease Quantity</w:t>
      </w:r>
    </w:p>
    <w:p w:rsidR="00D25E30" w:rsidRDefault="00D25E30" w:rsidP="00D25E30">
      <w:pPr>
        <w:pStyle w:val="Heading4"/>
      </w:pPr>
      <w:r>
        <w:t>Reduce means to decrease the quantity of</w:t>
      </w:r>
    </w:p>
    <w:p w:rsidR="00D25E30" w:rsidRPr="00925BE4" w:rsidRDefault="00D25E30" w:rsidP="00D25E30">
      <w:r>
        <w:rPr>
          <w:b/>
        </w:rPr>
        <w:t xml:space="preserve">Ingram, 88 </w:t>
      </w:r>
      <w:r>
        <w:t xml:space="preserve">– law student (Cindi M. Ingram, Plaintiff's Right to Recover from Non-Settling </w:t>
      </w:r>
      <w:proofErr w:type="spellStart"/>
      <w:r>
        <w:t>Tortfeasor</w:t>
      </w:r>
      <w:proofErr w:type="spellEnd"/>
      <w:r>
        <w:t xml:space="preserve"> When Settlement with Joint </w:t>
      </w:r>
      <w:proofErr w:type="spellStart"/>
      <w:r>
        <w:t>Tortfeasor</w:t>
      </w:r>
      <w:proofErr w:type="spellEnd"/>
      <w:r>
        <w:t xml:space="preserve"> Exceeds the Jury Award, 53 Mo. L. Rev. (1988) Available at: </w:t>
      </w:r>
      <w:hyperlink r:id="rId27" w:history="1">
        <w:r w:rsidRPr="00387785">
          <w:rPr>
            <w:rStyle w:val="Hyperlink"/>
          </w:rPr>
          <w:t>http://scholarship.law.missouri.edu/mlr/vol53/iss2/8</w:t>
        </w:r>
      </w:hyperlink>
    </w:p>
    <w:p w:rsidR="00D25E30" w:rsidRDefault="00D25E30" w:rsidP="00D25E30">
      <w:r w:rsidRPr="00393064">
        <w:t xml:space="preserve">In answering this question, the Hampton court turned to various principles for guidance. The court looked first to the "plain meaning" of the </w:t>
      </w:r>
      <w:proofErr w:type="gramStart"/>
      <w:r w:rsidRPr="00393064">
        <w:t>statute.6 "</w:t>
      </w:r>
      <w:proofErr w:type="gramEnd"/>
      <w:r w:rsidRPr="00393064">
        <w:t xml:space="preserve"> Interpretation of a statute involves ascertaining the legislative intent behind the enactment of the statute. </w:t>
      </w:r>
      <w:r w:rsidRPr="00393064">
        <w:rPr>
          <w:rStyle w:val="StyleUnderline"/>
        </w:rPr>
        <w:t>Consideration of the "plain meaning" of the words used</w:t>
      </w:r>
      <w:r w:rsidRPr="00393064">
        <w:t xml:space="preserve"> in the statute </w:t>
      </w:r>
      <w:r w:rsidRPr="00393064">
        <w:rPr>
          <w:rStyle w:val="StyleUnderline"/>
        </w:rPr>
        <w:t>is a basic principle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393064">
        <w:rPr>
          <w:rStyle w:val="StyleUnderline"/>
        </w:rPr>
        <w:t>reduce</w:t>
      </w:r>
      <w:r w:rsidRPr="00393064">
        <w:t xml:space="preserve">" and "claim" in reaching its construction of the statute. The court referred to the dictionary definition of "reduce" </w:t>
      </w:r>
      <w:r w:rsidRPr="00393064">
        <w:rPr>
          <w:rStyle w:val="StyleUnderline"/>
        </w:rPr>
        <w:t>as meaning "to diminish in size, amount, extent or 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denomination of </w:t>
      </w:r>
      <w:r w:rsidRPr="00393064">
        <w:rPr>
          <w:rStyle w:val="StyleUnderline"/>
        </w:rPr>
        <w:t>a quantity</w:t>
      </w:r>
      <w:r w:rsidRPr="00393064">
        <w:t>." 68 The court then judicially defined "claim" as "the amount of damages as determined by an impartial fact finder - the jury."'</w:t>
      </w:r>
    </w:p>
    <w:p w:rsidR="00D25E30" w:rsidRPr="00D25E30" w:rsidRDefault="00D25E30" w:rsidP="00D25E30"/>
    <w:p w:rsidR="00D25E30" w:rsidRDefault="00D25E30" w:rsidP="00D25E30">
      <w:pPr>
        <w:pStyle w:val="Heading3"/>
      </w:pPr>
      <w:r>
        <w:t>Not Modify</w:t>
      </w:r>
    </w:p>
    <w:p w:rsidR="00D25E30" w:rsidRPr="00195C7A" w:rsidRDefault="00D25E30" w:rsidP="00D25E30">
      <w:pPr>
        <w:pStyle w:val="Heading4"/>
      </w:pPr>
      <w:bookmarkStart w:id="1" w:name="_Hlk7678757"/>
      <w:r w:rsidRPr="00195C7A">
        <w:t>Reduce means to diminish in number – distinct from modify</w:t>
      </w:r>
    </w:p>
    <w:p w:rsidR="00D25E30" w:rsidRPr="00811347" w:rsidRDefault="00D25E30" w:rsidP="00D25E30">
      <w:r w:rsidRPr="00195C7A">
        <w:rPr>
          <w:rFonts w:ascii="Georgia" w:hAnsi="Georgia"/>
          <w:b/>
          <w:color w:val="000000"/>
          <w:sz w:val="20"/>
          <w:szCs w:val="20"/>
          <w:shd w:val="clear" w:color="auto" w:fill="FFFFFF"/>
        </w:rPr>
        <w:t>GUTIERREZ</w:t>
      </w:r>
      <w:r w:rsidRPr="00195C7A">
        <w:rPr>
          <w:b/>
        </w:rPr>
        <w:t xml:space="preserve">, 3 </w:t>
      </w:r>
      <w:r w:rsidRPr="00195C7A">
        <w:t xml:space="preserve">– Chief Judge for the Idaho Court of Appeals (State v. </w:t>
      </w:r>
      <w:proofErr w:type="spellStart"/>
      <w:r w:rsidRPr="00195C7A">
        <w:t>Knutsen</w:t>
      </w:r>
      <w:proofErr w:type="spellEnd"/>
      <w:r w:rsidRPr="00195C7A">
        <w:t xml:space="preserve">, 71 P. 3d 1065 - Idaho: Court of Appeals, http://caselaw.findlaw.com/id-court-of-appeals/1320950.html </w:t>
      </w:r>
    </w:p>
    <w:p w:rsidR="00D25E30" w:rsidRDefault="00D25E30" w:rsidP="00D25E30">
      <w:r w:rsidRPr="00202786">
        <w:t xml:space="preserve">By its plain language, Rule 35 grants a district court the authority within a limited period of time to reduce or modify a defendant's sentence after relinquishing jurisdiction. </w:t>
      </w:r>
      <w:r w:rsidRPr="00202786">
        <w:rPr>
          <w:rStyle w:val="StyleUnderline"/>
        </w:rPr>
        <w:t>To "reduce" means to diminish in</w:t>
      </w:r>
      <w:r w:rsidRPr="00202786">
        <w:t xml:space="preserve"> size, amount, extent or </w:t>
      </w:r>
      <w:r w:rsidRPr="00202786">
        <w:rPr>
          <w:rStyle w:val="StyleUnderline"/>
        </w:rPr>
        <w:t>number</w:t>
      </w:r>
      <w:r w:rsidRPr="00202786">
        <w:t xml:space="preserve">, or to make smaller, lessen or shrink. WEBSTER'S THIRD NEW INTERNATIONAL DICTIONARY 1905 (1993). </w:t>
      </w:r>
      <w:r w:rsidRPr="00202786">
        <w:rPr>
          <w:rStyle w:val="StyleUnderline"/>
        </w:rPr>
        <w:t xml:space="preserve">To "modify" means to </w:t>
      </w:r>
      <w:r w:rsidRPr="00202786">
        <w:t xml:space="preserve">make more temperate and less extreme, or to </w:t>
      </w:r>
      <w:r w:rsidRPr="00202786">
        <w:rPr>
          <w:rStyle w:val="StyleUnderline"/>
        </w:rPr>
        <w:t>lessen the severity of something</w:t>
      </w:r>
      <w:r w:rsidRPr="00202786">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bookmarkEnd w:id="1"/>
    </w:p>
    <w:p w:rsidR="00D25E30" w:rsidRDefault="00D25E30" w:rsidP="00D25E30"/>
    <w:p w:rsidR="00D25E30" w:rsidRPr="00D6221F" w:rsidRDefault="00D25E30" w:rsidP="00D25E30">
      <w:pPr>
        <w:pStyle w:val="Heading4"/>
        <w:rPr>
          <w:rFonts w:cs="Times New Roman"/>
        </w:rPr>
      </w:pPr>
      <w:r w:rsidRPr="00D6221F">
        <w:rPr>
          <w:rFonts w:cs="Times New Roman"/>
        </w:rPr>
        <w:t>‘Reduce’ does not mean modification</w:t>
      </w:r>
    </w:p>
    <w:p w:rsidR="00D25E30" w:rsidRPr="00811347" w:rsidRDefault="00D25E30" w:rsidP="00D25E30">
      <w:pPr>
        <w:rPr>
          <w:b/>
          <w:bCs/>
          <w:sz w:val="26"/>
        </w:rPr>
      </w:pPr>
      <w:r w:rsidRPr="00D6221F">
        <w:rPr>
          <w:rStyle w:val="Style13ptBold"/>
        </w:rPr>
        <w:t>FLR 11</w:t>
      </w:r>
      <w:r>
        <w:rPr>
          <w:rStyle w:val="Style13ptBold"/>
        </w:rPr>
        <w:t xml:space="preserve"> </w:t>
      </w:r>
      <w:r w:rsidRPr="00D6221F">
        <w:t xml:space="preserve">(Financial Law Reporter, Cross </w:t>
      </w:r>
      <w:proofErr w:type="spellStart"/>
      <w:r w:rsidRPr="00D6221F">
        <w:t>Refrence</w:t>
      </w:r>
      <w:proofErr w:type="spellEnd"/>
      <w:r w:rsidRPr="00D6221F">
        <w:t xml:space="preserve"> Citation Name: THE WESTERN INDIA THEATRES LTD. v. MUNICIPAL CORPORATION OF THE CITY OFPOONA, Lexis)</w:t>
      </w:r>
    </w:p>
    <w:p w:rsidR="00D25E30" w:rsidRDefault="00D25E30" w:rsidP="00D25E30">
      <w:proofErr w:type="gramStart"/>
      <w:r w:rsidRPr="00D6221F">
        <w:t>" Power</w:t>
      </w:r>
      <w:proofErr w:type="gramEnd"/>
      <w:r w:rsidRPr="00D6221F">
        <w:t xml:space="preserve"> to suspend 60(1)Subject to the requirements of </w:t>
      </w:r>
      <w:proofErr w:type="spellStart"/>
      <w:r w:rsidRPr="00D6221F">
        <w:t>clreduce</w:t>
      </w:r>
      <w:proofErr w:type="spellEnd"/>
      <w:r w:rsidRPr="00D6221F">
        <w:t xml:space="preserve"> or abolish </w:t>
      </w:r>
      <w:proofErr w:type="spellStart"/>
      <w:r w:rsidRPr="00D6221F">
        <w:t>ause</w:t>
      </w:r>
      <w:proofErr w:type="spellEnd"/>
      <w:r w:rsidRPr="00D6221F">
        <w:t xml:space="preserve"> (a)of the proviso to section any existing tax 58 municipality may except as otherwise</w:t>
      </w:r>
      <w:r w:rsidRPr="00D6221F">
        <w:rPr>
          <w:sz w:val="12"/>
        </w:rPr>
        <w:t xml:space="preserve">∂ </w:t>
      </w:r>
      <w:r w:rsidRPr="00D6221F">
        <w:t xml:space="preserve">provide in clause provided in clause (b) of the proviso to section 103 at any time for any sufficient reason, suspend, modify or abolish any existing tax by suspending, altering or rescinding any rule prescribing such tax." (2) The provisions of Chapter VII relating to, the imposition of taxes shall apply so far as may be to the suspension, modification or abolition of any tax and to the suspension, alteration or rescission of any rule prescribing a tax." Reference is made to the marginal note where the words used are </w:t>
      </w:r>
      <w:proofErr w:type="gramStart"/>
      <w:r w:rsidRPr="00D6221F">
        <w:t>" power</w:t>
      </w:r>
      <w:proofErr w:type="gramEnd"/>
      <w:r w:rsidRPr="00D6221F">
        <w:t xml:space="preserve"> to suspend, reduce or abolish any existing tax ". It is suggested that the word it modify </w:t>
      </w:r>
      <w:proofErr w:type="gramStart"/>
      <w:r w:rsidRPr="00D6221F">
        <w:t>" in</w:t>
      </w:r>
      <w:proofErr w:type="gramEnd"/>
      <w:r w:rsidRPr="00D6221F">
        <w:t xml:space="preserve"> the body of the section in between the words " suspend " and " abolish " should be construed in the sense of reduction. The marginal note, according to him, shows that the several words were used in the section to indicate a progressive diminution in the quantum of tax until it was completely gone. Reference is made to the root meaning of the word </w:t>
      </w:r>
      <w:proofErr w:type="gramStart"/>
      <w:r w:rsidRPr="00D6221F">
        <w:t>" modify</w:t>
      </w:r>
      <w:proofErr w:type="gramEnd"/>
      <w:r w:rsidRPr="00D6221F">
        <w:t xml:space="preserve"> " which is to reduce or make less but does not cover the idea of enhancement. In the first place, the marginal note cannot affect the construction of the language used in the body of the section if it is otherwise clear and unambiguous (see Commissioner of Income Tax, Bombay v. </w:t>
      </w:r>
      <w:proofErr w:type="spellStart"/>
      <w:r w:rsidRPr="00D6221F">
        <w:t>Ahmedbhai</w:t>
      </w:r>
      <w:proofErr w:type="spellEnd"/>
      <w:r w:rsidRPr="00D6221F">
        <w:t xml:space="preserve"> </w:t>
      </w:r>
      <w:proofErr w:type="spellStart"/>
      <w:r w:rsidRPr="00D6221F">
        <w:t>Umarbhai</w:t>
      </w:r>
      <w:proofErr w:type="spellEnd"/>
      <w:r w:rsidRPr="00D6221F">
        <w:t xml:space="preserve"> &amp; Co., Bombay) (1). In the next place, it should be borne in mind that s. 67 of the Bombay District Municipal Act (</w:t>
      </w:r>
      <w:proofErr w:type="spellStart"/>
      <w:r w:rsidRPr="00D6221F">
        <w:t>Bom</w:t>
      </w:r>
      <w:proofErr w:type="spellEnd"/>
      <w:r w:rsidRPr="00D6221F">
        <w:t xml:space="preserve">. III of 1901) which was formerly applicable to municipalities used the word " reduce " in between the words " suspend " and " abolish " and that that section had been reproduced is s. 60 of the Bombay Municipal Boroughs Act, 1925, but that </w:t>
      </w:r>
      <w:r w:rsidRPr="00D6221F">
        <w:rPr>
          <w:rStyle w:val="StyleUnderline"/>
        </w:rPr>
        <w:t xml:space="preserve">in the process </w:t>
      </w:r>
      <w:r w:rsidRPr="00D6221F">
        <w:t xml:space="preserve">of such reproduction </w:t>
      </w:r>
      <w:r>
        <w:rPr>
          <w:rStyle w:val="StyleUnderline"/>
        </w:rPr>
        <w:t>the word "reduce" was dropped</w:t>
      </w:r>
      <w:r w:rsidRPr="00D6221F">
        <w:rPr>
          <w:rStyle w:val="StyleUnderline"/>
        </w:rPr>
        <w:t>,</w:t>
      </w:r>
      <w:r>
        <w:rPr>
          <w:rStyle w:val="StyleUnderline"/>
        </w:rPr>
        <w:t xml:space="preserve"> </w:t>
      </w:r>
      <w:r w:rsidRPr="00D6221F">
        <w:rPr>
          <w:rStyle w:val="StyleUnderline"/>
        </w:rPr>
        <w:t>and the word "modify" was introduced</w:t>
      </w:r>
      <w:r w:rsidRPr="00D6221F">
        <w:t xml:space="preserve">. In the marginal note, however, </w:t>
      </w:r>
      <w:r w:rsidRPr="00D6221F">
        <w:rPr>
          <w:rStyle w:val="StyleUnderline"/>
        </w:rPr>
        <w:t xml:space="preserve">the word </w:t>
      </w:r>
      <w:proofErr w:type="gramStart"/>
      <w:r w:rsidRPr="00D6221F">
        <w:rPr>
          <w:rStyle w:val="StyleUnderline"/>
        </w:rPr>
        <w:t>" reduce</w:t>
      </w:r>
      <w:proofErr w:type="gramEnd"/>
      <w:r w:rsidRPr="00D6221F">
        <w:rPr>
          <w:rStyle w:val="StyleUnderline"/>
        </w:rPr>
        <w:t xml:space="preserve"> " was </w:t>
      </w:r>
      <w:r w:rsidRPr="00D6221F">
        <w:rPr>
          <w:rStyle w:val="Emphasis"/>
        </w:rPr>
        <w:t>not substituted</w:t>
      </w:r>
      <w:r w:rsidRPr="00D6221F">
        <w:rPr>
          <w:rStyle w:val="StyleUnderline"/>
        </w:rPr>
        <w:t xml:space="preserve"> by the word " modify ",</w:t>
      </w:r>
      <w:r w:rsidRPr="00D6221F">
        <w:t xml:space="preserve"> apparently through inadvertence. </w:t>
      </w:r>
      <w:r w:rsidRPr="00D6221F">
        <w:rPr>
          <w:rStyle w:val="StyleUnderline"/>
        </w:rPr>
        <w:t xml:space="preserve">If the word </w:t>
      </w:r>
      <w:proofErr w:type="gramStart"/>
      <w:r w:rsidRPr="00D6221F">
        <w:rPr>
          <w:rStyle w:val="StyleUnderline"/>
        </w:rPr>
        <w:t>" modify</w:t>
      </w:r>
      <w:proofErr w:type="gramEnd"/>
      <w:r w:rsidRPr="00D6221F">
        <w:rPr>
          <w:rStyle w:val="StyleUnderline"/>
        </w:rPr>
        <w:t xml:space="preserve"> " is to be read as "reduce", then there could be </w:t>
      </w:r>
      <w:r w:rsidRPr="00D6221F">
        <w:rPr>
          <w:rStyle w:val="Emphasis"/>
        </w:rPr>
        <w:t>no point</w:t>
      </w:r>
      <w:r w:rsidRPr="00D6221F">
        <w:rPr>
          <w:rStyle w:val="StyleUnderline"/>
        </w:rPr>
        <w:t xml:space="preserve"> in the provincial legislature substituting the word " reduce " by the word "modify". This change must have been made with some </w:t>
      </w:r>
      <w:r w:rsidRPr="00D6221F">
        <w:rPr>
          <w:rStyle w:val="Emphasis"/>
        </w:rPr>
        <w:t>purpose</w:t>
      </w:r>
      <w:r w:rsidRPr="00D6221F">
        <w:rPr>
          <w:rStyle w:val="StyleUnderline"/>
        </w:rPr>
        <w:t xml:space="preserve"> and the purpose could only have been to use an expression of </w:t>
      </w:r>
      <w:r w:rsidRPr="00D6221F">
        <w:rPr>
          <w:rStyle w:val="Emphasis"/>
        </w:rPr>
        <w:t>wider</w:t>
      </w:r>
      <w:r w:rsidRPr="00D6221F">
        <w:rPr>
          <w:rStyle w:val="StyleUnderline"/>
        </w:rPr>
        <w:t xml:space="preserve"> </w:t>
      </w:r>
      <w:r w:rsidRPr="00D6221F">
        <w:rPr>
          <w:rStyle w:val="Emphasis"/>
        </w:rPr>
        <w:t>connotation</w:t>
      </w:r>
      <w:r w:rsidRPr="00D6221F">
        <w:rPr>
          <w:rStyle w:val="StyleUnderline"/>
        </w:rPr>
        <w:t xml:space="preserve"> so as to include not only reduction but also other kinds of alteration</w:t>
      </w:r>
      <w:r w:rsidRPr="00D6221F">
        <w:t xml:space="preserve">. Section 76 of this very Act also refers to " modification not involving an increase in, the amount to be imposed which makes the sense in which the word " modify has been used in this Act perfectly clear, namely, that </w:t>
      </w:r>
      <w:r w:rsidRPr="00D6221F">
        <w:rPr>
          <w:rStyle w:val="StyleUnderline"/>
        </w:rPr>
        <w:t>there may be a modification involving an increase</w:t>
      </w:r>
      <w:r w:rsidRPr="00D6221F">
        <w:t xml:space="preserve">. Reference may also be made to the decision of the Court of Appeal in England in the case of </w:t>
      </w:r>
      <w:proofErr w:type="gramStart"/>
      <w:r w:rsidRPr="00D6221F">
        <w:t>Stevens</w:t>
      </w:r>
      <w:proofErr w:type="gramEnd"/>
      <w:r w:rsidRPr="00D6221F">
        <w:t xml:space="preserve"> v. The General Steam Navigation Company, Ltd. (2). </w:t>
      </w:r>
      <w:proofErr w:type="gramStart"/>
      <w:r w:rsidRPr="00D6221F">
        <w:t>" Modification</w:t>
      </w:r>
      <w:proofErr w:type="gramEnd"/>
      <w:r w:rsidRPr="00D6221F">
        <w:t xml:space="preserve"> ", according to Collins M. R. in his judgment at p. 893, implied an alteration and the word was equally applicable whether the effect of the alteration was to narrow or to enlarge the provisions. In our opinion the dropping of the word " reduce " and the introduction of the word 'modify" in the body of s. 60, of the Act under consideration clearly indicate an intention on the part of legislature to widen the scope of this section and the High Court was right in so construing the same. No other point was urged in this appeal and for reasons stated above this appeal must be dismissed with costs. Appeal dismissed. (1) [1950] S.C.R. 335 at P. 353. (2) L.R. (1903) 1 K.B. 890.</w:t>
      </w:r>
    </w:p>
    <w:p w:rsidR="00D25E30" w:rsidRDefault="00D25E30" w:rsidP="00D25E30"/>
    <w:p w:rsidR="00D25E30" w:rsidRDefault="00D25E30" w:rsidP="00D25E30">
      <w:pPr>
        <w:pStyle w:val="Heading4"/>
      </w:pPr>
      <w:r>
        <w:t>At best the plan reclassifies how arms sales are conducted – that’s not reduce</w:t>
      </w:r>
    </w:p>
    <w:p w:rsidR="00D25E30" w:rsidRPr="00D6221F" w:rsidRDefault="00D25E30" w:rsidP="00D25E30">
      <w:pPr>
        <w:rPr>
          <w:rStyle w:val="Style13ptBold"/>
        </w:rPr>
      </w:pPr>
      <w:r w:rsidRPr="00D6221F">
        <w:rPr>
          <w:rStyle w:val="Style13ptBold"/>
        </w:rPr>
        <w:t>Kentucky Ct of Appeals 84</w:t>
      </w:r>
    </w:p>
    <w:p w:rsidR="00D25E30" w:rsidRPr="00D6221F" w:rsidRDefault="00D25E30" w:rsidP="00D25E30">
      <w:r w:rsidRPr="00D6221F">
        <w:t xml:space="preserve">(Paducah v. Moore, 662 S.W.2d 491, </w:t>
      </w:r>
      <w:proofErr w:type="gramStart"/>
      <w:r w:rsidRPr="00D6221F">
        <w:t>Lexis</w:t>
      </w:r>
      <w:proofErr w:type="gramEnd"/>
      <w:r w:rsidRPr="00D6221F">
        <w:t>---sex edited)</w:t>
      </w:r>
    </w:p>
    <w:p w:rsidR="00D25E30" w:rsidRDefault="00D25E30" w:rsidP="00D25E30">
      <w:r w:rsidRPr="00D6221F">
        <w:t xml:space="preserve">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w:t>
      </w:r>
      <w:proofErr w:type="spellStart"/>
      <w:r w:rsidRPr="00D6221F">
        <w:t>Schrichte</w:t>
      </w:r>
      <w:proofErr w:type="spellEnd"/>
      <w:r w:rsidRPr="00D6221F">
        <w:t xml:space="preserve"> vs. </w:t>
      </w:r>
      <w:proofErr w:type="spellStart"/>
      <w:r w:rsidRPr="00D6221F">
        <w:t>Bornhorn</w:t>
      </w:r>
      <w:proofErr w:type="spellEnd"/>
      <w:r w:rsidRPr="00D6221F">
        <w:t>, Ky., 376 S.W.2d 683 (1964):</w:t>
      </w:r>
      <w:r w:rsidRPr="00D6221F">
        <w:rPr>
          <w:sz w:val="12"/>
        </w:rPr>
        <w:t xml:space="preserve">∂ </w:t>
      </w:r>
      <w:r w:rsidRPr="00D6221F">
        <w:t xml:space="preserve">. . . we are of the </w:t>
      </w:r>
      <w:r w:rsidRPr="00BD6A6C">
        <w:t xml:space="preserve">opinion that the term 'grade' means rank, whereas it appears that the appellant interprets it more broadly as job classification. </w:t>
      </w:r>
      <w:r w:rsidRPr="00BD6A6C">
        <w:rPr>
          <w:rStyle w:val="StyleUnderline"/>
        </w:rPr>
        <w:t xml:space="preserve">Obviously by the use of the word 'reduce,' the Statute envisages a </w:t>
      </w:r>
      <w:proofErr w:type="spellStart"/>
      <w:r w:rsidRPr="00BD6A6C">
        <w:rPr>
          <w:rStyle w:val="StyleUnderline"/>
        </w:rPr>
        <w:t>verticle</w:t>
      </w:r>
      <w:proofErr w:type="spellEnd"/>
      <w:r w:rsidRPr="00BD6A6C">
        <w:rPr>
          <w:rStyle w:val="StyleUnderline"/>
        </w:rPr>
        <w:t xml:space="preserve"> scale. If a [person] is </w:t>
      </w:r>
      <w:r w:rsidRPr="00BD6A6C">
        <w:rPr>
          <w:rStyle w:val="Emphasis"/>
        </w:rPr>
        <w:t>transferred</w:t>
      </w:r>
      <w:r w:rsidRPr="00BD6A6C">
        <w:t xml:space="preserve"> without a loss in pay </w:t>
      </w:r>
      <w:r w:rsidRPr="00BD6A6C">
        <w:rPr>
          <w:rStyle w:val="StyleUnderline"/>
        </w:rPr>
        <w:t>from one job category to another</w:t>
      </w:r>
      <w:r w:rsidRPr="00BD6A6C">
        <w:t xml:space="preserve"> with comparable authority, his </w:t>
      </w:r>
      <w:r w:rsidRPr="00BD6A6C">
        <w:rPr>
          <w:rStyle w:val="Emphasis"/>
        </w:rPr>
        <w:t>classification</w:t>
      </w:r>
      <w:r w:rsidRPr="00BD6A6C">
        <w:rPr>
          <w:rStyle w:val="StyleUnderline"/>
        </w:rPr>
        <w:t xml:space="preserve"> is changed, but</w:t>
      </w:r>
      <w:r w:rsidRPr="00BD6A6C">
        <w:t xml:space="preserve"> his grade </w:t>
      </w:r>
      <w:r w:rsidRPr="00BD6A6C">
        <w:rPr>
          <w:rStyle w:val="StyleUnderline"/>
        </w:rPr>
        <w:t>is</w:t>
      </w:r>
      <w:r w:rsidRPr="00BD6A6C">
        <w:t xml:space="preserve"> </w:t>
      </w:r>
      <w:r w:rsidRPr="00BD6A6C">
        <w:rPr>
          <w:rStyle w:val="Emphasis"/>
        </w:rPr>
        <w:t>not reduced</w:t>
      </w:r>
      <w:r w:rsidRPr="00BD6A6C">
        <w:t>.</w:t>
      </w:r>
    </w:p>
    <w:p w:rsidR="00D25E30" w:rsidRPr="00D25E30" w:rsidRDefault="00D25E30" w:rsidP="00D25E30"/>
    <w:p w:rsidR="00D25E30" w:rsidRDefault="00D25E30" w:rsidP="00D25E30">
      <w:pPr>
        <w:pStyle w:val="Heading3"/>
      </w:pPr>
      <w:r>
        <w:t xml:space="preserve">Not Suspend </w:t>
      </w:r>
    </w:p>
    <w:p w:rsidR="00D25E30" w:rsidRPr="00195C7A" w:rsidRDefault="00D25E30" w:rsidP="00D25E30">
      <w:pPr>
        <w:pStyle w:val="Heading4"/>
        <w:rPr>
          <w:rFonts w:asciiTheme="minorHAnsi" w:hAnsiTheme="minorHAnsi" w:cstheme="minorHAnsi"/>
        </w:rPr>
      </w:pPr>
      <w:r w:rsidRPr="00195C7A">
        <w:rPr>
          <w:rFonts w:asciiTheme="minorHAnsi" w:hAnsiTheme="minorHAnsi" w:cstheme="minorHAnsi"/>
        </w:rPr>
        <w:t>Reduce means permanent reduction – it’s distinct from “suspend”</w:t>
      </w:r>
    </w:p>
    <w:p w:rsidR="00D25E30" w:rsidRPr="00D25E30" w:rsidRDefault="00D25E30" w:rsidP="00D25E30">
      <w:pPr>
        <w:rPr>
          <w:rFonts w:asciiTheme="minorHAnsi" w:hAnsiTheme="minorHAnsi" w:cstheme="minorHAnsi"/>
          <w:sz w:val="24"/>
        </w:rPr>
      </w:pPr>
      <w:r w:rsidRPr="00195C7A">
        <w:rPr>
          <w:rStyle w:val="verdana"/>
          <w:rFonts w:asciiTheme="minorHAnsi" w:hAnsiTheme="minorHAnsi" w:cstheme="minorHAnsi"/>
          <w:b/>
        </w:rPr>
        <w:t>Reynolds 59</w:t>
      </w:r>
      <w:r w:rsidRPr="00195C7A">
        <w:rPr>
          <w:rStyle w:val="verdana"/>
          <w:rFonts w:asciiTheme="minorHAnsi" w:hAnsiTheme="minorHAnsi" w:cstheme="minorHAnsi"/>
        </w:rPr>
        <w:t xml:space="preserve"> – Judge (</w:t>
      </w:r>
      <w:r w:rsidRPr="00195C7A">
        <w:rPr>
          <w:rFonts w:asciiTheme="minorHAnsi" w:hAnsiTheme="minorHAnsi" w:cstheme="minorHAnsi"/>
        </w:rPr>
        <w:t xml:space="preserve">In the Matter of Doris A. </w:t>
      </w:r>
      <w:proofErr w:type="spellStart"/>
      <w:r w:rsidRPr="00195C7A">
        <w:rPr>
          <w:rFonts w:asciiTheme="minorHAnsi" w:hAnsiTheme="minorHAnsi" w:cstheme="minorHAnsi"/>
        </w:rPr>
        <w:t>Montesani</w:t>
      </w:r>
      <w:proofErr w:type="spellEnd"/>
      <w:r w:rsidRPr="00195C7A">
        <w:rPr>
          <w:rFonts w:asciiTheme="minorHAnsi" w:hAnsiTheme="minorHAnsi" w:cstheme="minorHAnsi"/>
        </w:rPr>
        <w:t>, Petitioner, v. Arthur Levitt, as Comptroller of the State of New York, et al., Respondents [NO NUMBER IN ORIGINAL] Supreme Court of New York, Appellate Division, Third Department 9 A.D.2d 51; 189 N.Y.S.2d 695; 1959 N.Y. App. Div. LEXIS 7391 August 13, 1959, lexis)</w:t>
      </w:r>
      <w:r>
        <w:rPr>
          <w:rFonts w:asciiTheme="minorHAnsi" w:hAnsiTheme="minorHAnsi" w:cstheme="minorHAnsi"/>
          <w:sz w:val="26"/>
          <w:szCs w:val="26"/>
        </w:rPr>
        <w:tab/>
      </w:r>
    </w:p>
    <w:p w:rsidR="00D25E30" w:rsidRPr="00195C7A" w:rsidRDefault="00D25E30" w:rsidP="00D25E30">
      <w:pPr>
        <w:rPr>
          <w:rFonts w:asciiTheme="minorHAnsi" w:hAnsiTheme="minorHAnsi" w:cstheme="minorHAnsi"/>
          <w:b/>
        </w:rPr>
      </w:pPr>
      <w:r w:rsidRPr="00195C7A">
        <w:rPr>
          <w:rFonts w:asciiTheme="minorHAnsi" w:hAnsiTheme="minorHAnsi" w:cstheme="minorHAnsi"/>
          <w:color w:val="000000"/>
        </w:rPr>
        <w:t>Section 83</w:t>
      </w:r>
      <w:r w:rsidRPr="00195C7A">
        <w:rPr>
          <w:rFonts w:asciiTheme="minorHAnsi" w:hAnsiTheme="minorHAnsi" w:cstheme="minorHAnsi"/>
        </w:rPr>
        <w:t xml:space="preserve">'s counterpart with regard to </w:t>
      </w:r>
      <w:proofErr w:type="spellStart"/>
      <w:r w:rsidRPr="00195C7A">
        <w:rPr>
          <w:rFonts w:asciiTheme="minorHAnsi" w:hAnsiTheme="minorHAnsi" w:cstheme="minorHAnsi"/>
        </w:rPr>
        <w:t>nondisability</w:t>
      </w:r>
      <w:proofErr w:type="spellEnd"/>
      <w:r w:rsidRPr="00195C7A">
        <w:rPr>
          <w:rFonts w:asciiTheme="minorHAnsi" w:hAnsiTheme="minorHAnsi" w:cstheme="minorHAnsi"/>
        </w:rPr>
        <w:t xml:space="preserve"> pensioners, section 84, prescribes a reduction only if the pensioner should again take a public job. The disability pensioner is penalized if he takes </w:t>
      </w:r>
      <w:r w:rsidRPr="00195C7A">
        <w:rPr>
          <w:rStyle w:val="italic"/>
          <w:rFonts w:asciiTheme="minorHAnsi" w:hAnsiTheme="minorHAnsi" w:cstheme="minorHAnsi"/>
        </w:rPr>
        <w:t>any</w:t>
      </w:r>
      <w:r w:rsidRPr="00195C7A">
        <w:rPr>
          <w:rFonts w:asciiTheme="minorHAnsi" w:hAnsiTheme="minorHAnsi" w:cstheme="minorHAnsi"/>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195C7A">
        <w:rPr>
          <w:rFonts w:asciiTheme="minorHAnsi" w:hAnsiTheme="minorHAnsi" w:cstheme="minorHAnsi"/>
          <w:color w:val="000000"/>
        </w:rPr>
        <w:t>section 83</w:t>
      </w:r>
      <w:r w:rsidRPr="00195C7A">
        <w:rPr>
          <w:rFonts w:asciiTheme="minorHAnsi" w:hAnsiTheme="minorHAnsi" w:cstheme="minorHAnsi"/>
        </w:rPr>
        <w:t xml:space="preserve"> were payable whenever the pensioner died or stopped his other employment the whole purpose of the provision would be defeated, i.e., the System might just as well have continued payments during the other employment since it must later pay it anyway. </w:t>
      </w:r>
      <w:bookmarkStart w:id="2" w:name="PAGE_13_7321"/>
      <w:bookmarkEnd w:id="2"/>
      <w:r w:rsidRPr="00195C7A">
        <w:rPr>
          <w:rFonts w:asciiTheme="minorHAnsi" w:hAnsiTheme="minorHAnsi" w:cstheme="minorHAnsi"/>
        </w:rPr>
        <w:t xml:space="preserve"> [***13]  </w:t>
      </w:r>
      <w:r w:rsidRPr="00195C7A">
        <w:rPr>
          <w:rFonts w:asciiTheme="minorHAnsi" w:hAnsiTheme="minorHAnsi" w:cstheme="minorHAnsi"/>
          <w:u w:val="single"/>
        </w:rPr>
        <w:t xml:space="preserve">The section says "reduced", does not say that monthly payments shall be temporarily suspended; it says that the pension itself shall be reduced. The </w:t>
      </w:r>
      <w:r w:rsidRPr="00202786">
        <w:rPr>
          <w:rStyle w:val="Emphasis"/>
        </w:rPr>
        <w:t>plain dictionary meaning</w:t>
      </w:r>
      <w:r w:rsidRPr="00195C7A">
        <w:rPr>
          <w:rFonts w:asciiTheme="minorHAnsi" w:hAnsiTheme="minorHAnsi" w:cstheme="minorHAnsi"/>
          <w:u w:val="single"/>
        </w:rPr>
        <w:t xml:space="preserve"> of the word is to diminish, lower or degrade. </w:t>
      </w:r>
      <w:r w:rsidRPr="00202786">
        <w:rPr>
          <w:rStyle w:val="StyleUnderline"/>
        </w:rPr>
        <w:t xml:space="preserve">The word "reduce" seems adequately to indicate </w:t>
      </w:r>
      <w:r w:rsidRPr="00202786">
        <w:rPr>
          <w:rStyle w:val="Emphasis"/>
        </w:rPr>
        <w:t>permanency</w:t>
      </w:r>
      <w:r w:rsidRPr="00202786">
        <w:rPr>
          <w:rStyle w:val="StyleUnderline"/>
        </w:rPr>
        <w:t>.</w:t>
      </w:r>
    </w:p>
    <w:p w:rsidR="00D25E30" w:rsidRDefault="00D25E30" w:rsidP="00D25E30"/>
    <w:p w:rsidR="00D25E30" w:rsidRDefault="00D25E30" w:rsidP="00D25E30"/>
    <w:p w:rsidR="009A2F91" w:rsidRDefault="00D25E30" w:rsidP="00D25E30">
      <w:pPr>
        <w:pStyle w:val="Heading3"/>
      </w:pPr>
      <w:r>
        <w:t>Not Prevent</w:t>
      </w:r>
    </w:p>
    <w:p w:rsidR="009A2F91" w:rsidRDefault="009A2F91" w:rsidP="009A2F91">
      <w:pPr>
        <w:pStyle w:val="Heading4"/>
      </w:pPr>
      <w:r>
        <w:t xml:space="preserve">Reduce is distinct from prevent – you can’t stop something from happening, just limit something that is  </w:t>
      </w:r>
    </w:p>
    <w:p w:rsidR="009A2F91" w:rsidRPr="009A2F91" w:rsidRDefault="009A2F91" w:rsidP="009A2F91">
      <w:proofErr w:type="spellStart"/>
      <w:r w:rsidRPr="009A2F91">
        <w:rPr>
          <w:rStyle w:val="Style13ptBold"/>
        </w:rPr>
        <w:t>Popattanachai</w:t>
      </w:r>
      <w:proofErr w:type="spellEnd"/>
      <w:r w:rsidRPr="009A2F91">
        <w:rPr>
          <w:rStyle w:val="Style13ptBold"/>
        </w:rPr>
        <w:t xml:space="preserve"> 2018</w:t>
      </w:r>
      <w:r>
        <w:t xml:space="preserve"> (</w:t>
      </w:r>
      <w:proofErr w:type="spellStart"/>
      <w:r>
        <w:t>Naporn</w:t>
      </w:r>
      <w:proofErr w:type="spellEnd"/>
      <w:r>
        <w:t xml:space="preserve"> </w:t>
      </w:r>
      <w:proofErr w:type="spellStart"/>
      <w:r>
        <w:t>Popattanachai</w:t>
      </w:r>
      <w:proofErr w:type="spellEnd"/>
      <w:r>
        <w:t>, PhD Candidate at Nottingham Law School, "REGIONAL COOPERATION ADDRESSING MARINE POLLUTION FROM LAND-BASED ACTIVITIES: AN INTERPRETATION OF ARTICLE 207 OF THE LAW OF THE SEA CONVENTION FOCUSING ON MONITORING, ASSESSEMENT, AND SURVEILLANCE OF THE POLLUTION", Nottingham Trent University, March 2018, irep.ntu.ac.uk/id/eprint/33374/1/Naporn%20Popattanachai%202018.pdf, mmv)</w:t>
      </w:r>
    </w:p>
    <w:p w:rsidR="009A2F91" w:rsidRDefault="009A2F91" w:rsidP="009A2F91">
      <w:r>
        <w:t xml:space="preserve">For the second question, </w:t>
      </w:r>
      <w:r w:rsidRPr="009A2F91">
        <w:t>the provision demonstrates that the goal of adoption of such laws and regulations must be to ‘prevent, reduce, and control’ MPLA</w:t>
      </w:r>
      <w:r>
        <w:t>. In so doing, the</w:t>
      </w:r>
      <w:r>
        <w:t xml:space="preserve"> </w:t>
      </w:r>
      <w:r>
        <w:t xml:space="preserve">LOSC obliges States to ‘taking into account internationally agreed rules, standards, and recommended practices and procedures’.480 </w:t>
      </w:r>
      <w:r w:rsidRPr="009A2F91">
        <w:rPr>
          <w:rStyle w:val="StyleUnderline"/>
        </w:rPr>
        <w:t>Having considered the ordinary meanings of the term ‘prevent, reduce, and control’,</w:t>
      </w:r>
      <w:r>
        <w:t xml:space="preserve"> ‘</w:t>
      </w:r>
      <w:r w:rsidRPr="009A2F91">
        <w:rPr>
          <w:rStyle w:val="StyleUnderline"/>
        </w:rPr>
        <w:t>prevent’ means ‘to stop something from happening</w:t>
      </w:r>
      <w:r>
        <w:t xml:space="preserve"> or someone from doing something.’481 </w:t>
      </w:r>
      <w:r w:rsidRPr="009A2F91">
        <w:rPr>
          <w:rStyle w:val="StyleUnderline"/>
        </w:rPr>
        <w:t>The word ‘reduce’ means ‘to make something smaller in size, amount, degree, importance etc</w:t>
      </w:r>
      <w:r>
        <w:t xml:space="preserve">.’482 and the word ‘control’ means ‘to order, limit, or rule something or someone's actions or </w:t>
      </w:r>
      <w:proofErr w:type="spellStart"/>
      <w:r>
        <w:t>behaviour</w:t>
      </w:r>
      <w:proofErr w:type="spellEnd"/>
      <w:r>
        <w:t xml:space="preserve">.’ 483 </w:t>
      </w:r>
      <w:r w:rsidRPr="009A2F91">
        <w:rPr>
          <w:rStyle w:val="StyleUnderline"/>
        </w:rPr>
        <w:t>From the meanings, the term ‘prevent’ suggests an action to stop the future occurrence of something, whereas the terms ‘reduce’</w:t>
      </w:r>
      <w:r>
        <w:t xml:space="preserve"> and ‘control’, noting their difference, </w:t>
      </w:r>
      <w:r w:rsidRPr="009A2F91">
        <w:rPr>
          <w:rStyle w:val="StyleUnderline"/>
        </w:rPr>
        <w:t>point to an action dealing with something that has already happened and continues to occur, but needs to be made smaller, limited or regulated</w:t>
      </w:r>
      <w:r>
        <w:t xml:space="preserve">.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t>
      </w:r>
      <w:proofErr w:type="gramStart"/>
      <w:r>
        <w:t>with</w:t>
      </w:r>
      <w:proofErr w:type="gramEnd"/>
      <w:r>
        <w:t xml:space="preserve">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w:t>
      </w:r>
      <w:proofErr w:type="spellStart"/>
      <w:r>
        <w:t>categorised</w:t>
      </w:r>
      <w:proofErr w:type="spellEnd"/>
      <w:r>
        <w:t xml:space="preserve"> into two groups, that is, (1) substantive and (2) procedural legal techniques and measures. They can be discussed hereunder.</w:t>
      </w:r>
    </w:p>
    <w:p w:rsidR="009A2F91" w:rsidRDefault="009A2F91" w:rsidP="009A2F91"/>
    <w:p w:rsidR="00D25E30" w:rsidRDefault="00D25E30" w:rsidP="00D25E30">
      <w:pPr>
        <w:pStyle w:val="Heading4"/>
      </w:pPr>
      <w:r>
        <w:t xml:space="preserve">Reduce does not mean to freeze or stop from increasing </w:t>
      </w:r>
    </w:p>
    <w:p w:rsidR="009A2F91" w:rsidRDefault="00D25E30" w:rsidP="009A2F91">
      <w:r w:rsidRPr="00D25E30">
        <w:rPr>
          <w:rStyle w:val="Style13ptBold"/>
        </w:rPr>
        <w:t>Harmon 2012</w:t>
      </w:r>
      <w:r>
        <w:t xml:space="preserve"> (Melinda Harmon, US District Judge, "GERALD P. ZIECHE, Plaintiff, VS. BURLINGTON RESOURCES INC. EMPLOYEE CHANGE IN CONTROL SEVERANCE PLAN, et al, Defendants.</w:t>
      </w:r>
      <w:proofErr w:type="gramStart"/>
      <w:r>
        <w:t>",</w:t>
      </w:r>
      <w:proofErr w:type="gramEnd"/>
      <w:r>
        <w:t xml:space="preserve"> United States District Court Southern District of Texas Houston Division, March 6 2012, </w:t>
      </w:r>
      <w:hyperlink r:id="rId28" w:history="1">
        <w:r w:rsidRPr="00E92B84">
          <w:rPr>
            <w:rStyle w:val="Hyperlink"/>
          </w:rPr>
          <w:t>https://www.govinfo.gov/content/pkg/USCOURTS-txsd-4_07-cv-03985/pdf/USCOURTS-txsd-4_07-cv-03985-1.pdf</w:t>
        </w:r>
      </w:hyperlink>
      <w:r>
        <w:t>, mmv)</w:t>
      </w:r>
    </w:p>
    <w:p w:rsidR="009A2F91" w:rsidRDefault="009A2F91" w:rsidP="009A2F91">
      <w:r>
        <w:t xml:space="preserve">Initially, although </w:t>
      </w:r>
      <w:proofErr w:type="spellStart"/>
      <w:r>
        <w:t>Zieche</w:t>
      </w:r>
      <w:proofErr w:type="spellEnd"/>
      <w:r>
        <w:t xml:space="preserve"> alleges that ConocoPhillips reduced his salary, he introduced no summary judgment evidence to support this contention. In his Response to </w:t>
      </w:r>
      <w:proofErr w:type="spellStart"/>
      <w:r>
        <w:t>ConocoPhillip’s</w:t>
      </w:r>
      <w:proofErr w:type="spellEnd"/>
      <w:r>
        <w:t xml:space="preserve"> Motion for Summary Judgment, </w:t>
      </w:r>
      <w:proofErr w:type="spellStart"/>
      <w:r>
        <w:t>Zeiche</w:t>
      </w:r>
      <w:proofErr w:type="spellEnd"/>
      <w:r>
        <w:t xml:space="preserve"> repeatedly asserts that, in his new position at ConocoPhillips, he would “not be eligible for annual merit salary increases” as he had previously received at Burlington. Doc. 54 at 4 (</w:t>
      </w:r>
      <w:proofErr w:type="spellStart"/>
      <w:r>
        <w:t>emph</w:t>
      </w:r>
      <w:proofErr w:type="spellEnd"/>
      <w:r>
        <w:t xml:space="preserve">. added). The summary judgment evidence before the Court included </w:t>
      </w:r>
      <w:proofErr w:type="spellStart"/>
      <w:r>
        <w:t>Zieche’s</w:t>
      </w:r>
      <w:proofErr w:type="spellEnd"/>
      <w:r>
        <w:t xml:space="preserve"> deposition, in which he admitted that his salary “remained the same . . . up to the time [he] resigned from ConocoPhillips.” Doc. 48-1 at 50 (</w:t>
      </w:r>
      <w:proofErr w:type="spellStart"/>
      <w:r>
        <w:t>emph</w:t>
      </w:r>
      <w:proofErr w:type="spellEnd"/>
      <w:r>
        <w:t xml:space="preserve">. added). Nevertheless, </w:t>
      </w:r>
      <w:proofErr w:type="spellStart"/>
      <w:r w:rsidRPr="00D25E30">
        <w:rPr>
          <w:rStyle w:val="StyleUnderline"/>
        </w:rPr>
        <w:t>Zieche</w:t>
      </w:r>
      <w:proofErr w:type="spellEnd"/>
      <w:r w:rsidRPr="00D25E30">
        <w:rPr>
          <w:rStyle w:val="StyleUnderline"/>
        </w:rPr>
        <w:t xml:space="preserve"> argues that the Court unnaturally should read the word “reduce”</w:t>
      </w:r>
      <w:r>
        <w:t xml:space="preserve"> in the retention agreement </w:t>
      </w:r>
      <w:r w:rsidRPr="00D25E30">
        <w:rPr>
          <w:rStyle w:val="StyleUnderline"/>
        </w:rPr>
        <w:t>to mean “not increase,” rather than interpreting the word according to its plain meaning. The Court does not agree with this reasoning</w:t>
      </w:r>
      <w:r>
        <w:t xml:space="preserve">, and </w:t>
      </w:r>
      <w:proofErr w:type="spellStart"/>
      <w:r>
        <w:t>Zieche</w:t>
      </w:r>
      <w:proofErr w:type="spellEnd"/>
      <w:r>
        <w:t xml:space="preserve"> has introduced no evidence to convince the Court otherwise.</w:t>
      </w:r>
    </w:p>
    <w:p w:rsidR="00D25E30" w:rsidRDefault="00D25E30" w:rsidP="009A2F91"/>
    <w:p w:rsidR="009427D3" w:rsidRDefault="009427D3" w:rsidP="009427D3">
      <w:pPr>
        <w:pStyle w:val="Heading2"/>
      </w:pPr>
      <w:r>
        <w:t xml:space="preserve">Substantially </w:t>
      </w:r>
      <w:r w:rsidR="00292E32">
        <w:t>– 2.7%</w:t>
      </w:r>
    </w:p>
    <w:p w:rsidR="00CC7D5A" w:rsidRDefault="00CC7D5A" w:rsidP="00CC7D5A">
      <w:pPr>
        <w:pStyle w:val="Heading3"/>
      </w:pPr>
      <w:r>
        <w:t>Read this first!</w:t>
      </w:r>
    </w:p>
    <w:p w:rsidR="00CC7D5A" w:rsidRPr="00CC7D5A" w:rsidRDefault="00CC7D5A" w:rsidP="00CC7D5A"/>
    <w:p w:rsidR="00CC7D5A" w:rsidRDefault="00CC7D5A" w:rsidP="00CC7D5A">
      <w:r>
        <w:t>Most of these “substantial” cards and charts were taken from the Michigan 7 Week starter pack, we recut what we could, some evidence (especially the charts) were not recut for the UTNIF starter pack due to our faith in their work and the magnitude of their accomplishment in compiling this data. The bellow section is also taken from their starter pack to explain how the data was created, it appears here unchanged. The organization of the “substantial” cards has been changed to better fit</w:t>
      </w:r>
      <w:r w:rsidR="00BE09DE">
        <w:t xml:space="preserve"> within the format of this file. </w:t>
      </w:r>
    </w:p>
    <w:p w:rsidR="00CC7D5A" w:rsidRDefault="00CC7D5A" w:rsidP="00CC7D5A"/>
    <w:p w:rsidR="00CC7D5A" w:rsidRDefault="00CC7D5A" w:rsidP="00CC7D5A"/>
    <w:p w:rsidR="00BE09DE" w:rsidRDefault="00BE09DE" w:rsidP="00CC7D5A"/>
    <w:p w:rsidR="00CC7D5A" w:rsidRDefault="00CC7D5A" w:rsidP="00CC7D5A"/>
    <w:p w:rsidR="00CC7D5A" w:rsidRDefault="00CC7D5A" w:rsidP="00CC7D5A">
      <w:r>
        <w:t xml:space="preserve">“The two pie charts under the 2.7% substantially violation are not cards.  They </w:t>
      </w:r>
      <w:r w:rsidRPr="008F76EE">
        <w:rPr>
          <w:u w:val="single"/>
        </w:rPr>
        <w:t>were created</w:t>
      </w:r>
      <w:r>
        <w:t xml:space="preserve"> in Microsoft Excel by one of my students (and confirmed and replicated by me) to provide a visual representation of data from SIPRI’s Arms Transfer Database.  I did not include formal citations for them, and chose instead to explain the process for creating the chart in the area where the citation would normally be.  </w:t>
      </w:r>
    </w:p>
    <w:p w:rsidR="00CC7D5A" w:rsidRDefault="00CC7D5A" w:rsidP="00CC7D5A"/>
    <w:p w:rsidR="00CC7D5A" w:rsidRDefault="00CC7D5A" w:rsidP="00CC7D5A">
      <w:r>
        <w:t>The charts were automatically generated using Microsoft Excel from an Excel file downloaded from SIPRI’s Arms Transfer Database.  My student emailed</w:t>
      </w:r>
      <w:r w:rsidRPr="008F76EE">
        <w:t xml:space="preserve"> </w:t>
      </w:r>
      <w:r>
        <w:t xml:space="preserve">Aude </w:t>
      </w:r>
      <w:proofErr w:type="spellStart"/>
      <w:r>
        <w:t>Fleuant</w:t>
      </w:r>
      <w:proofErr w:type="spellEnd"/>
      <w:r>
        <w:t xml:space="preserve">, the Director of SIPRI’s Arms Transfers and Military Expenditures </w:t>
      </w:r>
      <w:proofErr w:type="spellStart"/>
      <w:r>
        <w:t>Programme</w:t>
      </w:r>
      <w:proofErr w:type="spellEnd"/>
      <w:r>
        <w:t>, to confirm that the data in the charts was accurate and that this is the same method SIPRI uses to generate their own charts for their reports.  Their 2013-2017 report included a similar chart, but their most recent report lacked it – hence our need to create one to reflect their updated data.  We also needed to represent a larger set of countries than the top ten export destinations for the purposes of the 2.7% violation.</w:t>
      </w:r>
    </w:p>
    <w:p w:rsidR="00CC7D5A" w:rsidRDefault="00CC7D5A" w:rsidP="00CC7D5A"/>
    <w:p w:rsidR="00CC7D5A" w:rsidRDefault="00CC7D5A" w:rsidP="00CC7D5A">
      <w:r>
        <w:t>I am always opposed to the use of email evidence for topicality purposes.  But this is not email evidence – email was used solely to confirm SIPRI’s method to generate an accurate chart.  The emails themselves are not included in this file.  The data each chart is based upon is publicly available, included at the end of each violation, and has a formal citation so anyone can verify the figures and replicate them.</w:t>
      </w:r>
    </w:p>
    <w:p w:rsidR="00CC7D5A" w:rsidRDefault="00CC7D5A" w:rsidP="00CC7D5A"/>
    <w:p w:rsidR="00CC7D5A" w:rsidRDefault="00CC7D5A" w:rsidP="00CC7D5A">
      <w:r>
        <w:t>However, if you would prefer, you can delete the pie charts and just use the data itself as the basis for your violation.  The charts are helpful because they provide an easier to understand representation of the data, but they are not necessary.”</w:t>
      </w:r>
    </w:p>
    <w:p w:rsidR="00CC7D5A" w:rsidRPr="00195C7A" w:rsidRDefault="00292E32" w:rsidP="00CC7D5A">
      <w:pPr>
        <w:pStyle w:val="Heading3"/>
      </w:pPr>
      <w:proofErr w:type="spellStart"/>
      <w:r>
        <w:t>Interp</w:t>
      </w:r>
      <w:proofErr w:type="spellEnd"/>
    </w:p>
    <w:p w:rsidR="00CC7D5A" w:rsidRPr="00195C7A" w:rsidRDefault="00CC7D5A" w:rsidP="00CC7D5A"/>
    <w:p w:rsidR="00CC7D5A" w:rsidRPr="00195C7A" w:rsidRDefault="00CC7D5A" w:rsidP="00CC7D5A">
      <w:pPr>
        <w:pStyle w:val="Heading4"/>
      </w:pPr>
      <w:r w:rsidRPr="00195C7A">
        <w:t xml:space="preserve">A substantial reduction must be </w:t>
      </w:r>
      <w:r w:rsidRPr="00195C7A">
        <w:rPr>
          <w:u w:val="single"/>
        </w:rPr>
        <w:t>greater</w:t>
      </w:r>
      <w:r w:rsidRPr="00195C7A">
        <w:t xml:space="preserve"> than 2.7% of </w:t>
      </w:r>
      <w:r w:rsidRPr="00195C7A">
        <w:rPr>
          <w:u w:val="single"/>
        </w:rPr>
        <w:t>total</w:t>
      </w:r>
      <w:r w:rsidRPr="00195C7A">
        <w:t xml:space="preserve"> arms sales</w:t>
      </w:r>
    </w:p>
    <w:p w:rsidR="00CC7D5A" w:rsidRPr="00195C7A" w:rsidRDefault="00CC7D5A" w:rsidP="00CC7D5A">
      <w:pPr>
        <w:rPr>
          <w:rFonts w:asciiTheme="minorHAnsi" w:hAnsiTheme="minorHAnsi" w:cstheme="minorHAnsi"/>
        </w:rPr>
      </w:pPr>
      <w:proofErr w:type="spellStart"/>
      <w:r w:rsidRPr="00195C7A">
        <w:rPr>
          <w:rFonts w:asciiTheme="minorHAnsi" w:hAnsiTheme="minorHAnsi" w:cstheme="minorHAnsi"/>
          <w:b/>
        </w:rPr>
        <w:t>Portela</w:t>
      </w:r>
      <w:proofErr w:type="spellEnd"/>
      <w:r w:rsidRPr="00195C7A">
        <w:rPr>
          <w:rFonts w:asciiTheme="minorHAnsi" w:hAnsiTheme="minorHAnsi" w:cstheme="minorHAnsi"/>
          <w:b/>
        </w:rPr>
        <w:t xml:space="preserve">, 10 - </w:t>
      </w:r>
      <w:proofErr w:type="spellStart"/>
      <w:r w:rsidRPr="00195C7A">
        <w:rPr>
          <w:rFonts w:asciiTheme="minorHAnsi" w:hAnsiTheme="minorHAnsi" w:cstheme="minorHAnsi"/>
        </w:rPr>
        <w:t>Dr</w:t>
      </w:r>
      <w:proofErr w:type="spellEnd"/>
      <w:r w:rsidRPr="00195C7A">
        <w:rPr>
          <w:rFonts w:asciiTheme="minorHAnsi" w:hAnsiTheme="minorHAnsi" w:cstheme="minorHAnsi"/>
        </w:rPr>
        <w:t xml:space="preserve"> Clara PORTELA holds a PhD from the European University Institute in Florence and an MA from the Free University of Berlin. She is currently a full-time faculty member in Political Science at the University of Valencia (Spain), having previously served as an Assistant Professor at Singapore Management University (Singapore). (Clara,</w:t>
      </w:r>
      <w:r w:rsidRPr="00195C7A">
        <w:rPr>
          <w:rFonts w:asciiTheme="minorHAnsi" w:hAnsiTheme="minorHAnsi" w:cstheme="minorHAnsi"/>
          <w:b/>
        </w:rPr>
        <w:t xml:space="preserve"> </w:t>
      </w:r>
      <w:r w:rsidRPr="00195C7A">
        <w:rPr>
          <w:rFonts w:asciiTheme="minorHAnsi" w:hAnsiTheme="minorHAnsi" w:cstheme="minorHAnsi"/>
          <w:u w:val="single"/>
        </w:rPr>
        <w:t>European Union Sanctions and Foreign Policy: When and why Do They Work?</w:t>
      </w:r>
      <w:r w:rsidRPr="00195C7A">
        <w:rPr>
          <w:rFonts w:asciiTheme="minorHAnsi" w:hAnsiTheme="minorHAnsi" w:cstheme="minorHAnsi"/>
        </w:rPr>
        <w:t xml:space="preserve">, p. 105, google books) </w:t>
      </w:r>
      <w:r w:rsidRPr="00195C7A">
        <w:rPr>
          <w:rFonts w:asciiTheme="minorHAnsi" w:hAnsiTheme="minorHAnsi" w:cstheme="minorHAnsi"/>
          <w:b/>
        </w:rPr>
        <w:t>CFSP = Common Foreign and Security Policy</w:t>
      </w:r>
      <w:r w:rsidRPr="00195C7A">
        <w:rPr>
          <w:rFonts w:asciiTheme="minorHAnsi" w:hAnsiTheme="minorHAnsi" w:cstheme="minorHAnsi"/>
        </w:rPr>
        <w:t xml:space="preserve"> for the EU</w:t>
      </w:r>
    </w:p>
    <w:p w:rsidR="00CC7D5A" w:rsidRDefault="00CC7D5A" w:rsidP="00CC7D5A">
      <w:pPr>
        <w:rPr>
          <w:rFonts w:asciiTheme="minorHAnsi" w:hAnsiTheme="minorHAnsi" w:cstheme="minorHAnsi"/>
        </w:rPr>
      </w:pPr>
      <w:r w:rsidRPr="00195C7A">
        <w:rPr>
          <w:rFonts w:asciiTheme="minorHAnsi" w:hAnsiTheme="minorHAnsi" w:cstheme="minorHAnsi"/>
        </w:rPr>
        <w:t>A number of member states Belgium, Germany and Italy supplemented these EU actions with national measures, such as the suspension of grants, loans and aid (</w:t>
      </w:r>
      <w:proofErr w:type="spellStart"/>
      <w:r w:rsidRPr="00195C7A">
        <w:rPr>
          <w:rFonts w:asciiTheme="minorHAnsi" w:hAnsiTheme="minorHAnsi" w:cstheme="minorHAnsi"/>
        </w:rPr>
        <w:t>Kreutz</w:t>
      </w:r>
      <w:proofErr w:type="spellEnd"/>
      <w:r w:rsidRPr="00195C7A">
        <w:rPr>
          <w:rFonts w:asciiTheme="minorHAnsi" w:hAnsiTheme="minorHAnsi" w:cstheme="minorHAnsi"/>
        </w:rPr>
        <w:t xml:space="preserve"> 2004). The EU measures, most of which are diplomatic sanctions, ceased to be valid in October 1990 (Wacker 2004), while the arms embargo remained in place. The fact that the arms embargo was never for- </w:t>
      </w:r>
      <w:proofErr w:type="spellStart"/>
      <w:r w:rsidRPr="00195C7A">
        <w:rPr>
          <w:rFonts w:asciiTheme="minorHAnsi" w:hAnsiTheme="minorHAnsi" w:cstheme="minorHAnsi"/>
        </w:rPr>
        <w:t>malised</w:t>
      </w:r>
      <w:proofErr w:type="spellEnd"/>
      <w:r w:rsidRPr="00195C7A">
        <w:rPr>
          <w:rFonts w:asciiTheme="minorHAnsi" w:hAnsiTheme="minorHAnsi" w:cstheme="minorHAnsi"/>
        </w:rPr>
        <w:t xml:space="preserve"> in a CFSP instrument has significant implications. Firstly, the measures were adopted on an indefinite basis, unlike most CFSP regimes currently in force, which contain an expiry date, or 'exit-clause'. Secondly, no common list of goods covered by the embargo was agreed, as is routine practice with current CFSP arms embargoes; thus, individual member states remain responsible for interpreting the embargo. Given that the embargo was interpreted as excluding the supply of equipment under agreements that were already con- </w:t>
      </w:r>
      <w:proofErr w:type="spellStart"/>
      <w:r w:rsidRPr="00195C7A">
        <w:rPr>
          <w:rFonts w:asciiTheme="minorHAnsi" w:hAnsiTheme="minorHAnsi" w:cstheme="minorHAnsi"/>
        </w:rPr>
        <w:t>cluded</w:t>
      </w:r>
      <w:proofErr w:type="spellEnd"/>
      <w:r w:rsidRPr="00195C7A">
        <w:rPr>
          <w:rFonts w:asciiTheme="minorHAnsi" w:hAnsiTheme="minorHAnsi" w:cstheme="minorHAnsi"/>
        </w:rPr>
        <w:t xml:space="preserve">, European arms sales under those contracts continued. Some items with military applications, such as early warning systems, were also supplied. However, </w:t>
      </w:r>
      <w:r w:rsidRPr="00195C7A">
        <w:rPr>
          <w:rStyle w:val="StyleUnderline"/>
        </w:rPr>
        <w:t>a US study</w:t>
      </w:r>
      <w:r w:rsidRPr="00195C7A">
        <w:rPr>
          <w:rFonts w:asciiTheme="minorHAnsi" w:hAnsiTheme="minorHAnsi" w:cstheme="minorHAnsi"/>
        </w:rPr>
        <w:t xml:space="preserve"> published in 1998 </w:t>
      </w:r>
      <w:r w:rsidRPr="00195C7A">
        <w:rPr>
          <w:rStyle w:val="StyleUnderline"/>
        </w:rPr>
        <w:t>estimated</w:t>
      </w:r>
      <w:r w:rsidRPr="00195C7A">
        <w:rPr>
          <w:rFonts w:asciiTheme="minorHAnsi" w:hAnsiTheme="minorHAnsi" w:cstheme="minorHAnsi"/>
        </w:rPr>
        <w:t xml:space="preserve"> that </w:t>
      </w:r>
      <w:r w:rsidRPr="00195C7A">
        <w:rPr>
          <w:rStyle w:val="StyleUnderline"/>
        </w:rPr>
        <w:t xml:space="preserve">European arms sales to China were </w:t>
      </w:r>
      <w:r w:rsidRPr="00195C7A">
        <w:rPr>
          <w:rStyle w:val="Emphasis"/>
        </w:rPr>
        <w:t>not substantial</w:t>
      </w:r>
      <w:r w:rsidRPr="00195C7A">
        <w:rPr>
          <w:rStyle w:val="StyleUnderline"/>
        </w:rPr>
        <w:t xml:space="preserve">, making up </w:t>
      </w:r>
      <w:r w:rsidRPr="00195C7A">
        <w:rPr>
          <w:rStyle w:val="Emphasis"/>
        </w:rPr>
        <w:t>only 2.7 per cent</w:t>
      </w:r>
      <w:r w:rsidRPr="00195C7A">
        <w:rPr>
          <w:rStyle w:val="StyleUnderline"/>
        </w:rPr>
        <w:t xml:space="preserve"> </w:t>
      </w:r>
      <w:r w:rsidRPr="00195C7A">
        <w:rPr>
          <w:rFonts w:asciiTheme="minorHAnsi" w:hAnsiTheme="minorHAnsi" w:cstheme="minorHAnsi"/>
        </w:rPr>
        <w:t xml:space="preserve">of China's imports </w:t>
      </w:r>
      <w:r w:rsidRPr="00195C7A">
        <w:rPr>
          <w:rStyle w:val="StyleUnderline"/>
        </w:rPr>
        <w:t>of military equipment</w:t>
      </w:r>
      <w:r w:rsidRPr="00195C7A">
        <w:rPr>
          <w:rFonts w:asciiTheme="minorHAnsi" w:hAnsiTheme="minorHAnsi" w:cstheme="minorHAnsi"/>
        </w:rPr>
        <w:t xml:space="preserve"> (cited in Wacker 2004:2). In 2003, EU member states refused applications for 44 export </w:t>
      </w:r>
      <w:proofErr w:type="spellStart"/>
      <w:r w:rsidRPr="00195C7A">
        <w:rPr>
          <w:rFonts w:asciiTheme="minorHAnsi" w:hAnsiTheme="minorHAnsi" w:cstheme="minorHAnsi"/>
        </w:rPr>
        <w:t>licences</w:t>
      </w:r>
      <w:proofErr w:type="spellEnd"/>
      <w:r w:rsidRPr="00195C7A">
        <w:rPr>
          <w:rFonts w:asciiTheme="minorHAnsi" w:hAnsiTheme="minorHAnsi" w:cstheme="minorHAnsi"/>
        </w:rPr>
        <w:t xml:space="preserve"> for military equipment to China, and granted 159. However, </w:t>
      </w:r>
      <w:r w:rsidRPr="00195C7A">
        <w:rPr>
          <w:rStyle w:val="StyleUnderline"/>
        </w:rPr>
        <w:t>the volume of sales remains</w:t>
      </w:r>
      <w:r w:rsidRPr="00195C7A">
        <w:rPr>
          <w:rFonts w:asciiTheme="minorHAnsi" w:hAnsiTheme="minorHAnsi" w:cstheme="minorHAnsi"/>
        </w:rPr>
        <w:t xml:space="preserve"> "relatively </w:t>
      </w:r>
      <w:r w:rsidRPr="00195C7A">
        <w:rPr>
          <w:rStyle w:val="StyleUnderline"/>
        </w:rPr>
        <w:t>small' according to experts' estimates</w:t>
      </w:r>
      <w:r w:rsidRPr="00195C7A">
        <w:rPr>
          <w:rFonts w:asciiTheme="minorHAnsi" w:hAnsiTheme="minorHAnsi" w:cstheme="minorHAnsi"/>
        </w:rPr>
        <w:t xml:space="preserve"> (Austin 2005:9).</w:t>
      </w:r>
    </w:p>
    <w:p w:rsidR="00CC7D5A" w:rsidRDefault="00CC7D5A" w:rsidP="00CC7D5A">
      <w:pPr>
        <w:rPr>
          <w:rFonts w:asciiTheme="minorHAnsi" w:hAnsiTheme="minorHAnsi" w:cstheme="minorHAnsi"/>
        </w:rPr>
      </w:pPr>
    </w:p>
    <w:p w:rsidR="00CC7D5A" w:rsidRDefault="00CC7D5A" w:rsidP="00CC7D5A">
      <w:pPr>
        <w:pStyle w:val="Heading3"/>
      </w:pPr>
      <w:r>
        <w:t xml:space="preserve">Violation – Countries </w:t>
      </w:r>
    </w:p>
    <w:p w:rsidR="00CC7D5A" w:rsidRDefault="00CC7D5A" w:rsidP="00CC7D5A">
      <w:pPr>
        <w:pStyle w:val="Heading4"/>
      </w:pPr>
      <w:r w:rsidRPr="00195C7A">
        <w:t xml:space="preserve">Violation – </w:t>
      </w:r>
      <w:r>
        <w:t>only 12 countries account for more than 2.7% of US arms sales: Australia, India, Iraq, Israel, Japan, Qatar, Saudi Arabia, South Korea, Taiwan, Turkey, the UAE, and the UK.  We’ll submit a chart created using t</w:t>
      </w:r>
      <w:r w:rsidRPr="00195C7A">
        <w:t xml:space="preserve">he </w:t>
      </w:r>
      <w:r w:rsidRPr="0089575F">
        <w:rPr>
          <w:u w:val="single"/>
        </w:rPr>
        <w:t>SIPRI Arms Transfer Database</w:t>
      </w:r>
      <w:r>
        <w:t xml:space="preserve"> based on the most recent data available.</w:t>
      </w:r>
      <w:r w:rsidRPr="00195C7A">
        <w:t xml:space="preserve"> </w:t>
      </w:r>
      <w:r>
        <w:t xml:space="preserve"> The data supporting the chart is at the end of the </w:t>
      </w:r>
      <w:proofErr w:type="gramStart"/>
      <w:r>
        <w:t>violation</w:t>
      </w:r>
      <w:proofErr w:type="gramEnd"/>
      <w:r>
        <w:t>.</w:t>
      </w:r>
    </w:p>
    <w:p w:rsidR="00CC7D5A" w:rsidRPr="00435309" w:rsidRDefault="00CC7D5A" w:rsidP="00CC7D5A">
      <w:bookmarkStart w:id="3" w:name="_Hlk10185593"/>
    </w:p>
    <w:p w:rsidR="00CC7D5A" w:rsidRDefault="00CC7D5A" w:rsidP="00CC7D5A">
      <w:r>
        <w:t xml:space="preserve">This chart was generated from Microsoft Excel based upon information within the SIPRI Arms Transfer Database.  Carrollton student Gabriela </w:t>
      </w:r>
      <w:proofErr w:type="spellStart"/>
      <w:r>
        <w:t>Garity</w:t>
      </w:r>
      <w:proofErr w:type="spellEnd"/>
      <w:r>
        <w:t xml:space="preserve"> contacted Aude </w:t>
      </w:r>
      <w:proofErr w:type="spellStart"/>
      <w:r>
        <w:t>Fleuant</w:t>
      </w:r>
      <w:proofErr w:type="spellEnd"/>
      <w:r>
        <w:t xml:space="preserve">, the Director of SIPRI’s Arms Transfers and Military Expenditures </w:t>
      </w:r>
      <w:proofErr w:type="spellStart"/>
      <w:r>
        <w:t>Programme</w:t>
      </w:r>
      <w:proofErr w:type="spellEnd"/>
      <w:r>
        <w:t>, to confirm this is how SIPRI generates their charts, using the same data.</w:t>
      </w:r>
      <w:r w:rsidRPr="00195C7A">
        <w:t xml:space="preserve">  You can generate </w:t>
      </w:r>
      <w:r>
        <w:t>this chart yourself, but it takes some knowledge of Microsoft Excel.  Go to the URL below and select</w:t>
      </w:r>
      <w:r w:rsidRPr="00195C7A">
        <w:t xml:space="preserve"> the following values:  </w:t>
      </w:r>
    </w:p>
    <w:p w:rsidR="00CC7D5A" w:rsidRDefault="00CC7D5A" w:rsidP="00CC7D5A">
      <w:r w:rsidRPr="00195C7A">
        <w:t>Exports from United States, Range of years: 201</w:t>
      </w:r>
      <w:r>
        <w:t>4</w:t>
      </w:r>
      <w:r w:rsidRPr="00195C7A">
        <w:t>-201</w:t>
      </w:r>
      <w:r>
        <w:t>8</w:t>
      </w:r>
      <w:r w:rsidRPr="00195C7A">
        <w:t xml:space="preserve">, </w:t>
      </w:r>
      <w:proofErr w:type="gramStart"/>
      <w:r w:rsidRPr="00195C7A">
        <w:t>Summarize</w:t>
      </w:r>
      <w:proofErr w:type="gramEnd"/>
      <w:r w:rsidRPr="00195C7A">
        <w:t xml:space="preserve"> data by recipient/supplier</w:t>
      </w:r>
      <w:r>
        <w:t>, Output format: Excel file</w:t>
      </w:r>
      <w:r w:rsidRPr="00195C7A">
        <w:t xml:space="preserve">.  </w:t>
      </w:r>
    </w:p>
    <w:p w:rsidR="00CC7D5A" w:rsidRDefault="00CC7D5A" w:rsidP="00CC7D5A">
      <w:r>
        <w:t>Then, in Excel, only the Total column matters, so delete Columns B-F.  Sort from smallest to largest.  Egypt is the largest country that is not quite 2.7%, and there are 12 countries with larger values than Egypt.  Create an ‘Others’ row at the bottom, before the total, and use Excel to add all but the top 13 countries in this row; the equation to use is =SUM(B12:B102).  The total of “Others” is 13663.  Then select the Egypt-Others sections of Column A and B, and hit Excel’s Pie Chart button.  The percentages it shows will be incorrect because Excel rounds them up by default.  You can fix this going to Formatting Data Labels, then select number, then percentage, then two percentage places to generate these percentages.  You will also have to play around with formatting options to get this exact chart.</w:t>
      </w:r>
    </w:p>
    <w:p w:rsidR="00CC7D5A" w:rsidRPr="00195C7A" w:rsidRDefault="00CC7D5A" w:rsidP="00CC7D5A">
      <w:r w:rsidRPr="00195C7A">
        <w:t>Questions</w:t>
      </w:r>
      <w:r>
        <w:t>?  Email</w:t>
      </w:r>
      <w:r w:rsidRPr="00195C7A">
        <w:t xml:space="preserve"> davidheidt@gmail.com</w:t>
      </w:r>
    </w:p>
    <w:p w:rsidR="00CC7D5A" w:rsidRPr="00195C7A" w:rsidRDefault="00CC7D5A" w:rsidP="00CC7D5A">
      <w:hyperlink r:id="rId29" w:history="1">
        <w:r w:rsidRPr="00195C7A">
          <w:rPr>
            <w:rStyle w:val="Hyperlink"/>
          </w:rPr>
          <w:t>http://armstrade.sipri.org/armstrade/page/values.php</w:t>
        </w:r>
      </w:hyperlink>
    </w:p>
    <w:bookmarkEnd w:id="3"/>
    <w:p w:rsidR="00CC7D5A" w:rsidRDefault="00CC7D5A" w:rsidP="00CC7D5A">
      <w:pPr>
        <w:rPr>
          <w:rFonts w:asciiTheme="minorHAnsi" w:hAnsiTheme="minorHAnsi" w:cstheme="minorHAnsi"/>
        </w:rPr>
      </w:pPr>
    </w:p>
    <w:p w:rsidR="00CC7D5A" w:rsidRDefault="00CC7D5A" w:rsidP="00CC7D5A">
      <w:pPr>
        <w:rPr>
          <w:rFonts w:asciiTheme="minorHAnsi" w:hAnsiTheme="minorHAnsi" w:cstheme="minorHAnsi"/>
        </w:rPr>
      </w:pPr>
      <w:r>
        <w:rPr>
          <w:noProof/>
        </w:rPr>
        <w:drawing>
          <wp:inline distT="0" distB="0" distL="0" distR="0" wp14:anchorId="1081E8DC" wp14:editId="62CF0AB3">
            <wp:extent cx="6831441" cy="5169535"/>
            <wp:effectExtent l="0" t="0" r="7620" b="12065"/>
            <wp:docPr id="1" name="Chart 1">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51638853-7709-41F3-964A-40CB4C1BC8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CC7D5A" w:rsidRPr="00195C7A" w:rsidRDefault="00CC7D5A" w:rsidP="00CC7D5A">
      <w:pPr>
        <w:rPr>
          <w:rFonts w:asciiTheme="minorHAnsi" w:hAnsiTheme="minorHAnsi" w:cstheme="minorHAnsi"/>
        </w:rPr>
      </w:pPr>
    </w:p>
    <w:p w:rsidR="00CC7D5A" w:rsidRPr="00195C7A" w:rsidRDefault="00CC7D5A" w:rsidP="00CC7D5A">
      <w:pPr>
        <w:pStyle w:val="Heading4"/>
      </w:pPr>
      <w:r w:rsidRPr="00195C7A">
        <w:t xml:space="preserve">Voting issue for limits and ground- the US sells arms to 98 countries and their interpretation multiplies </w:t>
      </w:r>
      <w:r w:rsidRPr="00195C7A">
        <w:rPr>
          <w:u w:val="single"/>
        </w:rPr>
        <w:t>every</w:t>
      </w:r>
      <w:r w:rsidRPr="00195C7A">
        <w:t xml:space="preserve"> weapon system or military service by 98 – our interpretation forces the </w:t>
      </w:r>
      <w:proofErr w:type="spellStart"/>
      <w:r w:rsidRPr="00195C7A">
        <w:t>aff</w:t>
      </w:r>
      <w:proofErr w:type="spellEnd"/>
      <w:r w:rsidRPr="00195C7A">
        <w:t xml:space="preserve"> to focus on the </w:t>
      </w:r>
      <w:r w:rsidRPr="00195C7A">
        <w:rPr>
          <w:u w:val="single"/>
        </w:rPr>
        <w:t>largest</w:t>
      </w:r>
      <w:r w:rsidRPr="00195C7A">
        <w:t xml:space="preserve"> customers or read </w:t>
      </w:r>
      <w:proofErr w:type="spellStart"/>
      <w:r w:rsidRPr="00195C7A">
        <w:t>affs</w:t>
      </w:r>
      <w:proofErr w:type="spellEnd"/>
      <w:r w:rsidRPr="00195C7A">
        <w:t xml:space="preserve"> that govern arms sales </w:t>
      </w:r>
      <w:r w:rsidRPr="00195C7A">
        <w:rPr>
          <w:u w:val="single"/>
        </w:rPr>
        <w:t>more broadly</w:t>
      </w:r>
      <w:r w:rsidRPr="00195C7A">
        <w:t xml:space="preserve"> – it’s otherwise impossible to be negative</w:t>
      </w:r>
    </w:p>
    <w:p w:rsidR="00CC7D5A" w:rsidRPr="00195C7A" w:rsidRDefault="00CC7D5A" w:rsidP="00CC7D5A"/>
    <w:p w:rsidR="00CC7D5A" w:rsidRPr="00195C7A" w:rsidRDefault="00CC7D5A" w:rsidP="00CC7D5A">
      <w:pPr>
        <w:pStyle w:val="Heading4"/>
      </w:pPr>
      <w:r>
        <w:t>***Here is the data supporting the figures represented in the pie chart</w:t>
      </w:r>
    </w:p>
    <w:p w:rsidR="00CC7D5A" w:rsidRDefault="00CC7D5A" w:rsidP="00CC7D5A">
      <w:pPr>
        <w:ind w:left="720"/>
      </w:pPr>
      <w:r w:rsidRPr="00195C7A">
        <w:t xml:space="preserve">***note: this is a range </w:t>
      </w:r>
      <w:proofErr w:type="gramStart"/>
      <w:r w:rsidRPr="00195C7A">
        <w:t>between 201</w:t>
      </w:r>
      <w:r>
        <w:t>4</w:t>
      </w:r>
      <w:r w:rsidRPr="00195C7A">
        <w:t>-201</w:t>
      </w:r>
      <w:r>
        <w:t>8</w:t>
      </w:r>
      <w:proofErr w:type="gramEnd"/>
      <w:r w:rsidRPr="00195C7A">
        <w:t xml:space="preserve"> because that’s the </w:t>
      </w:r>
      <w:r>
        <w:t xml:space="preserve">most recent data available.  </w:t>
      </w:r>
    </w:p>
    <w:p w:rsidR="00CC7D5A" w:rsidRDefault="00CC7D5A" w:rsidP="00CC7D5A">
      <w:pPr>
        <w:ind w:left="720"/>
      </w:pPr>
      <w:r>
        <w:tab/>
        <w:t>If you can’t generate the pie chart because you don’t know Excel, you can still confirm its values using this data.</w:t>
      </w:r>
    </w:p>
    <w:p w:rsidR="00CC7D5A" w:rsidRDefault="00CC7D5A" w:rsidP="00CC7D5A"/>
    <w:p w:rsidR="00CC7D5A" w:rsidRDefault="00CC7D5A" w:rsidP="00CC7D5A">
      <w:pPr>
        <w:ind w:left="720" w:firstLine="720"/>
      </w:pPr>
      <w:r>
        <w:t xml:space="preserve">Only the “total” column matters, and the total amount of US arms sales is 54280.  </w:t>
      </w:r>
    </w:p>
    <w:p w:rsidR="00CC7D5A" w:rsidRDefault="00CC7D5A" w:rsidP="00CC7D5A">
      <w:pPr>
        <w:ind w:left="2160"/>
      </w:pPr>
    </w:p>
    <w:p w:rsidR="00CC7D5A" w:rsidRDefault="00CC7D5A" w:rsidP="00CC7D5A">
      <w:pPr>
        <w:ind w:left="720" w:firstLine="720"/>
      </w:pPr>
      <w:r>
        <w:t>2.7% of that is 1465 (54280 x .027).  Any country with a five year TIV greater than 1465 is more than 2.7%</w:t>
      </w:r>
    </w:p>
    <w:p w:rsidR="00CC7D5A" w:rsidRDefault="00CC7D5A" w:rsidP="00CC7D5A"/>
    <w:p w:rsidR="00CC7D5A" w:rsidRDefault="00CC7D5A" w:rsidP="00CC7D5A">
      <w:pPr>
        <w:ind w:left="720" w:firstLine="720"/>
      </w:pPr>
      <w:r>
        <w:t xml:space="preserve">To arrive at a specific percentage, divide the individual country’s total TIV by 54280.  </w:t>
      </w:r>
    </w:p>
    <w:p w:rsidR="00CC7D5A" w:rsidRDefault="00CC7D5A" w:rsidP="00CC7D5A">
      <w:pPr>
        <w:ind w:left="2160"/>
      </w:pPr>
      <w:r>
        <w:t xml:space="preserve">For example, arms sales </w:t>
      </w:r>
    </w:p>
    <w:p w:rsidR="00CC7D5A" w:rsidRDefault="00CC7D5A" w:rsidP="00CC7D5A">
      <w:pPr>
        <w:ind w:left="2160" w:firstLine="720"/>
      </w:pPr>
      <w:proofErr w:type="gramStart"/>
      <w:r>
        <w:t>from</w:t>
      </w:r>
      <w:proofErr w:type="gramEnd"/>
      <w:r>
        <w:t xml:space="preserve"> the US to Saudi Arabia: 11470/52480 = .2185 = 21.8% of US arms sales over 5 years</w:t>
      </w:r>
    </w:p>
    <w:p w:rsidR="00CC7D5A" w:rsidRDefault="00CC7D5A" w:rsidP="00CC7D5A">
      <w:pPr>
        <w:ind w:left="2160" w:firstLine="720"/>
      </w:pPr>
      <w:proofErr w:type="gramStart"/>
      <w:r>
        <w:t>from</w:t>
      </w:r>
      <w:proofErr w:type="gramEnd"/>
      <w:r>
        <w:t xml:space="preserve"> the US to the Ukraine: 21/52480 = .00038 = .038% of US arms sales over 5 years.  </w:t>
      </w:r>
    </w:p>
    <w:p w:rsidR="00CC7D5A" w:rsidRPr="00195C7A" w:rsidRDefault="00CC7D5A" w:rsidP="00CC7D5A">
      <w:pPr>
        <w:ind w:left="720"/>
      </w:pPr>
    </w:p>
    <w:p w:rsidR="00CC7D5A" w:rsidRPr="00195C7A" w:rsidRDefault="00CC7D5A" w:rsidP="00CC7D5A">
      <w:r w:rsidRPr="00195C7A">
        <w:rPr>
          <w:b/>
        </w:rPr>
        <w:t xml:space="preserve">SIPRI Arms Transfer Database, 19 </w:t>
      </w:r>
      <w:r w:rsidRPr="00195C7A">
        <w:t xml:space="preserve">– Stockholm International Peace Research Institute (Chart generated through their arms transfer database.  You can generate the same chart </w:t>
      </w:r>
      <w:r>
        <w:t>by going to the URL and selecting</w:t>
      </w:r>
      <w:r w:rsidRPr="00195C7A">
        <w:t xml:space="preserve"> the following values:  Exports from United States, Range of years: 201</w:t>
      </w:r>
      <w:r>
        <w:t>4</w:t>
      </w:r>
      <w:r w:rsidRPr="00195C7A">
        <w:t>-201</w:t>
      </w:r>
      <w:r>
        <w:t>8</w:t>
      </w:r>
      <w:r w:rsidRPr="00195C7A">
        <w:t>, Summarize data by recipient/supplier</w:t>
      </w:r>
      <w:r>
        <w:t>, Output format: On screen</w:t>
      </w:r>
      <w:r w:rsidRPr="00195C7A">
        <w:t>.  Questions</w:t>
      </w:r>
      <w:r>
        <w:t>?  Email</w:t>
      </w:r>
      <w:r w:rsidRPr="00195C7A">
        <w:t xml:space="preserve"> davidheidt@gmail.com</w:t>
      </w:r>
    </w:p>
    <w:p w:rsidR="00CC7D5A" w:rsidRPr="00195C7A" w:rsidRDefault="00CC7D5A" w:rsidP="00CC7D5A">
      <w:hyperlink r:id="rId31" w:history="1">
        <w:r w:rsidRPr="00195C7A">
          <w:rPr>
            <w:rStyle w:val="Hyperlink"/>
          </w:rPr>
          <w:t>http://armstrade.sipri.org/armstrade/page/values.php</w:t>
        </w:r>
      </w:hyperlink>
    </w:p>
    <w:p w:rsidR="00CC7D5A" w:rsidRPr="00C97B46" w:rsidRDefault="00CC7D5A" w:rsidP="00CC7D5A"/>
    <w:p w:rsidR="00CC7D5A" w:rsidRDefault="00CC7D5A" w:rsidP="00CC7D5A">
      <w:r>
        <w:t>TIV of arms exports from United States, 2014-2018</w:t>
      </w:r>
    </w:p>
    <w:p w:rsidR="00CC7D5A" w:rsidRDefault="00CC7D5A" w:rsidP="00CC7D5A">
      <w:r>
        <w:t>Figures are SIPRI Trend Indicator Values (TIVs) expressed in millions.</w:t>
      </w:r>
    </w:p>
    <w:p w:rsidR="00CC7D5A" w:rsidRDefault="00CC7D5A" w:rsidP="00CC7D5A">
      <w:r>
        <w:t>Figures may not add up due to the conventions of rounding.</w:t>
      </w:r>
    </w:p>
    <w:p w:rsidR="00CC7D5A" w:rsidRDefault="00CC7D5A" w:rsidP="00CC7D5A">
      <w:r>
        <w:t>A '0' indicates that the value of deliveries is less than 0.5m</w:t>
      </w:r>
    </w:p>
    <w:p w:rsidR="00CC7D5A" w:rsidRDefault="00CC7D5A" w:rsidP="00CC7D5A">
      <w:r>
        <w:t xml:space="preserve">For more information, see </w:t>
      </w:r>
      <w:hyperlink r:id="rId32" w:history="1">
        <w:r>
          <w:rPr>
            <w:rStyle w:val="Hyperlink"/>
          </w:rPr>
          <w:t>http://www.sipri.org/databases/armstransfers/sources-and-methods/</w:t>
        </w:r>
      </w:hyperlink>
    </w:p>
    <w:p w:rsidR="00CC7D5A" w:rsidRDefault="00CC7D5A" w:rsidP="00CC7D5A">
      <w:r>
        <w:t>Source: SIPRI Arms Transfers Database</w:t>
      </w:r>
    </w:p>
    <w:p w:rsidR="00CC7D5A" w:rsidRDefault="00CC7D5A" w:rsidP="00CC7D5A">
      <w:r>
        <w:t>Generated: 23 May 2019</w:t>
      </w:r>
    </w:p>
    <w:tbl>
      <w:tblPr>
        <w:tblW w:w="0" w:type="auto"/>
        <w:tblInd w:w="-4" w:type="dxa"/>
        <w:tblLayout w:type="fixed"/>
        <w:tblCellMar>
          <w:left w:w="0" w:type="dxa"/>
          <w:right w:w="0" w:type="dxa"/>
        </w:tblCellMar>
        <w:tblLook w:val="0000" w:firstRow="0" w:lastRow="0" w:firstColumn="0" w:lastColumn="0" w:noHBand="0" w:noVBand="0"/>
      </w:tblPr>
      <w:tblGrid>
        <w:gridCol w:w="2492"/>
        <w:gridCol w:w="698"/>
        <w:gridCol w:w="707"/>
        <w:gridCol w:w="707"/>
        <w:gridCol w:w="838"/>
        <w:gridCol w:w="847"/>
        <w:gridCol w:w="731"/>
      </w:tblGrid>
      <w:tr w:rsidR="00CC7D5A" w:rsidTr="00CC7D5A">
        <w:trPr>
          <w:trHeight w:val="397"/>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2018</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Total</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Afghanistan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282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206</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724</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African Union**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2</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Albania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5</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Algeria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27</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Angola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1</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Argentina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68</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Australia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318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888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1089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918</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4049</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Austria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0</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0</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Azerbaijan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1</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Bahrain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15</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48</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Bangladesh</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54</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Belgium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22</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Bolivia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6</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Botswana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2</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Brazil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60</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157</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Brunei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73</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Bulgaria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3</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Burundi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3</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Cameroon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3</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Canada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316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128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186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121</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954</w:t>
            </w:r>
          </w:p>
        </w:tc>
      </w:tr>
      <w:tr w:rsidR="00CC7D5A" w:rsidTr="00CC7D5A">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Chad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8</w:t>
            </w:r>
          </w:p>
        </w:tc>
      </w:tr>
      <w:tr w:rsidR="00CC7D5A"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Chile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44</w:t>
            </w:r>
          </w:p>
        </w:tc>
        <w:tc>
          <w:tcPr>
            <w:tcW w:w="731" w:type="dxa"/>
            <w:tcBorders>
              <w:top w:val="single" w:sz="4" w:space="0" w:color="auto"/>
              <w:left w:val="single" w:sz="4" w:space="0" w:color="auto"/>
              <w:bottom w:val="single" w:sz="4" w:space="0" w:color="auto"/>
              <w:right w:val="nil"/>
            </w:tcBorders>
            <w:shd w:val="clear" w:color="auto" w:fill="FFFFFF"/>
          </w:tcPr>
          <w:p w:rsidR="00CC7D5A" w:rsidRDefault="00CC7D5A" w:rsidP="00CC7D5A">
            <w:r>
              <w:t>204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Colombia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134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Costa Rica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Croatia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46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roofErr w:type="spellStart"/>
            <w:r w:rsidRPr="00FA374F">
              <w:t>Czechia</w:t>
            </w:r>
            <w:proofErr w:type="spellEnd"/>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Denmark</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256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Djibouti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Dominican Republic</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Egypt</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593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226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218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197</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1415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Equatorial Guinea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Estonia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Ethiopia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Finland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317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France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168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Georgia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Germany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61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Ghana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Greece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59</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288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Guatemala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Honduras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India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1116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268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261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25</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1711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Indonesia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150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662</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Iraq</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285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888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513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2518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Israel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228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505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480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1844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Italy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363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241</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1302</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Jamaica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Japan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272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304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307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432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675</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1990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Jordan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50</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379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Kazakhstan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Kenya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Kuwait</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55</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1213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Latvia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Lebanon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85</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203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Libya GNC</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 xml:space="preserve">Libya </w:t>
            </w:r>
            <w:proofErr w:type="spellStart"/>
            <w:r w:rsidRPr="00FA374F">
              <w:t>HoR</w:t>
            </w:r>
            <w:proofErr w:type="spellEnd"/>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Lithuania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Malaysia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Malta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Mauritania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Mauritius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Mexico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230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639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Montenegro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15</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Morocco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277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435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333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1100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NATO**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Netherlands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96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New Zealand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141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Niger</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Nigeria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85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Norway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330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346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924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Oman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468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697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Pakistan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356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Panama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Peru</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Philippines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171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Poland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99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Portugal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12</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Qatar</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385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595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520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423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1923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Romania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53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Saudi Arabia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1411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1714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1746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3246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3353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11470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Senegal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Singapore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590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861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Slovakia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35</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Slovenia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South Korea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599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529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612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2274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Spain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14</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69</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Sri Lanka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54</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54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Sweden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Switzerland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94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Syria rebels*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Taiwan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1071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630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97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493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129</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2420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Thailand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49</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183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Tunisia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46</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178</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Turkey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185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293</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2034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UAE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542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812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660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685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799</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t>3497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Uganda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Ukraine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21</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United Kingdom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373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217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705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194</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1680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United Nations**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Unknown recipient(s)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0</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Uzbekistan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35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37</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Venezuela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6</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Viet Nam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54</w:t>
            </w: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Yemen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r w:rsidRPr="00FA374F">
              <w:t>11</w:t>
            </w:r>
          </w:p>
        </w:tc>
      </w:tr>
      <w:tr w:rsidR="00CC7D5A" w:rsidRPr="00FA374F" w:rsidTr="00CC7D5A">
        <w:trPr>
          <w:trHeight w:val="122"/>
        </w:trPr>
        <w:tc>
          <w:tcPr>
            <w:tcW w:w="7020" w:type="dxa"/>
            <w:gridSpan w:val="7"/>
            <w:tcBorders>
              <w:top w:val="single" w:sz="4" w:space="0" w:color="auto"/>
              <w:left w:val="single" w:sz="4" w:space="0" w:color="auto"/>
              <w:bottom w:val="single" w:sz="4" w:space="0" w:color="auto"/>
              <w:right w:val="nil"/>
            </w:tcBorders>
            <w:shd w:val="clear" w:color="auto" w:fill="FFFFFF"/>
          </w:tcPr>
          <w:p w:rsidR="00CC7D5A" w:rsidRPr="00FA374F" w:rsidRDefault="00CC7D5A" w:rsidP="00CC7D5A">
            <w:pPr>
              <w:rPr>
                <w:rFonts w:ascii="Courier New" w:eastAsia="Times New Roman" w:hAnsi="Courier New" w:cs="Courier New"/>
                <w:sz w:val="10"/>
                <w:szCs w:val="10"/>
              </w:rPr>
            </w:pPr>
          </w:p>
        </w:tc>
      </w:tr>
      <w:tr w:rsidR="00CC7D5A" w:rsidRPr="00FA374F" w:rsidTr="00CC7D5A">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Total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9601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9931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9955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12485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10508</w:t>
            </w:r>
          </w:p>
        </w:tc>
        <w:tc>
          <w:tcPr>
            <w:tcW w:w="731" w:type="dxa"/>
            <w:tcBorders>
              <w:top w:val="single" w:sz="4" w:space="0" w:color="auto"/>
              <w:left w:val="single" w:sz="4" w:space="0" w:color="auto"/>
              <w:bottom w:val="single" w:sz="4" w:space="0" w:color="auto"/>
              <w:right w:val="nil"/>
            </w:tcBorders>
            <w:shd w:val="clear" w:color="auto" w:fill="FFFFFF"/>
          </w:tcPr>
          <w:p w:rsidR="00CC7D5A" w:rsidRPr="00FA374F" w:rsidRDefault="00CC7D5A" w:rsidP="00CC7D5A">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52480</w:t>
            </w:r>
          </w:p>
        </w:tc>
      </w:tr>
    </w:tbl>
    <w:p w:rsidR="00CC7D5A" w:rsidRPr="00195C7A" w:rsidRDefault="00CC7D5A" w:rsidP="00CC7D5A">
      <w:pPr>
        <w:rPr>
          <w:rFonts w:asciiTheme="minorHAnsi" w:hAnsiTheme="minorHAnsi" w:cstheme="minorHAnsi"/>
        </w:rPr>
      </w:pPr>
    </w:p>
    <w:p w:rsidR="00CC7D5A" w:rsidRPr="00195C7A" w:rsidRDefault="00CC7D5A" w:rsidP="00CC7D5A"/>
    <w:p w:rsidR="00292E32" w:rsidRDefault="00292E32" w:rsidP="00292E32">
      <w:pPr>
        <w:pStyle w:val="Heading3"/>
      </w:pPr>
      <w:r>
        <w:t xml:space="preserve">Limits – Countries </w:t>
      </w:r>
    </w:p>
    <w:p w:rsidR="00292E32" w:rsidRDefault="00292E32" w:rsidP="00292E32">
      <w:pPr>
        <w:pStyle w:val="Heading4"/>
      </w:pPr>
      <w:proofErr w:type="spellStart"/>
      <w:r>
        <w:t>Hundereds</w:t>
      </w:r>
      <w:proofErr w:type="spellEnd"/>
      <w:r>
        <w:t xml:space="preserve"> of possible </w:t>
      </w:r>
      <w:proofErr w:type="spellStart"/>
      <w:r>
        <w:t>affs</w:t>
      </w:r>
      <w:proofErr w:type="spellEnd"/>
      <w:r>
        <w:t xml:space="preserve"> </w:t>
      </w:r>
    </w:p>
    <w:p w:rsidR="00292E32" w:rsidRPr="00292E32" w:rsidRDefault="00292E32" w:rsidP="00292E32">
      <w:r w:rsidRPr="00292E32">
        <w:rPr>
          <w:rStyle w:val="Style13ptBold"/>
        </w:rPr>
        <w:t>Martin et al 2010</w:t>
      </w:r>
      <w:r>
        <w:t xml:space="preserve"> (</w:t>
      </w:r>
      <w:proofErr w:type="spellStart"/>
      <w:r>
        <w:t>Belva</w:t>
      </w:r>
      <w:proofErr w:type="spellEnd"/>
      <w:r>
        <w:t xml:space="preserve"> Martin, GAO Contact, John Neumann, Assistant Director; Marie Ahearn; Richard Brown; Sharron </w:t>
      </w:r>
      <w:proofErr w:type="spellStart"/>
      <w:r>
        <w:t>Candon</w:t>
      </w:r>
      <w:proofErr w:type="spellEnd"/>
      <w:r>
        <w:t xml:space="preserve">; Julia Kennon; Roxanna Sun; Robert </w:t>
      </w:r>
      <w:proofErr w:type="spellStart"/>
      <w:r>
        <w:t>Swierczek</w:t>
      </w:r>
      <w:proofErr w:type="spellEnd"/>
      <w:r>
        <w:t xml:space="preserve">; and Bradley Terry made key contributions to this report, "DEFENSE EXPORTS Reporting on Exported Articles and Services Needs to Be Improved", Government Accountability Office, September 2010, </w:t>
      </w:r>
      <w:hyperlink r:id="rId33" w:history="1">
        <w:r w:rsidRPr="00E92B84">
          <w:rPr>
            <w:rStyle w:val="Hyperlink"/>
          </w:rPr>
          <w:t>https://www.gao.gov/new.items/d10952.pdf</w:t>
        </w:r>
      </w:hyperlink>
      <w:r>
        <w:t>, mmv)</w:t>
      </w:r>
    </w:p>
    <w:p w:rsidR="00292E32" w:rsidRDefault="00292E32" w:rsidP="00292E32">
      <w:r w:rsidRPr="00D92FFA">
        <w:rPr>
          <w:rStyle w:val="StyleUnderline"/>
        </w:rPr>
        <w:t>Although defense articles and services are exported to hundreds of countries, we found that exports of defense articles were highly concentrated in a few countries. Over the past 5 years, the top three recipient countries—Japan, the United Kingdom, and Israel—accounted for almost one-third of the value of defense article exports. The top seven recipient countries, which include South Korea, Australia, Egypt, and the United Arab Emirates, accounted for about half of the value of all U.S. defense article exports</w:t>
      </w:r>
      <w:r>
        <w:t xml:space="preserve">.15 </w:t>
      </w:r>
      <w:proofErr w:type="gramStart"/>
      <w:r>
        <w:t>We</w:t>
      </w:r>
      <w:proofErr w:type="gramEnd"/>
      <w:r>
        <w:t xml:space="preserve"> also identified differences by the method of export through either FMS or DCS. In general, the value of FMS exports was higher for developing countries, while the value of DCS exports was higher for developed16 countries. State officials noted that developing countries may benefit from the FMS logistics, infrastructure, and other support that come with the FMS program. As shown in figure 3, of the $13 billion in defense articles that Japan imported, 85 percent ($11.15 billion) was exported through DCS. Similarly, of the $8.3 billion that the United Kingdom imported, 82 percent (about $6.8 billion) was exported through DCS. On the other hand, Israel and Egypt import a higher value of their U.S. defense articles through the FMS program. Israel and Egypt receive annual U.S. security assistance funding17 that according to DOD and State officials, generally is used to purchase U.S. defense articles and services through the FMS program. </w:t>
      </w:r>
      <w:r w:rsidRPr="00D92FFA">
        <w:t>FMS exports of defense services were also concentrated in a relatively few countries, with Saudi Arabia, Japan, and Egypt accounting for over one-third of the value over the last 5 years</w:t>
      </w:r>
      <w:r>
        <w:t>.</w:t>
      </w:r>
    </w:p>
    <w:p w:rsidR="00292E32" w:rsidRDefault="00292E32" w:rsidP="00292E32"/>
    <w:p w:rsidR="00CC7D5A" w:rsidRDefault="00CC7D5A" w:rsidP="00CC7D5A">
      <w:pPr>
        <w:pStyle w:val="Heading3"/>
      </w:pPr>
      <w:r>
        <w:t xml:space="preserve">Violation – Weapons </w:t>
      </w:r>
    </w:p>
    <w:p w:rsidR="00CC7D5A" w:rsidRDefault="00CC7D5A" w:rsidP="00CC7D5A">
      <w:pPr>
        <w:pStyle w:val="Heading4"/>
      </w:pPr>
      <w:r>
        <w:t xml:space="preserve">The only weapons categories that constitute more than 2.7% of arms sales are engines, air defense, </w:t>
      </w:r>
      <w:proofErr w:type="spellStart"/>
      <w:r>
        <w:t>armoured</w:t>
      </w:r>
      <w:proofErr w:type="spellEnd"/>
      <w:r>
        <w:t xml:space="preserve"> vehicles, missiles, and aircraft.  We’ll submit a chart created using t</w:t>
      </w:r>
      <w:r w:rsidRPr="00195C7A">
        <w:t xml:space="preserve">he </w:t>
      </w:r>
      <w:r w:rsidRPr="0089575F">
        <w:rPr>
          <w:u w:val="single"/>
        </w:rPr>
        <w:t>SIPRI Arms Transfer Database</w:t>
      </w:r>
      <w:r>
        <w:t xml:space="preserve"> based on the most recent data available.</w:t>
      </w:r>
      <w:r w:rsidRPr="00195C7A">
        <w:t xml:space="preserve"> </w:t>
      </w:r>
      <w:r>
        <w:t xml:space="preserve"> The data supporting the chart is at the end of the violation.</w:t>
      </w:r>
    </w:p>
    <w:p w:rsidR="00CC7D5A" w:rsidRDefault="00CC7D5A" w:rsidP="00CC7D5A">
      <w:r>
        <w:t xml:space="preserve">This chart was generated from Microsoft Excel based upon information within the SIPRI Arms Transfer Database.  Carrollton student Gabriela </w:t>
      </w:r>
      <w:proofErr w:type="spellStart"/>
      <w:r>
        <w:t>Garity</w:t>
      </w:r>
      <w:proofErr w:type="spellEnd"/>
      <w:r>
        <w:t xml:space="preserve"> contacted Aude </w:t>
      </w:r>
      <w:proofErr w:type="spellStart"/>
      <w:r>
        <w:t>Fleuant</w:t>
      </w:r>
      <w:proofErr w:type="spellEnd"/>
      <w:r>
        <w:t xml:space="preserve">, the Director of SIPRI’s Arms Transfers and Military Expenditures </w:t>
      </w:r>
      <w:proofErr w:type="spellStart"/>
      <w:r>
        <w:t>Programme</w:t>
      </w:r>
      <w:proofErr w:type="spellEnd"/>
      <w:r>
        <w:t>, to confirm this is how SIPRI generates their charts, using the same data.</w:t>
      </w:r>
      <w:r w:rsidRPr="00195C7A">
        <w:t xml:space="preserve">  You can generate </w:t>
      </w:r>
      <w:r>
        <w:t>this chart yourself, but it takes some knowledge of Microsoft Excel.  First,</w:t>
      </w:r>
      <w:r w:rsidRPr="00195C7A">
        <w:t xml:space="preserve"> </w:t>
      </w:r>
      <w:r>
        <w:t>go to the URL below and select</w:t>
      </w:r>
      <w:r w:rsidRPr="00195C7A">
        <w:t xml:space="preserve"> the following values:  </w:t>
      </w:r>
    </w:p>
    <w:p w:rsidR="00CC7D5A" w:rsidRDefault="00CC7D5A" w:rsidP="00CC7D5A">
      <w:r w:rsidRPr="00195C7A">
        <w:t>Exports from United States, Range of years: 201</w:t>
      </w:r>
      <w:r>
        <w:t>4</w:t>
      </w:r>
      <w:r w:rsidRPr="00195C7A">
        <w:t>-201</w:t>
      </w:r>
      <w:r>
        <w:t>8</w:t>
      </w:r>
      <w:r w:rsidRPr="00195C7A">
        <w:t xml:space="preserve">, </w:t>
      </w:r>
      <w:proofErr w:type="gramStart"/>
      <w:r w:rsidRPr="00195C7A">
        <w:t>Summarize</w:t>
      </w:r>
      <w:proofErr w:type="gramEnd"/>
      <w:r w:rsidRPr="00195C7A">
        <w:t xml:space="preserve"> data by </w:t>
      </w:r>
      <w:r>
        <w:t>weapon category, Output format: Excel file</w:t>
      </w:r>
      <w:r w:rsidRPr="00195C7A">
        <w:t xml:space="preserve">.  </w:t>
      </w:r>
    </w:p>
    <w:p w:rsidR="00CC7D5A" w:rsidRDefault="00CC7D5A" w:rsidP="00CC7D5A">
      <w:r>
        <w:t>Then, in Excel, only the Total column matters, so delete Columns B-F.  Sort from smallest to largest.  Then select all of Column A and B, and hit Excel’s Pie Chart button.  The percentages it shows will be incorrect because Excel rounds them by default.  You can fix this going to Formatting Data Labels, then select number, then percentage, then select two percentage places to generate these percentages.  You will also have to play around with formatting options to get this exact chart.</w:t>
      </w:r>
    </w:p>
    <w:p w:rsidR="00CC7D5A" w:rsidRPr="00195C7A" w:rsidRDefault="00CC7D5A" w:rsidP="00CC7D5A">
      <w:r w:rsidRPr="00195C7A">
        <w:t>Questions</w:t>
      </w:r>
      <w:r>
        <w:t>?  Email</w:t>
      </w:r>
      <w:r w:rsidRPr="00195C7A">
        <w:t xml:space="preserve"> davidheidt@gmail.com</w:t>
      </w:r>
    </w:p>
    <w:p w:rsidR="00CC7D5A" w:rsidRPr="00195C7A" w:rsidRDefault="00CC7D5A" w:rsidP="00CC7D5A">
      <w:hyperlink r:id="rId34" w:history="1">
        <w:r w:rsidRPr="00195C7A">
          <w:rPr>
            <w:rStyle w:val="Hyperlink"/>
          </w:rPr>
          <w:t>http://armstrade.sipri.org/armstrade/page/values.php</w:t>
        </w:r>
      </w:hyperlink>
    </w:p>
    <w:p w:rsidR="00CC7D5A" w:rsidRDefault="00CC7D5A" w:rsidP="00CC7D5A">
      <w:pPr>
        <w:rPr>
          <w:rFonts w:asciiTheme="minorHAnsi" w:hAnsiTheme="minorHAnsi" w:cstheme="minorHAnsi"/>
        </w:rPr>
      </w:pPr>
    </w:p>
    <w:p w:rsidR="00CC7D5A" w:rsidRPr="0023711A" w:rsidRDefault="00CC7D5A" w:rsidP="00CC7D5A">
      <w:pPr>
        <w:rPr>
          <w:rFonts w:asciiTheme="minorHAnsi" w:hAnsiTheme="minorHAnsi" w:cstheme="minorHAnsi"/>
        </w:rPr>
      </w:pPr>
      <w:r>
        <w:rPr>
          <w:noProof/>
        </w:rPr>
        <w:drawing>
          <wp:inline distT="0" distB="0" distL="0" distR="0" wp14:anchorId="3BDA5982" wp14:editId="42A899F5">
            <wp:extent cx="5976937" cy="4943475"/>
            <wp:effectExtent l="0" t="0" r="5080" b="9525"/>
            <wp:docPr id="8" name="Chart 8">
              <a:extLst xmlns:a="http://schemas.openxmlformats.org/drawingml/2006/main">
                <a:ext uri="{FF2B5EF4-FFF2-40B4-BE49-F238E27FC236}">
                  <a16:creationId xmlns:arto="http://schemas.microsoft.com/office/word/2006/arto" xmlns:a16="http://schemas.microsoft.com/office/drawing/2014/main" xmlns:w16se="http://schemas.microsoft.com/office/word/2015/wordml/symex" xmlns:w16cid="http://schemas.microsoft.com/office/word/2016/wordml/cid"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9FADB985-EEB8-460B-8420-D81123AB3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00CC7D5A" w:rsidRDefault="00CC7D5A" w:rsidP="00CC7D5A"/>
    <w:p w:rsidR="00CC7D5A" w:rsidRPr="00DE26B1" w:rsidRDefault="00CC7D5A" w:rsidP="00CC7D5A">
      <w:pPr>
        <w:pStyle w:val="Heading4"/>
      </w:pPr>
      <w:r w:rsidRPr="00195C7A">
        <w:t xml:space="preserve">Voting issue for limits and ground- the US sells </w:t>
      </w:r>
      <w:r w:rsidRPr="00DE26B1">
        <w:rPr>
          <w:u w:val="single"/>
        </w:rPr>
        <w:t>hundreds</w:t>
      </w:r>
      <w:r>
        <w:t xml:space="preserve"> of different types of weapons and services </w:t>
      </w:r>
      <w:r w:rsidRPr="00195C7A">
        <w:t xml:space="preserve">– our interpretation forces the </w:t>
      </w:r>
      <w:proofErr w:type="spellStart"/>
      <w:r w:rsidRPr="00195C7A">
        <w:t>aff</w:t>
      </w:r>
      <w:proofErr w:type="spellEnd"/>
      <w:r w:rsidRPr="00195C7A">
        <w:t xml:space="preserve"> to focus on the </w:t>
      </w:r>
      <w:r w:rsidRPr="00195C7A">
        <w:rPr>
          <w:u w:val="single"/>
        </w:rPr>
        <w:t>largest</w:t>
      </w:r>
      <w:r w:rsidRPr="00195C7A">
        <w:t xml:space="preserve"> </w:t>
      </w:r>
      <w:r>
        <w:t xml:space="preserve">and most </w:t>
      </w:r>
      <w:r>
        <w:rPr>
          <w:u w:val="single"/>
        </w:rPr>
        <w:t>controversial</w:t>
      </w:r>
      <w:r>
        <w:t xml:space="preserve"> weapons systems that have the broadest literature bases.  Their interpretation encourages the </w:t>
      </w:r>
      <w:proofErr w:type="spellStart"/>
      <w:r>
        <w:t>aff</w:t>
      </w:r>
      <w:proofErr w:type="spellEnd"/>
      <w:r>
        <w:t xml:space="preserve"> to read subsets of subsets in a </w:t>
      </w:r>
      <w:r>
        <w:rPr>
          <w:u w:val="single"/>
        </w:rPr>
        <w:t>race to obscurity</w:t>
      </w:r>
      <w:r>
        <w:t xml:space="preserve"> that might focus on </w:t>
      </w:r>
      <w:r w:rsidRPr="00E35494">
        <w:rPr>
          <w:u w:val="single"/>
        </w:rPr>
        <w:t>individual defense contractors</w:t>
      </w:r>
      <w:r>
        <w:t xml:space="preserve"> or </w:t>
      </w:r>
      <w:r w:rsidRPr="00E35494">
        <w:rPr>
          <w:u w:val="single"/>
        </w:rPr>
        <w:t>brands</w:t>
      </w:r>
      <w:r>
        <w:t xml:space="preserve"> – that makes it impossible to be negative</w:t>
      </w:r>
    </w:p>
    <w:p w:rsidR="00CC7D5A" w:rsidRPr="00195C7A" w:rsidRDefault="00CC7D5A" w:rsidP="00CC7D5A"/>
    <w:p w:rsidR="00CC7D5A" w:rsidRPr="00195C7A" w:rsidRDefault="00CC7D5A" w:rsidP="00CC7D5A">
      <w:pPr>
        <w:pStyle w:val="Heading4"/>
      </w:pPr>
      <w:r>
        <w:t>***Here is the data supporting the figures represented in the pie chart</w:t>
      </w:r>
    </w:p>
    <w:p w:rsidR="00CC7D5A" w:rsidRDefault="00CC7D5A" w:rsidP="00CC7D5A">
      <w:pPr>
        <w:ind w:left="720"/>
      </w:pPr>
      <w:r w:rsidRPr="00195C7A">
        <w:t xml:space="preserve">***note: this is a range </w:t>
      </w:r>
      <w:proofErr w:type="gramStart"/>
      <w:r w:rsidRPr="00195C7A">
        <w:t>between 201</w:t>
      </w:r>
      <w:r>
        <w:t>4</w:t>
      </w:r>
      <w:r w:rsidRPr="00195C7A">
        <w:t>-201</w:t>
      </w:r>
      <w:r>
        <w:t>8</w:t>
      </w:r>
      <w:proofErr w:type="gramEnd"/>
      <w:r w:rsidRPr="00195C7A">
        <w:t xml:space="preserve"> because that’s the </w:t>
      </w:r>
      <w:r>
        <w:t xml:space="preserve">most recent data available.  </w:t>
      </w:r>
    </w:p>
    <w:p w:rsidR="00CC7D5A" w:rsidRDefault="00CC7D5A" w:rsidP="00CC7D5A">
      <w:pPr>
        <w:ind w:left="720"/>
      </w:pPr>
      <w:r>
        <w:tab/>
        <w:t>If you can’t generate the pie chart because you don’t know Excel, you can still confirm its values using this data.</w:t>
      </w:r>
    </w:p>
    <w:p w:rsidR="00CC7D5A" w:rsidRDefault="00CC7D5A" w:rsidP="00CC7D5A"/>
    <w:p w:rsidR="00CC7D5A" w:rsidRDefault="00CC7D5A" w:rsidP="00CC7D5A">
      <w:pPr>
        <w:ind w:left="720" w:firstLine="720"/>
      </w:pPr>
      <w:r>
        <w:t xml:space="preserve">Only the “total” column matters, and the total amount of US arms sales is 54280.  </w:t>
      </w:r>
    </w:p>
    <w:p w:rsidR="00CC7D5A" w:rsidRDefault="00CC7D5A" w:rsidP="00CC7D5A">
      <w:pPr>
        <w:ind w:left="2160"/>
      </w:pPr>
    </w:p>
    <w:p w:rsidR="00CC7D5A" w:rsidRDefault="00CC7D5A" w:rsidP="00CC7D5A">
      <w:pPr>
        <w:ind w:left="720" w:firstLine="720"/>
      </w:pPr>
      <w:r>
        <w:t>2.7% of that is 1465 (54280 x .027).  Any weapons system with a five year TIV greater than 1465 is more than 2.7%</w:t>
      </w:r>
    </w:p>
    <w:p w:rsidR="00CC7D5A" w:rsidRDefault="00CC7D5A" w:rsidP="00CC7D5A"/>
    <w:p w:rsidR="00CC7D5A" w:rsidRDefault="00CC7D5A" w:rsidP="00CC7D5A">
      <w:pPr>
        <w:ind w:left="720" w:firstLine="720"/>
      </w:pPr>
      <w:r>
        <w:t xml:space="preserve">To arrive at a specific percentage, divide each weapon system’s total TIV by 54280.  </w:t>
      </w:r>
    </w:p>
    <w:p w:rsidR="00CC7D5A" w:rsidRDefault="00CC7D5A" w:rsidP="00CC7D5A">
      <w:pPr>
        <w:ind w:left="2160"/>
      </w:pPr>
      <w:r>
        <w:t xml:space="preserve">For example, arms sales </w:t>
      </w:r>
    </w:p>
    <w:p w:rsidR="00CC7D5A" w:rsidRDefault="00CC7D5A" w:rsidP="00CC7D5A">
      <w:pPr>
        <w:ind w:left="2160" w:firstLine="720"/>
      </w:pPr>
      <w:r>
        <w:t>Of air defense: 3523/52480 = .0671 = 6.71% of US arms sales over 5 years</w:t>
      </w:r>
    </w:p>
    <w:p w:rsidR="00CC7D5A" w:rsidRDefault="00CC7D5A" w:rsidP="00CC7D5A">
      <w:pPr>
        <w:ind w:left="2160" w:firstLine="720"/>
      </w:pPr>
      <w:r>
        <w:t xml:space="preserve">Of ships: 916/52480 = .0174 = 1.74% of US arms sales over 5 years.  </w:t>
      </w:r>
    </w:p>
    <w:p w:rsidR="00CC7D5A" w:rsidRPr="00DE26B1" w:rsidRDefault="00CC7D5A" w:rsidP="00CC7D5A"/>
    <w:p w:rsidR="00CC7D5A" w:rsidRDefault="00CC7D5A" w:rsidP="00CC7D5A">
      <w:pPr>
        <w:rPr>
          <w:rFonts w:asciiTheme="minorHAnsi" w:hAnsiTheme="minorHAnsi" w:cstheme="minorHAnsi"/>
        </w:rPr>
      </w:pPr>
      <w:r>
        <w:rPr>
          <w:rFonts w:asciiTheme="minorHAnsi" w:hAnsiTheme="minorHAnsi" w:cstheme="minorHAnsi"/>
          <w:b/>
        </w:rPr>
        <w:t xml:space="preserve">SIPRI Arms Transfer Database, 19 </w:t>
      </w:r>
      <w:r>
        <w:rPr>
          <w:rFonts w:asciiTheme="minorHAnsi" w:hAnsiTheme="minorHAnsi" w:cstheme="minorHAnsi"/>
        </w:rPr>
        <w:t>(Go to the URL and input the following values: Exports from United States; Range of years 2014-2018; Summarize by weapon category; output onscreen. http://armstrade.sipri.org/armstrade/page/values.php</w:t>
      </w:r>
    </w:p>
    <w:p w:rsidR="00CC7D5A" w:rsidRDefault="00CC7D5A" w:rsidP="00CC7D5A">
      <w:pPr>
        <w:rPr>
          <w:rFonts w:asciiTheme="minorHAnsi" w:hAnsiTheme="minorHAnsi" w:cstheme="minorHAnsi"/>
        </w:rPr>
      </w:pPr>
    </w:p>
    <w:p w:rsidR="00CC7D5A" w:rsidRDefault="00CC7D5A" w:rsidP="00CC7D5A">
      <w:r>
        <w:t>TIV of arms exports from United States, 2014-2018</w:t>
      </w:r>
    </w:p>
    <w:p w:rsidR="00CC7D5A" w:rsidRDefault="00CC7D5A" w:rsidP="00CC7D5A">
      <w:r>
        <w:t>Figures are SIPRI Trend Indicator Values (TIVs) expressed in millions.</w:t>
      </w:r>
    </w:p>
    <w:p w:rsidR="00CC7D5A" w:rsidRDefault="00CC7D5A" w:rsidP="00CC7D5A">
      <w:r>
        <w:t>Figures may not add up due to the conventions of rounding.</w:t>
      </w:r>
    </w:p>
    <w:p w:rsidR="00CC7D5A" w:rsidRDefault="00CC7D5A" w:rsidP="00CC7D5A">
      <w:r>
        <w:t>A '0' indicates that the value of deliveries is less than 0.5m</w:t>
      </w:r>
    </w:p>
    <w:p w:rsidR="00CC7D5A" w:rsidRDefault="00CC7D5A" w:rsidP="00CC7D5A">
      <w:r>
        <w:t xml:space="preserve">For more information, see </w:t>
      </w:r>
      <w:hyperlink r:id="rId36" w:history="1">
        <w:r>
          <w:rPr>
            <w:rStyle w:val="Hyperlink"/>
          </w:rPr>
          <w:t>http://www.sipri.org/databases/armstransfers/sources-and-methods/</w:t>
        </w:r>
      </w:hyperlink>
    </w:p>
    <w:p w:rsidR="00CC7D5A" w:rsidRDefault="00CC7D5A" w:rsidP="00CC7D5A">
      <w:r>
        <w:t>Source: SIPRI Arms Transfers Database</w:t>
      </w:r>
    </w:p>
    <w:p w:rsidR="00CC7D5A" w:rsidRDefault="00CC7D5A" w:rsidP="00CC7D5A">
      <w:r>
        <w:t>Generated: 31 May 2019</w:t>
      </w:r>
    </w:p>
    <w:tbl>
      <w:tblPr>
        <w:tblW w:w="0" w:type="auto"/>
        <w:tblInd w:w="-4" w:type="dxa"/>
        <w:tblLayout w:type="fixed"/>
        <w:tblCellMar>
          <w:left w:w="0" w:type="dxa"/>
          <w:right w:w="0" w:type="dxa"/>
        </w:tblCellMar>
        <w:tblLook w:val="0000" w:firstRow="0" w:lastRow="0" w:firstColumn="0" w:lastColumn="0" w:noHBand="0" w:noVBand="0"/>
      </w:tblPr>
      <w:tblGrid>
        <w:gridCol w:w="2453"/>
        <w:gridCol w:w="738"/>
        <w:gridCol w:w="738"/>
        <w:gridCol w:w="747"/>
        <w:gridCol w:w="891"/>
        <w:gridCol w:w="891"/>
        <w:gridCol w:w="923"/>
      </w:tblGrid>
      <w:tr w:rsidR="00CC7D5A" w:rsidTr="00CC7D5A">
        <w:trPr>
          <w:trHeight w:val="410"/>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2014</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2015</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2016</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2018</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Total</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Aircraft</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5388</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5366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4724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6754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5700</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27933</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 xml:space="preserve">Air </w:t>
            </w:r>
            <w:proofErr w:type="spellStart"/>
            <w:r>
              <w:t>defence</w:t>
            </w:r>
            <w:proofErr w:type="spellEnd"/>
            <w:r>
              <w:t xml:space="preserve"> systems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595</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966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853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654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455</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3523</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roofErr w:type="spellStart"/>
            <w:r>
              <w:t>Armoured</w:t>
            </w:r>
            <w:proofErr w:type="spellEnd"/>
            <w:r>
              <w:t xml:space="preserve"> vehicles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932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980</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1573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1547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1390</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6423</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Artillery</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0</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27</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144</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Engines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317</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388</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439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332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290</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1766</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Missiles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1732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1656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2065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2449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2239</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10140</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Naval weapons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120</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11</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28</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83</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251</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Other</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52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pPr>
              <w:rPr>
                <w:sz w:val="10"/>
                <w:szCs w:val="10"/>
              </w:rPr>
            </w:pP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78</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Sensors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393</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291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167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219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235</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1305</w:t>
            </w:r>
          </w:p>
        </w:tc>
      </w:tr>
      <w:tr w:rsidR="00CC7D5A" w:rsidTr="00CC7D5A">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Ships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201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72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483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88</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916</w:t>
            </w:r>
          </w:p>
        </w:tc>
      </w:tr>
      <w:tr w:rsidR="00CC7D5A" w:rsidTr="00CC7D5A">
        <w:trPr>
          <w:trHeight w:val="126"/>
        </w:trPr>
        <w:tc>
          <w:tcPr>
            <w:tcW w:w="7381" w:type="dxa"/>
            <w:gridSpan w:val="7"/>
            <w:tcBorders>
              <w:top w:val="single" w:sz="4" w:space="0" w:color="auto"/>
              <w:left w:val="single" w:sz="4" w:space="0" w:color="auto"/>
              <w:bottom w:val="single" w:sz="4" w:space="0" w:color="auto"/>
              <w:right w:val="nil"/>
            </w:tcBorders>
            <w:shd w:val="clear" w:color="auto" w:fill="FFFFFF"/>
          </w:tcPr>
          <w:p w:rsidR="00CC7D5A" w:rsidRDefault="00CC7D5A" w:rsidP="00CC7D5A">
            <w:pPr>
              <w:rPr>
                <w:sz w:val="10"/>
                <w:szCs w:val="10"/>
              </w:rPr>
            </w:pPr>
          </w:p>
        </w:tc>
      </w:tr>
      <w:tr w:rsidR="00CC7D5A" w:rsidTr="00CC7D5A">
        <w:trPr>
          <w:trHeight w:val="414"/>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Total</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9601</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9931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9955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12485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CC7D5A" w:rsidRDefault="00CC7D5A" w:rsidP="00CC7D5A">
            <w:r>
              <w:t>10508</w:t>
            </w:r>
          </w:p>
        </w:tc>
        <w:tc>
          <w:tcPr>
            <w:tcW w:w="923" w:type="dxa"/>
            <w:tcBorders>
              <w:top w:val="single" w:sz="4" w:space="0" w:color="auto"/>
              <w:left w:val="single" w:sz="4" w:space="0" w:color="auto"/>
              <w:bottom w:val="single" w:sz="4" w:space="0" w:color="auto"/>
              <w:right w:val="nil"/>
            </w:tcBorders>
            <w:shd w:val="clear" w:color="auto" w:fill="FFFFFF"/>
          </w:tcPr>
          <w:p w:rsidR="00CC7D5A" w:rsidRDefault="00CC7D5A" w:rsidP="00CC7D5A">
            <w:r>
              <w:t>52480</w:t>
            </w:r>
          </w:p>
        </w:tc>
      </w:tr>
    </w:tbl>
    <w:p w:rsidR="00CC7D5A" w:rsidRDefault="00CC7D5A" w:rsidP="00CC7D5A">
      <w:pPr>
        <w:rPr>
          <w:rFonts w:asciiTheme="minorHAnsi" w:hAnsiTheme="minorHAnsi" w:cstheme="minorHAnsi"/>
        </w:rPr>
      </w:pPr>
    </w:p>
    <w:p w:rsidR="00CC7D5A" w:rsidRDefault="00CC7D5A" w:rsidP="00CC7D5A"/>
    <w:p w:rsidR="00292E32" w:rsidRDefault="00292E32" w:rsidP="00292E32">
      <w:pPr>
        <w:pStyle w:val="Heading3"/>
      </w:pPr>
      <w:r>
        <w:t xml:space="preserve">Limits – Weapons </w:t>
      </w:r>
    </w:p>
    <w:p w:rsidR="00292E32" w:rsidRDefault="00292E32" w:rsidP="00292E32">
      <w:pPr>
        <w:pStyle w:val="Heading4"/>
      </w:pPr>
      <w:r>
        <w:t xml:space="preserve">There are too subsets of each of the 21 possible weapons groups – our </w:t>
      </w:r>
      <w:proofErr w:type="spellStart"/>
      <w:r>
        <w:t>interp</w:t>
      </w:r>
      <w:proofErr w:type="spellEnd"/>
      <w:r>
        <w:t xml:space="preserve"> is key to limiting out the weapon of the week </w:t>
      </w:r>
      <w:proofErr w:type="spellStart"/>
      <w:r>
        <w:t>aff</w:t>
      </w:r>
      <w:proofErr w:type="spellEnd"/>
      <w:r>
        <w:t xml:space="preserve"> </w:t>
      </w:r>
    </w:p>
    <w:p w:rsidR="00292E32" w:rsidRPr="00292E32" w:rsidRDefault="00292E32" w:rsidP="00292E32">
      <w:r w:rsidRPr="00292E32">
        <w:rPr>
          <w:rStyle w:val="Style13ptBold"/>
        </w:rPr>
        <w:t>Martin et al 2010</w:t>
      </w:r>
      <w:r>
        <w:t xml:space="preserve"> (</w:t>
      </w:r>
      <w:proofErr w:type="spellStart"/>
      <w:r>
        <w:t>Belva</w:t>
      </w:r>
      <w:proofErr w:type="spellEnd"/>
      <w:r>
        <w:t xml:space="preserve"> Martin, GAO Contact, John Neumann, Assistant Director; Marie Ahearn; Richard Brown; Sharron </w:t>
      </w:r>
      <w:proofErr w:type="spellStart"/>
      <w:r>
        <w:t>Candon</w:t>
      </w:r>
      <w:proofErr w:type="spellEnd"/>
      <w:r>
        <w:t xml:space="preserve">; Julia Kennon; Roxanna Sun; Robert </w:t>
      </w:r>
      <w:proofErr w:type="spellStart"/>
      <w:r>
        <w:t>Swierczek</w:t>
      </w:r>
      <w:proofErr w:type="spellEnd"/>
      <w:r>
        <w:t xml:space="preserve">; and Bradley Terry made key contributions to this report, "DEFENSE EXPORTS Reporting on Exported Articles and Services Needs to Be Improved", Government Accountability Office, September 2010, </w:t>
      </w:r>
      <w:hyperlink r:id="rId37" w:history="1">
        <w:r w:rsidRPr="00E92B84">
          <w:rPr>
            <w:rStyle w:val="Hyperlink"/>
          </w:rPr>
          <w:t>https://www.gao.gov/new.items/d10952.pdf</w:t>
        </w:r>
      </w:hyperlink>
      <w:r>
        <w:t>, mmv)</w:t>
      </w:r>
    </w:p>
    <w:p w:rsidR="00292E32" w:rsidRDefault="00292E32" w:rsidP="00292E32">
      <w:r>
        <w:t xml:space="preserve">The Arms Export Control Act5 authorizes the President to control the export and import of defense articles and defense services. The statutory authority of the President to promulgate regulations with respect to exports of defense articles and defense services and designate those items to be considered defense articles and defense services6 for export control purposes has been delegated to the Secretary of State.7 </w:t>
      </w:r>
      <w:r w:rsidRPr="00D92FFA">
        <w:rPr>
          <w:rStyle w:val="StyleUnderline"/>
        </w:rPr>
        <w:t xml:space="preserve">State administers the arms export control system through requirements contained in the </w:t>
      </w:r>
      <w:r w:rsidRPr="00D92FFA">
        <w:t>International Traffic in Arms Regulations</w:t>
      </w:r>
      <w:r w:rsidRPr="00D92FFA">
        <w:rPr>
          <w:rStyle w:val="StyleUnderline"/>
        </w:rPr>
        <w:t xml:space="preserve"> (ITAR)</w:t>
      </w:r>
      <w:r w:rsidRPr="00D92FFA">
        <w:t xml:space="preserve">8 </w:t>
      </w:r>
      <w:r w:rsidRPr="00D92FFA">
        <w:rPr>
          <w:rStyle w:val="StyleUnderline"/>
        </w:rPr>
        <w:t>and designates the articles and services deemed to be defense articles and defense services</w:t>
      </w:r>
      <w:r>
        <w:t xml:space="preserve">. </w:t>
      </w:r>
      <w:r w:rsidRPr="00D92FFA">
        <w:rPr>
          <w:rStyle w:val="StyleUnderline"/>
        </w:rPr>
        <w:t xml:space="preserve">These designations are made by State, with the concurrence of DOD, and constitute the </w:t>
      </w:r>
      <w:r w:rsidRPr="00D92FFA">
        <w:t>United States Munitions List9</w:t>
      </w:r>
      <w:r>
        <w:t xml:space="preserve"> (</w:t>
      </w:r>
      <w:r w:rsidRPr="00D92FFA">
        <w:rPr>
          <w:rStyle w:val="StyleUnderline"/>
        </w:rPr>
        <w:t>USML</w:t>
      </w:r>
      <w:r>
        <w:t xml:space="preserve">), </w:t>
      </w:r>
      <w:r w:rsidRPr="00D92FFA">
        <w:rPr>
          <w:rStyle w:val="StyleUnderline"/>
        </w:rPr>
        <w:t>which comprises 21 major categories—for example Aircraft, Spacecraft, Military Electronics, and Guns and Armament—and more detailed subcategories</w:t>
      </w:r>
      <w:r>
        <w:t xml:space="preserve">. </w:t>
      </w:r>
      <w:r w:rsidRPr="00292E32">
        <w:rPr>
          <w:rStyle w:val="StyleUnderline"/>
        </w:rPr>
        <w:t>The ITAR also designates defense services subject to export controls, including furnishing assistance, technical data, or training to foreign entities</w:t>
      </w:r>
      <w:r>
        <w:t>. As defense exports are part of U.S. foreign policy, Congress requires reports to enable its oversight, including annual reports under the Foreign Assistance Act of 1961, as amended,10 Section 655 on defense exports, commonly referred to as Section 655 reports.</w:t>
      </w:r>
    </w:p>
    <w:p w:rsidR="00292E32" w:rsidRPr="006B0C03" w:rsidRDefault="00292E32" w:rsidP="00292E32"/>
    <w:p w:rsidR="00292E32" w:rsidRDefault="00292E32" w:rsidP="00292E32">
      <w:pPr>
        <w:pStyle w:val="Heading3"/>
      </w:pPr>
      <w:proofErr w:type="spellStart"/>
      <w:r>
        <w:t>Aff</w:t>
      </w:r>
      <w:proofErr w:type="spellEnd"/>
      <w:r>
        <w:t xml:space="preserve"> Limits – Weapons</w:t>
      </w:r>
    </w:p>
    <w:p w:rsidR="00292E32" w:rsidRDefault="00292E32" w:rsidP="00292E32">
      <w:pPr>
        <w:pStyle w:val="Heading4"/>
      </w:pPr>
      <w:r>
        <w:t xml:space="preserve">Defining the topic based on weapons type doesn’t make any sense – the government doesn’t have internal weapons labeling consistency </w:t>
      </w:r>
    </w:p>
    <w:p w:rsidR="00292E32" w:rsidRPr="00292E32" w:rsidRDefault="00292E32" w:rsidP="00292E32">
      <w:r w:rsidRPr="00292E32">
        <w:rPr>
          <w:rStyle w:val="Style13ptBold"/>
        </w:rPr>
        <w:t>Martin et al 2010</w:t>
      </w:r>
      <w:r>
        <w:t xml:space="preserve"> (</w:t>
      </w:r>
      <w:proofErr w:type="spellStart"/>
      <w:r>
        <w:t>Belva</w:t>
      </w:r>
      <w:proofErr w:type="spellEnd"/>
      <w:r>
        <w:t xml:space="preserve"> Martin, GAO Contact, John Neumann, Assistant Director; Marie Ahearn; Richard Brown; Sharron </w:t>
      </w:r>
      <w:proofErr w:type="spellStart"/>
      <w:r>
        <w:t>Candon</w:t>
      </w:r>
      <w:proofErr w:type="spellEnd"/>
      <w:r>
        <w:t xml:space="preserve">; Julia Kennon; Roxanna Sun; Robert </w:t>
      </w:r>
      <w:proofErr w:type="spellStart"/>
      <w:r>
        <w:t>Swierczek</w:t>
      </w:r>
      <w:proofErr w:type="spellEnd"/>
      <w:r>
        <w:t xml:space="preserve">; and Bradley Terry made key contributions to this report, "DEFENSE EXPORTS Reporting on Exported Articles and Services Needs to Be Improved", Government Accountability Office, September 2010, </w:t>
      </w:r>
      <w:hyperlink r:id="rId38" w:history="1">
        <w:r w:rsidRPr="00E92B84">
          <w:rPr>
            <w:rStyle w:val="Hyperlink"/>
          </w:rPr>
          <w:t>https://www.gao.gov/new.items/d10952.pdf</w:t>
        </w:r>
      </w:hyperlink>
      <w:r>
        <w:t>, mmv)</w:t>
      </w:r>
    </w:p>
    <w:p w:rsidR="00292E32" w:rsidRDefault="00292E32" w:rsidP="00292E32">
      <w:r w:rsidRPr="00D92FFA">
        <w:rPr>
          <w:rStyle w:val="StyleUnderline"/>
        </w:rPr>
        <w:t>Under the FMS program, DOD reports export values based on information used to bill foreign entities using a unique item categorization system that also is not directly comparable to the USML</w:t>
      </w:r>
      <w:r>
        <w:t xml:space="preserve">. For example, </w:t>
      </w:r>
      <w:r w:rsidRPr="00D92FFA">
        <w:rPr>
          <w:rStyle w:val="StyleUnderline"/>
        </w:rPr>
        <w:t>the USML has separate categories for explosives, bombs, training equipment, and guidance equipment; DOD’s single category for “bomb” includes items in all of those USML categories</w:t>
      </w:r>
      <w:r>
        <w:t xml:space="preserve">. Further, some of the articles and services exported through the FMS program, such as fuel and construction, are not controlled under the USML. However, </w:t>
      </w:r>
      <w:r w:rsidRPr="00D92FFA">
        <w:rPr>
          <w:rStyle w:val="StyleUnderline"/>
        </w:rPr>
        <w:t>since DOD bills foreign entities for these articles and services, they are included in DOD’s reports along with defense articles and services. DOD officials noted that there is no requirement to report exports by USML categories</w:t>
      </w:r>
      <w:r>
        <w:t>.</w:t>
      </w:r>
    </w:p>
    <w:p w:rsidR="00292E32" w:rsidRPr="00292E32" w:rsidRDefault="00292E32" w:rsidP="00292E32">
      <w:r>
        <w:tab/>
      </w:r>
    </w:p>
    <w:p w:rsidR="00BE09DE" w:rsidRDefault="00BE09DE" w:rsidP="00BE09DE">
      <w:pPr>
        <w:pStyle w:val="Heading2"/>
      </w:pPr>
      <w:r>
        <w:t>Substantially – Other</w:t>
      </w:r>
    </w:p>
    <w:p w:rsidR="00BE09DE" w:rsidRDefault="00BE09DE" w:rsidP="00BE09DE">
      <w:pPr>
        <w:pStyle w:val="Heading3"/>
      </w:pPr>
      <w:r>
        <w:t>Institutional Relationship</w:t>
      </w:r>
    </w:p>
    <w:p w:rsidR="00BE09DE" w:rsidRPr="00292E32" w:rsidRDefault="00BE09DE" w:rsidP="00BE09DE">
      <w:pPr>
        <w:pStyle w:val="Heading4"/>
      </w:pPr>
      <w:r>
        <w:t xml:space="preserve">A substantial reduction has to make the defense partnership non-viable </w:t>
      </w:r>
    </w:p>
    <w:p w:rsidR="00BE09DE" w:rsidRPr="00292E32" w:rsidRDefault="00BE09DE" w:rsidP="00BE09DE">
      <w:r w:rsidRPr="00292E32">
        <w:rPr>
          <w:rStyle w:val="Style13ptBold"/>
        </w:rPr>
        <w:t>DOD 2015</w:t>
      </w:r>
      <w:r>
        <w:t xml:space="preserve"> (Department of Defense, "Operation of the Defense Acquisition System", Instruction, January 7 2015, https://fas.org/irp/doddir/dod/i5000_02.pdf, mmv)</w:t>
      </w:r>
    </w:p>
    <w:p w:rsidR="00BE09DE" w:rsidRDefault="00BE09DE" w:rsidP="00BE09DE">
      <w:r>
        <w:t xml:space="preserve">7. INTERNATIONAL ACQUISITION AND EXPORTABILITY a. International Acquisition and Exportability Considerations. Program management is responsible for integrating international acquisition and exportability considerations into the program’s Acquisition Strategy at each major milestone or decision point. </w:t>
      </w:r>
      <w:r w:rsidRPr="00292E32">
        <w:rPr>
          <w:rStyle w:val="StyleUnderline"/>
        </w:rPr>
        <w:t>Program management will consider the potential demand and likelihood of cooperative development or production, Direct Commercial Sales, or Foreign Military Sales early in the acquisition planning process</w:t>
      </w:r>
      <w:r>
        <w:t>; and consider U.S. export control laws, regulations, and DoD policy for international transfers when formulating and implementing the acquisition strategy; in accordance with DoD Instruction 2040.02 (Reference (</w:t>
      </w:r>
      <w:proofErr w:type="spellStart"/>
      <w:r>
        <w:t>az</w:t>
      </w:r>
      <w:proofErr w:type="spellEnd"/>
      <w:r>
        <w:t>)). Where appropriate, program managers will pursue cooperative opportunities and international involvement throughout the acquisition life cycle to enhance international cooperation and improve interoperability in accordance with DoD Instruction 2010.06 (Reference (</w:t>
      </w:r>
      <w:proofErr w:type="spellStart"/>
      <w:r>
        <w:t>ba</w:t>
      </w:r>
      <w:proofErr w:type="spellEnd"/>
      <w:r>
        <w:t xml:space="preserve">)). b. International Cooperative Program Management (1) </w:t>
      </w:r>
      <w:r w:rsidRPr="00292E32">
        <w:rPr>
          <w:rStyle w:val="StyleUnderline"/>
        </w:rPr>
        <w:t>An international cooperative program (ICP) is any acquisition program or technology project that includes participation by the U.S. and one or more foreign nations, through an international agreement, during any phase of a system’s life cycle</w:t>
      </w:r>
      <w:r>
        <w:t>. When applicable, program staff members are encouraged to use streamlined agreement procedures. All ICPs will consider applicable U.S.-ratified materiel international standardization agreements in accordance with Chairman of the Joint Chiefs of Staff Instruction 3170.01HI (Reference (d</w:t>
      </w:r>
      <w:proofErr w:type="gramStart"/>
      <w:r>
        <w:t>)(</w:t>
      </w:r>
      <w:proofErr w:type="gramEnd"/>
      <w:r>
        <w:t xml:space="preserve">e)), and fully comply with applicable foreign disclosure, export control, technology transfer, program protection, and security requirements. Programs containing classified information will have a Delegation of Disclosure Authority Letter or other written authorization issued by the </w:t>
      </w:r>
      <w:proofErr w:type="gramStart"/>
      <w:r>
        <w:t>DoD</w:t>
      </w:r>
      <w:proofErr w:type="gramEnd"/>
      <w:r>
        <w:t xml:space="preserve"> Component’s cognizant foreign disclosure office prior to entering discussions with potential foreign partners. (2) </w:t>
      </w:r>
      <w:r w:rsidRPr="00292E32">
        <w:rPr>
          <w:rStyle w:val="StyleUnderline"/>
        </w:rPr>
        <w:t>DoD Components will notify and obtain the approval of the DAE for MDAP and MAIS programs before terminating or substantially reducing participation in ICPs under signed international agreements</w:t>
      </w:r>
      <w:r>
        <w:t xml:space="preserve">. The DAE may require the </w:t>
      </w:r>
      <w:proofErr w:type="gramStart"/>
      <w:r>
        <w:t>DoD</w:t>
      </w:r>
      <w:proofErr w:type="gramEnd"/>
      <w:r>
        <w:t xml:space="preserve"> Component to continue to provide some or all of the funding for that program. </w:t>
      </w:r>
      <w:r w:rsidRPr="00292E32">
        <w:rPr>
          <w:rStyle w:val="StyleUnderline"/>
        </w:rPr>
        <w:t xml:space="preserve">A substantial reduction is defined as a funding or quantity decrease that impacts the viability of the program </w:t>
      </w:r>
      <w:r w:rsidRPr="00292E32">
        <w:t>and/or significantly increases the costs to the other participants in the program</w:t>
      </w:r>
      <w:r>
        <w:t xml:space="preserve">. c. Waivers. Any foreign military sales or direct commercial sales of major defense equipment prior to successful completion of operational test and evaluation require Under Secretary of Defense for Acquisition, Technology and Logistics approval (i.e., a </w:t>
      </w:r>
      <w:proofErr w:type="spellStart"/>
      <w:r>
        <w:t>Yockey</w:t>
      </w:r>
      <w:proofErr w:type="spellEnd"/>
      <w:r>
        <w:t xml:space="preserve"> Waiver). (Details of this requirement are found in paragraph C5.1.8.3. in the Security Assistance Management Manual (Reference (bb))).</w:t>
      </w:r>
    </w:p>
    <w:p w:rsidR="00BE09DE" w:rsidRDefault="00BE09DE" w:rsidP="00BE09DE"/>
    <w:p w:rsidR="00BE09DE" w:rsidRDefault="00BE09DE" w:rsidP="00BE09DE">
      <w:pPr>
        <w:pStyle w:val="Heading4"/>
      </w:pPr>
      <w:r>
        <w:t xml:space="preserve">Any other interpretation justifies ad hoc and arbitrary reductions of single weapons systems </w:t>
      </w:r>
    </w:p>
    <w:p w:rsidR="00BE09DE" w:rsidRDefault="00BE09DE" w:rsidP="00BE09DE">
      <w:proofErr w:type="spellStart"/>
      <w:r w:rsidRPr="00BE09DE">
        <w:rPr>
          <w:rStyle w:val="Style13ptBold"/>
        </w:rPr>
        <w:t>Yarhi</w:t>
      </w:r>
      <w:proofErr w:type="spellEnd"/>
      <w:r w:rsidRPr="00BE09DE">
        <w:rPr>
          <w:rStyle w:val="Style13ptBold"/>
        </w:rPr>
        <w:t>-Milo et al 2016</w:t>
      </w:r>
      <w:r>
        <w:t xml:space="preserve"> (Keren </w:t>
      </w:r>
      <w:proofErr w:type="spellStart"/>
      <w:r>
        <w:t>Yarhi</w:t>
      </w:r>
      <w:proofErr w:type="spellEnd"/>
      <w:r>
        <w:t xml:space="preserve">-Milo is an assistant professor of politics and international affairs in Princeton University’s Politics Department and the Woodrow Wilson School for Public and International Affairs. Alexander </w:t>
      </w:r>
      <w:proofErr w:type="spellStart"/>
      <w:r>
        <w:t>Lanoszka</w:t>
      </w:r>
      <w:proofErr w:type="spellEnd"/>
      <w:r>
        <w:t xml:space="preserve"> is Lecturer in the Department of International Politics at City, University of London. Zack Cooper is a fellow at the Center for Strategic and International Studies. "To Arm or to Ally? The Patron's Dilemma and the Strategic Logic of Arms Transfers and Alliances", International Security, Vol. 41, No. 2 (Fall 2016), </w:t>
      </w:r>
      <w:hyperlink r:id="rId39" w:history="1">
        <w:r w:rsidRPr="00E92B84">
          <w:rPr>
            <w:rStyle w:val="Hyperlink"/>
          </w:rPr>
          <w:t>https://scholar.princeton.edu/sites/default/files/kyarhi/files/to_arm_or_to_ally.pdf</w:t>
        </w:r>
      </w:hyperlink>
      <w:r>
        <w:t>, mmv)</w:t>
      </w:r>
    </w:p>
    <w:p w:rsidR="00BE09DE" w:rsidRDefault="00BE09DE" w:rsidP="00BE09DE">
      <w:r>
        <w:t xml:space="preserve">The third characteristic of arms transfers is institutionalization. </w:t>
      </w:r>
      <w:r w:rsidRPr="00BE09DE">
        <w:rPr>
          <w:rStyle w:val="StyleUnderline"/>
        </w:rPr>
        <w:t>The more institutionalized the practice of transferring arms, the stronger its signaling value</w:t>
      </w:r>
      <w:r>
        <w:t xml:space="preserve">. </w:t>
      </w:r>
      <w:r w:rsidRPr="00BE09DE">
        <w:rPr>
          <w:rStyle w:val="StyleUnderline"/>
        </w:rPr>
        <w:t>A single arms transfer is an ambiguous signal of a client’s future commitment, because it provides limited information about the patron’s future behavior</w:t>
      </w:r>
      <w:r>
        <w:t xml:space="preserve">. More </w:t>
      </w:r>
      <w:r w:rsidRPr="00BE09DE">
        <w:rPr>
          <w:rStyle w:val="StyleUnderline"/>
        </w:rPr>
        <w:t>institutionalized arrangements produce expectations of future weapons transfers, increase the anticipated cost of the client’s commitment to the patron and the anticipated benefit to the client, and are much harder to reverse</w:t>
      </w:r>
      <w:r>
        <w:t xml:space="preserve">. With institutionalization, the patron is more likely to suffer reputation costs if its client is defeated. At stake is not the patron’s reputation for resolve, but rather the patron’s desire to be seen as being on the winning side. Institutionalized arms transfers can take many forms. Patrons might commit to provide a certain amount or type of arms within a specified time frame. Alternatively, patrons might offer some guarantee that their clients maintain a sufficient self-defense capability. </w:t>
      </w:r>
      <w:r w:rsidRPr="00BE09DE">
        <w:rPr>
          <w:rStyle w:val="StyleUnderline"/>
        </w:rPr>
        <w:t>By creating expectations of future arms transfers, institutionalization provides a new focal point for relations between the patron and its client. Thus, arms transfers convey the most significant and costliest signal of a patron’s support when they include the institutionalized provision of a large quantity of offensive and defensive weapons</w:t>
      </w:r>
      <w:r>
        <w:t xml:space="preserve">.19 Costly arm transfers have at least two of these characteristics. </w:t>
      </w:r>
      <w:r w:rsidRPr="00BE09DE">
        <w:rPr>
          <w:rStyle w:val="StyleUnderline"/>
        </w:rPr>
        <w:t>When arms transfers are ad hoc and feature small quantities of defensive weapons, we argue that the signal conveys insignificant support</w:t>
      </w:r>
      <w:r>
        <w:t>.</w:t>
      </w:r>
    </w:p>
    <w:p w:rsidR="00BE09DE" w:rsidRDefault="00BE09DE" w:rsidP="00BE09DE"/>
    <w:p w:rsidR="00BE09DE" w:rsidRDefault="00BE09DE" w:rsidP="00BE09DE">
      <w:pPr>
        <w:pStyle w:val="Heading3"/>
      </w:pPr>
      <w:r>
        <w:t>Considerable Value</w:t>
      </w:r>
    </w:p>
    <w:p w:rsidR="00BE09DE" w:rsidRPr="00195C7A" w:rsidRDefault="00BE09DE" w:rsidP="00BE09DE">
      <w:pPr>
        <w:pStyle w:val="Heading4"/>
        <w:rPr>
          <w:rFonts w:asciiTheme="minorHAnsi" w:hAnsiTheme="minorHAnsi"/>
        </w:rPr>
      </w:pPr>
      <w:r w:rsidRPr="00195C7A">
        <w:rPr>
          <w:rFonts w:asciiTheme="minorHAnsi" w:hAnsiTheme="minorHAnsi"/>
        </w:rPr>
        <w:t>"Substantial" means of real worth or considerable value --- this is the USUAL and CUSTOMARY meaning of the term</w:t>
      </w:r>
    </w:p>
    <w:p w:rsidR="00BE09DE" w:rsidRPr="00195C7A" w:rsidRDefault="00BE09DE" w:rsidP="00BE09DE">
      <w:pPr>
        <w:tabs>
          <w:tab w:val="left" w:pos="5040"/>
        </w:tabs>
        <w:rPr>
          <w:rStyle w:val="Style11pt"/>
          <w:rFonts w:asciiTheme="minorHAnsi" w:hAnsiTheme="minorHAnsi"/>
        </w:rPr>
      </w:pPr>
      <w:r w:rsidRPr="00195C7A">
        <w:rPr>
          <w:rStyle w:val="Style13ptBold"/>
          <w:rFonts w:asciiTheme="minorHAnsi" w:hAnsiTheme="minorHAnsi"/>
        </w:rPr>
        <w:t>Words and Phrases 2</w:t>
      </w:r>
      <w:r w:rsidRPr="00195C7A">
        <w:rPr>
          <w:rFonts w:asciiTheme="minorHAnsi" w:hAnsiTheme="minorHAnsi"/>
        </w:rPr>
        <w:t xml:space="preserve"> (Volume 40A, p. 458)</w:t>
      </w:r>
      <w:r>
        <w:rPr>
          <w:rFonts w:asciiTheme="minorHAnsi" w:hAnsiTheme="minorHAnsi"/>
        </w:rPr>
        <w:tab/>
      </w:r>
    </w:p>
    <w:p w:rsidR="00BE09DE" w:rsidRPr="00195C7A" w:rsidRDefault="00BE09DE" w:rsidP="00BE09DE">
      <w:pPr>
        <w:rPr>
          <w:rFonts w:asciiTheme="minorHAnsi" w:hAnsiTheme="minorHAnsi"/>
          <w:sz w:val="16"/>
        </w:rPr>
      </w:pPr>
      <w:r w:rsidRPr="00195C7A">
        <w:rPr>
          <w:rStyle w:val="Style11pt"/>
          <w:rFonts w:asciiTheme="minorHAnsi" w:hAnsiTheme="minorHAnsi"/>
          <w:sz w:val="16"/>
        </w:rPr>
        <w:t xml:space="preserve">D.S.C. 1966.  </w:t>
      </w:r>
      <w:r w:rsidRPr="00195C7A">
        <w:rPr>
          <w:rStyle w:val="Style11ptUnderline"/>
          <w:rFonts w:asciiTheme="minorHAnsi" w:hAnsiTheme="minorHAnsi"/>
        </w:rPr>
        <w:t>The word “substantial” within Civil Rights Act providing that a place is a public accommodation if a “substantial” portion of food</w:t>
      </w:r>
      <w:r w:rsidRPr="00195C7A">
        <w:rPr>
          <w:rStyle w:val="Style11pt"/>
          <w:rFonts w:asciiTheme="minorHAnsi" w:hAnsiTheme="minorHAnsi"/>
          <w:sz w:val="16"/>
        </w:rPr>
        <w:t xml:space="preserve"> which is served </w:t>
      </w:r>
      <w:r w:rsidRPr="00195C7A">
        <w:rPr>
          <w:rStyle w:val="Style11ptUnderline"/>
          <w:rFonts w:asciiTheme="minorHAnsi" w:hAnsiTheme="minorHAnsi"/>
        </w:rPr>
        <w:t xml:space="preserve">has moved in commerce must be construed in light of its </w:t>
      </w:r>
      <w:r w:rsidRPr="00195C7A">
        <w:rPr>
          <w:rStyle w:val="Emphasis"/>
          <w:rFonts w:asciiTheme="minorHAnsi" w:hAnsiTheme="minorHAnsi"/>
        </w:rPr>
        <w:t>usual and customary meaning</w:t>
      </w:r>
      <w:r w:rsidRPr="00195C7A">
        <w:rPr>
          <w:rStyle w:val="Style11ptUnderline"/>
          <w:rFonts w:asciiTheme="minorHAnsi" w:hAnsiTheme="minorHAnsi"/>
        </w:rPr>
        <w:t xml:space="preserve">, that </w:t>
      </w:r>
      <w:r w:rsidRPr="00195C7A">
        <w:rPr>
          <w:rStyle w:val="StyleUnderline"/>
          <w:rFonts w:asciiTheme="minorHAnsi" w:hAnsiTheme="minorHAnsi"/>
        </w:rPr>
        <w:t>is, something</w:t>
      </w:r>
      <w:r w:rsidRPr="00195C7A">
        <w:rPr>
          <w:rStyle w:val="Style11ptUnderline"/>
          <w:rFonts w:asciiTheme="minorHAnsi" w:hAnsiTheme="minorHAnsi"/>
        </w:rPr>
        <w:t xml:space="preserve"> of real worth and importance; of considerable value</w:t>
      </w:r>
      <w:r w:rsidRPr="00195C7A">
        <w:rPr>
          <w:rStyle w:val="Style11pt"/>
          <w:rFonts w:asciiTheme="minorHAnsi" w:hAnsiTheme="minorHAnsi"/>
          <w:sz w:val="16"/>
        </w:rPr>
        <w:t xml:space="preserve">; valuable, something worthwhile as distinguished from something without value or merely nominal  </w:t>
      </w:r>
    </w:p>
    <w:p w:rsidR="00BE09DE" w:rsidRDefault="00BE09DE" w:rsidP="00BE09DE">
      <w:pPr>
        <w:rPr>
          <w:rFonts w:asciiTheme="minorHAnsi" w:hAnsiTheme="minorHAnsi"/>
        </w:rPr>
      </w:pPr>
    </w:p>
    <w:p w:rsidR="00BE09DE" w:rsidRPr="00195C7A" w:rsidRDefault="00BE09DE" w:rsidP="00BE09DE">
      <w:pPr>
        <w:rPr>
          <w:rFonts w:asciiTheme="minorHAnsi" w:hAnsiTheme="minorHAnsi"/>
        </w:rPr>
      </w:pPr>
    </w:p>
    <w:p w:rsidR="00BE09DE" w:rsidRPr="00195C7A" w:rsidRDefault="00BE09DE" w:rsidP="00BE09DE">
      <w:pPr>
        <w:pStyle w:val="Heading4"/>
        <w:rPr>
          <w:rFonts w:asciiTheme="minorHAnsi" w:hAnsiTheme="minorHAnsi"/>
        </w:rPr>
      </w:pPr>
      <w:r w:rsidRPr="00195C7A">
        <w:rPr>
          <w:rFonts w:asciiTheme="minorHAnsi" w:hAnsiTheme="minorHAnsi"/>
        </w:rPr>
        <w:t>“Substantial” means considerable or to a large degree --- this common meaning is preferable because the word is not a term of art</w:t>
      </w:r>
    </w:p>
    <w:p w:rsidR="00BE09DE" w:rsidRPr="00195C7A" w:rsidRDefault="00BE09DE" w:rsidP="00BE09DE">
      <w:pPr>
        <w:rPr>
          <w:rFonts w:asciiTheme="minorHAnsi" w:hAnsiTheme="minorHAnsi"/>
        </w:rPr>
      </w:pPr>
      <w:proofErr w:type="spellStart"/>
      <w:r w:rsidRPr="00195C7A">
        <w:rPr>
          <w:rStyle w:val="Heading2Char2"/>
          <w:rFonts w:asciiTheme="minorHAnsi" w:hAnsiTheme="minorHAnsi"/>
        </w:rPr>
        <w:t>Arkush</w:t>
      </w:r>
      <w:proofErr w:type="spellEnd"/>
      <w:r w:rsidRPr="00195C7A">
        <w:rPr>
          <w:rStyle w:val="Heading2Char2"/>
          <w:rFonts w:asciiTheme="minorHAnsi" w:hAnsiTheme="minorHAnsi"/>
        </w:rPr>
        <w:t xml:space="preserve"> 2</w:t>
      </w:r>
      <w:r w:rsidRPr="00195C7A">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95C7A">
        <w:rPr>
          <w:rFonts w:asciiTheme="minorHAnsi" w:hAnsiTheme="minorHAnsi"/>
        </w:rPr>
        <w:br/>
        <w:t xml:space="preserve">37 </w:t>
      </w:r>
      <w:proofErr w:type="spellStart"/>
      <w:r w:rsidRPr="00195C7A">
        <w:rPr>
          <w:rFonts w:asciiTheme="minorHAnsi" w:hAnsiTheme="minorHAnsi"/>
        </w:rPr>
        <w:t>Harv</w:t>
      </w:r>
      <w:proofErr w:type="spellEnd"/>
      <w:r w:rsidRPr="00195C7A">
        <w:rPr>
          <w:rFonts w:asciiTheme="minorHAnsi" w:hAnsiTheme="minorHAnsi"/>
        </w:rPr>
        <w:t>. C.R.-C.L. L. Rev. 131)</w:t>
      </w:r>
    </w:p>
    <w:p w:rsidR="00BE09DE" w:rsidRPr="00195C7A" w:rsidRDefault="00BE09DE" w:rsidP="00BE09DE">
      <w:pPr>
        <w:rPr>
          <w:rFonts w:asciiTheme="minorHAnsi" w:hAnsiTheme="minorHAnsi"/>
          <w:sz w:val="16"/>
        </w:rPr>
      </w:pPr>
      <w:r w:rsidRPr="00195C7A">
        <w:rPr>
          <w:rFonts w:asciiTheme="minorHAnsi" w:hAnsi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40" w:anchor="n99" w:tgtFrame="_self" w:history="1">
        <w:r w:rsidRPr="00195C7A">
          <w:rPr>
            <w:rFonts w:asciiTheme="minorHAnsi" w:hAnsiTheme="minorHAnsi"/>
            <w:sz w:val="16"/>
          </w:rPr>
          <w:t>99</w:t>
        </w:r>
      </w:hyperlink>
      <w:r w:rsidRPr="00195C7A">
        <w:rPr>
          <w:rFonts w:asciiTheme="minorHAnsi" w:hAnsiTheme="minorHAnsi"/>
          <w:sz w:val="16"/>
        </w:rPr>
        <w:t xml:space="preserve"> It is commonly accepted that </w:t>
      </w:r>
      <w:r w:rsidRPr="00195C7A">
        <w:rPr>
          <w:rStyle w:val="Style1Char1"/>
          <w:rFonts w:asciiTheme="minorHAnsi" w:hAnsiTheme="minorHAnsi"/>
        </w:rPr>
        <w:t>words that are not legal terms of art should be accorded their ordinary, not their legal, meaning</w:t>
      </w:r>
      <w:r w:rsidRPr="00195C7A">
        <w:rPr>
          <w:rFonts w:asciiTheme="minorHAnsi" w:hAnsiTheme="minorHAnsi"/>
          <w:sz w:val="16"/>
        </w:rPr>
        <w:t xml:space="preserve">, </w:t>
      </w:r>
      <w:hyperlink r:id="rId41" w:anchor="n100" w:tgtFrame="_self" w:history="1">
        <w:r w:rsidRPr="00195C7A">
          <w:rPr>
            <w:rFonts w:asciiTheme="minorHAnsi" w:hAnsiTheme="minorHAnsi"/>
            <w:sz w:val="16"/>
          </w:rPr>
          <w:t>100</w:t>
        </w:r>
      </w:hyperlink>
      <w:r w:rsidRPr="00195C7A">
        <w:rPr>
          <w:rFonts w:asciiTheme="minorHAnsi" w:hAnsiTheme="minorHAnsi"/>
          <w:sz w:val="16"/>
        </w:rPr>
        <w:t xml:space="preserve"> and ordinary-usage dictionaries provide FOIA fee claimants with helpful arguments. </w:t>
      </w:r>
      <w:r w:rsidRPr="00195C7A">
        <w:rPr>
          <w:rStyle w:val="Style1Char1"/>
          <w:rFonts w:asciiTheme="minorHAnsi" w:hAnsiTheme="minorHAnsi"/>
        </w:rPr>
        <w:t>The Supreme Court has already found favorable</w:t>
      </w:r>
      <w:r w:rsidRPr="00195C7A">
        <w:rPr>
          <w:rFonts w:asciiTheme="minorHAnsi" w:hAnsiTheme="minorHAnsi"/>
          <w:sz w:val="16"/>
        </w:rPr>
        <w:t xml:space="preserve">, temporally relevant </w:t>
      </w:r>
      <w:r w:rsidRPr="00195C7A">
        <w:rPr>
          <w:rStyle w:val="Style1Char1"/>
          <w:rFonts w:asciiTheme="minorHAnsi" w:hAnsiTheme="minorHAnsi"/>
        </w:rPr>
        <w:t xml:space="preserve">definitions of the word "substantially" in ordinary dictionaries: "Substantially" suggests "considerable" or </w:t>
      </w:r>
      <w:r w:rsidRPr="00195C7A">
        <w:rPr>
          <w:rFonts w:asciiTheme="minorHAnsi" w:hAnsiTheme="minorHAnsi"/>
          <w:sz w:val="16"/>
        </w:rPr>
        <w:t>"</w:t>
      </w:r>
      <w:r w:rsidRPr="00195C7A">
        <w:rPr>
          <w:rStyle w:val="Style1Char1"/>
          <w:rFonts w:asciiTheme="minorHAnsi" w:hAnsiTheme="minorHAnsi"/>
        </w:rPr>
        <w:t>specified to a large degree</w:t>
      </w:r>
      <w:r w:rsidRPr="00195C7A">
        <w:rPr>
          <w:rFonts w:asciiTheme="minorHAnsi" w:hAnsi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42" w:anchor="n101" w:tgtFrame="_self" w:history="1">
        <w:r w:rsidRPr="00195C7A">
          <w:rPr>
            <w:rFonts w:asciiTheme="minorHAnsi" w:hAnsiTheme="minorHAnsi"/>
            <w:sz w:val="16"/>
          </w:rPr>
          <w:t>101</w:t>
        </w:r>
      </w:hyperlink>
    </w:p>
    <w:p w:rsidR="00BE09DE" w:rsidRDefault="00BE09DE" w:rsidP="00BE09DE"/>
    <w:p w:rsidR="009A2F91" w:rsidRDefault="009A2F91" w:rsidP="00BE09DE"/>
    <w:p w:rsidR="009A2F91" w:rsidRDefault="009A2F91" w:rsidP="009A2F91">
      <w:pPr>
        <w:pStyle w:val="Heading3"/>
      </w:pPr>
      <w:r>
        <w:t>Qualitative</w:t>
      </w:r>
    </w:p>
    <w:p w:rsidR="009A2F91" w:rsidRPr="00195C7A" w:rsidRDefault="009A2F91" w:rsidP="009A2F91">
      <w:pPr>
        <w:pStyle w:val="Heading4"/>
        <w:rPr>
          <w:rFonts w:asciiTheme="minorHAnsi" w:hAnsiTheme="minorHAnsi"/>
        </w:rPr>
      </w:pPr>
      <w:r w:rsidRPr="00195C7A">
        <w:rPr>
          <w:rFonts w:asciiTheme="minorHAnsi" w:hAnsiTheme="minorHAnsi"/>
        </w:rPr>
        <w:t xml:space="preserve">Substantial is qualitative not </w:t>
      </w:r>
      <w:proofErr w:type="gramStart"/>
      <w:r w:rsidRPr="00195C7A">
        <w:rPr>
          <w:rFonts w:asciiTheme="minorHAnsi" w:hAnsiTheme="minorHAnsi"/>
        </w:rPr>
        <w:t>quantitative  -</w:t>
      </w:r>
      <w:proofErr w:type="gramEnd"/>
      <w:r w:rsidRPr="00195C7A">
        <w:rPr>
          <w:rFonts w:asciiTheme="minorHAnsi" w:hAnsiTheme="minorHAnsi"/>
        </w:rPr>
        <w:t xml:space="preserve"> their interpretation is arbitrary</w:t>
      </w:r>
    </w:p>
    <w:p w:rsidR="009A2F91" w:rsidRPr="00195C7A" w:rsidRDefault="009A2F91" w:rsidP="009A2F91">
      <w:pPr>
        <w:rPr>
          <w:rFonts w:asciiTheme="minorHAnsi" w:hAnsiTheme="minorHAnsi"/>
        </w:rPr>
      </w:pPr>
      <w:r w:rsidRPr="00195C7A">
        <w:rPr>
          <w:rFonts w:asciiTheme="minorHAnsi" w:hAnsiTheme="minorHAnsi"/>
        </w:rPr>
        <w:t xml:space="preserve">H. Beau </w:t>
      </w:r>
      <w:r w:rsidRPr="00195C7A">
        <w:rPr>
          <w:rStyle w:val="Style13ptBold"/>
          <w:rFonts w:asciiTheme="minorHAnsi" w:hAnsiTheme="minorHAnsi"/>
        </w:rPr>
        <w:t>Baez 6</w:t>
      </w:r>
      <w:r w:rsidRPr="00195C7A">
        <w:rPr>
          <w:rFonts w:asciiTheme="minorHAnsi" w:hAnsiTheme="minorHAnsi"/>
        </w:rPr>
        <w:t xml:space="preserve">, Assistant Professor of Law, Liberty University School of Law, Seattle University Law Review Spring, 2006 29 Seattle Univ. L. R. 581 </w:t>
      </w:r>
    </w:p>
    <w:p w:rsidR="009A2F91" w:rsidRPr="00195C7A" w:rsidRDefault="009A2F91" w:rsidP="009A2F91">
      <w:pPr>
        <w:rPr>
          <w:rFonts w:asciiTheme="minorHAnsi" w:hAnsiTheme="minorHAnsi"/>
          <w:sz w:val="10"/>
        </w:rPr>
      </w:pPr>
      <w:r w:rsidRPr="00195C7A">
        <w:rPr>
          <w:rFonts w:asciiTheme="minorHAnsi" w:hAnsiTheme="minorHAnsi"/>
          <w:sz w:val="10"/>
        </w:rPr>
        <w:t xml:space="preserve">The Supreme Court has interpreted the Commerce Clause to prohibit state actions that discriminate against or unduly burden interstate commerce as part of its Negative Commerce Clause jurisprudence. </w:t>
      </w:r>
      <w:proofErr w:type="gramStart"/>
      <w:r w:rsidRPr="00195C7A">
        <w:rPr>
          <w:rFonts w:asciiTheme="minorHAnsi" w:hAnsiTheme="minorHAnsi"/>
          <w:sz w:val="10"/>
        </w:rPr>
        <w:t>n83</w:t>
      </w:r>
      <w:proofErr w:type="gramEnd"/>
      <w:r w:rsidRPr="00195C7A">
        <w:rPr>
          <w:rFonts w:asciiTheme="minorHAnsi" w:hAnsiTheme="minorHAnsi"/>
          <w:sz w:val="10"/>
        </w:rPr>
        <w:t xml:space="preserve">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w:t>
      </w:r>
      <w:proofErr w:type="gramStart"/>
      <w:r w:rsidRPr="00195C7A">
        <w:rPr>
          <w:rFonts w:asciiTheme="minorHAnsi" w:hAnsiTheme="minorHAnsi"/>
          <w:sz w:val="10"/>
        </w:rPr>
        <w:t>n86</w:t>
      </w:r>
      <w:proofErr w:type="gramEnd"/>
      <w:r w:rsidRPr="00195C7A">
        <w:rPr>
          <w:rFonts w:asciiTheme="minorHAnsi" w:hAnsiTheme="minorHAnsi"/>
          <w:sz w:val="10"/>
        </w:rPr>
        <w:t xml:space="preserve"> The Quill Court held that the physical presence of a company in the taxing state satisfies the Commerce Clause substantial nexus test. </w:t>
      </w:r>
      <w:proofErr w:type="gramStart"/>
      <w:r w:rsidRPr="00195C7A">
        <w:rPr>
          <w:rFonts w:asciiTheme="minorHAnsi" w:hAnsiTheme="minorHAnsi"/>
          <w:sz w:val="10"/>
        </w:rPr>
        <w:t>n87</w:t>
      </w:r>
      <w:proofErr w:type="gramEnd"/>
      <w:r w:rsidRPr="00195C7A">
        <w:rPr>
          <w:rFonts w:asciiTheme="minorHAnsi" w:hAnsiTheme="minorHAnsi"/>
          <w:sz w:val="10"/>
        </w:rPr>
        <w:t xml:space="preserve"> </w:t>
      </w:r>
      <w:r w:rsidRPr="00195C7A">
        <w:rPr>
          <w:rFonts w:asciiTheme="minorHAnsi" w:hAnsiTheme="minorHAnsi"/>
          <w:u w:val="single"/>
        </w:rPr>
        <w:t>Unfortunately, lower courts have found some ambiguity</w:t>
      </w:r>
      <w:r w:rsidRPr="00195C7A">
        <w:rPr>
          <w:rFonts w:asciiTheme="minorHAnsi" w:hAnsiTheme="minorHAnsi"/>
          <w:sz w:val="10"/>
        </w:rPr>
        <w:t xml:space="preserve"> in Quill, </w:t>
      </w:r>
      <w:r w:rsidRPr="00195C7A">
        <w:rPr>
          <w:rFonts w:asciiTheme="minorHAnsi" w:hAnsiTheme="minorHAnsi"/>
          <w:u w:val="single"/>
        </w:rPr>
        <w:t>and have struggled to apply the bright-line to the facts of real cases</w:t>
      </w:r>
      <w:r w:rsidRPr="00195C7A">
        <w:rPr>
          <w:rFonts w:asciiTheme="minorHAnsi" w:hAnsiTheme="minorHAnsi"/>
          <w:sz w:val="10"/>
        </w:rPr>
        <w:t xml:space="preserve">. </w:t>
      </w:r>
      <w:proofErr w:type="gramStart"/>
      <w:r w:rsidRPr="00195C7A">
        <w:rPr>
          <w:rFonts w:asciiTheme="minorHAnsi" w:hAnsiTheme="minorHAnsi"/>
          <w:sz w:val="10"/>
        </w:rPr>
        <w:t>n88</w:t>
      </w:r>
      <w:proofErr w:type="gramEnd"/>
      <w:r w:rsidRPr="00195C7A">
        <w:rPr>
          <w:rFonts w:asciiTheme="minorHAnsi" w:hAnsiTheme="minorHAnsi"/>
          <w:sz w:val="12"/>
        </w:rPr>
        <w:t>¶</w:t>
      </w:r>
      <w:r w:rsidRPr="00195C7A">
        <w:rPr>
          <w:rFonts w:asciiTheme="minorHAnsi" w:hAnsiTheme="minorHAnsi"/>
          <w:sz w:val="10"/>
        </w:rPr>
        <w:t xml:space="preserve"> Admittedly, part of </w:t>
      </w:r>
      <w:r w:rsidRPr="00195C7A">
        <w:rPr>
          <w:rFonts w:asciiTheme="minorHAnsi" w:hAnsiTheme="minorHAnsi"/>
          <w:u w:val="single"/>
        </w:rPr>
        <w:t>the confusion lies in the name given to the legal requirement by the Quill Court: "substantial nexus." The word "substantial" connotes weighing of factors</w:t>
      </w:r>
      <w:r w:rsidRPr="00195C7A">
        <w:rPr>
          <w:rFonts w:asciiTheme="minorHAnsi" w:hAnsiTheme="minorHAnsi"/>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This lack of clarity by the Court is not new.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95C7A">
        <w:rPr>
          <w:rFonts w:asciiTheme="minorHAnsi" w:hAnsiTheme="minorHAnsi"/>
          <w:sz w:val="10"/>
        </w:rPr>
        <w:t xml:space="preserve">," n98 and Chief Justice Rehnquist's colorful phrase "nexus aplenty." n99 However, even after Quill -- the seminal nexus case of the last twenty-five years -- </w:t>
      </w:r>
      <w:r w:rsidRPr="00195C7A">
        <w:rPr>
          <w:rFonts w:asciiTheme="minorHAnsi" w:hAnsiTheme="minorHAnsi"/>
          <w:u w:val="single"/>
        </w:rPr>
        <w:t>the Court has continued describing the "substantial nexus" requirement in different ways</w:t>
      </w:r>
      <w:r w:rsidRPr="00195C7A">
        <w:rPr>
          <w:rFonts w:asciiTheme="minorHAnsi" w:hAnsiTheme="min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Examining the legal definition of "substantial" provides some light as to what the Court meant by "substantial nexus"</w:t>
      </w:r>
      <w:r w:rsidRPr="00195C7A">
        <w:rPr>
          <w:rFonts w:asciiTheme="minorHAnsi" w:hAnsiTheme="minorHAnsi"/>
          <w:sz w:val="10"/>
        </w:rPr>
        <w:t xml:space="preserve"> in Quill. </w:t>
      </w:r>
      <w:r w:rsidRPr="00195C7A">
        <w:rPr>
          <w:rFonts w:asciiTheme="minorHAnsi" w:hAnsiTheme="minorHAnsi"/>
          <w:u w:val="single"/>
        </w:rPr>
        <w:t xml:space="preserve">Black's Law </w:t>
      </w:r>
      <w:r w:rsidRPr="00195C7A">
        <w:rPr>
          <w:rFonts w:asciiTheme="minorHAnsi" w:hAnsiTheme="minorHAnsi"/>
          <w:sz w:val="10"/>
        </w:rPr>
        <w:t xml:space="preserve">Dictionary </w:t>
      </w:r>
      <w:r w:rsidRPr="00195C7A">
        <w:rPr>
          <w:rFonts w:asciiTheme="minorHAnsi" w:hAnsiTheme="minorHAnsi"/>
          <w:u w:val="single"/>
        </w:rPr>
        <w:t>defines "substantial" as "belonging to substance; actually existing; real; not seeming or imaginary; not illusive; solid; true; veritable."</w:t>
      </w:r>
      <w:r w:rsidRPr="00195C7A">
        <w:rPr>
          <w:rFonts w:asciiTheme="minorHAnsi" w:hAnsiTheme="minorHAnsi"/>
          <w:sz w:val="10"/>
        </w:rPr>
        <w:t xml:space="preserve"> n108 </w:t>
      </w:r>
      <w:proofErr w:type="gramStart"/>
      <w:r w:rsidRPr="00195C7A">
        <w:rPr>
          <w:rFonts w:asciiTheme="minorHAnsi" w:hAnsiTheme="minorHAnsi"/>
          <w:u w:val="single"/>
        </w:rPr>
        <w:t>This</w:t>
      </w:r>
      <w:proofErr w:type="gramEnd"/>
      <w:r w:rsidRPr="00195C7A">
        <w:rPr>
          <w:rFonts w:asciiTheme="minorHAnsi" w:hAnsiTheme="minorHAnsi"/>
          <w:u w:val="single"/>
        </w:rPr>
        <w:t xml:space="preserve"> </w:t>
      </w:r>
      <w:r w:rsidRPr="00195C7A">
        <w:rPr>
          <w:rFonts w:asciiTheme="minorHAnsi" w:hAnsiTheme="minorHAnsi"/>
          <w:sz w:val="10"/>
        </w:rPr>
        <w:t xml:space="preserve">legal </w:t>
      </w:r>
      <w:r w:rsidRPr="00195C7A">
        <w:rPr>
          <w:rFonts w:asciiTheme="minorHAnsi" w:hAnsiTheme="minorHAnsi"/>
          <w:u w:val="single"/>
        </w:rPr>
        <w:t>definition furnishes evidence that "</w:t>
      </w:r>
      <w:r w:rsidRPr="00195C7A">
        <w:rPr>
          <w:rFonts w:asciiTheme="minorHAnsi" w:hAnsiTheme="minorHAnsi"/>
          <w:b/>
          <w:u w:val="single"/>
          <w:bdr w:val="single" w:sz="4" w:space="0" w:color="auto"/>
        </w:rPr>
        <w:t xml:space="preserve">substantial" is defined qualitatively, not quantitatively. </w:t>
      </w:r>
      <w:r w:rsidRPr="00195C7A">
        <w:rPr>
          <w:rFonts w:asciiTheme="minorHAnsi" w:hAnsiTheme="minorHAnsi"/>
          <w:u w:val="single"/>
        </w:rPr>
        <w:t>Webster's</w:t>
      </w:r>
      <w:r w:rsidRPr="00195C7A">
        <w:rPr>
          <w:rFonts w:asciiTheme="minorHAnsi" w:hAnsiTheme="minorHAnsi"/>
          <w:sz w:val="10"/>
        </w:rPr>
        <w:t xml:space="preserve"> Dictionary </w:t>
      </w:r>
      <w:r w:rsidRPr="00195C7A">
        <w:rPr>
          <w:rFonts w:asciiTheme="minorHAnsi" w:hAnsiTheme="minorHAnsi"/>
          <w:u w:val="single"/>
        </w:rPr>
        <w:t>also lends support to the qualitative nature of the word by defining its primary meaning as "consisting of or relating to substance</w:t>
      </w:r>
      <w:r w:rsidRPr="00195C7A">
        <w:rPr>
          <w:rFonts w:asciiTheme="minorHAnsi" w:hAnsiTheme="minorHAnsi"/>
          <w:sz w:val="10"/>
        </w:rPr>
        <w:t xml:space="preserve">; not imaginary or illusory: real, true; important, essential," n109 </w:t>
      </w:r>
      <w:r w:rsidRPr="00195C7A">
        <w:rPr>
          <w:rFonts w:asciiTheme="minorHAnsi" w:hAnsiTheme="minorHAnsi"/>
          <w:u w:val="single"/>
        </w:rPr>
        <w:t>while the notion of "substantial" as quantitative is relegated to a secondary meaning</w:t>
      </w:r>
      <w:r w:rsidRPr="00195C7A">
        <w:rPr>
          <w:rFonts w:asciiTheme="minorHAnsi" w:hAnsiTheme="minorHAnsi"/>
          <w:sz w:val="10"/>
        </w:rPr>
        <w:t xml:space="preserve"> of the word. n110</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 xml:space="preserve">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w:t>
      </w:r>
      <w:proofErr w:type="spellStart"/>
      <w:r w:rsidRPr="00195C7A">
        <w:rPr>
          <w:rFonts w:asciiTheme="minorHAnsi" w:hAnsiTheme="minorHAnsi"/>
          <w:sz w:val="10"/>
          <w:szCs w:val="16"/>
        </w:rPr>
        <w:t>brightline</w:t>
      </w:r>
      <w:proofErr w:type="spellEnd"/>
      <w:r w:rsidRPr="00195C7A">
        <w:rPr>
          <w:rFonts w:asciiTheme="minorHAnsi" w:hAnsiTheme="minorHAnsi"/>
          <w:sz w:val="10"/>
          <w:szCs w:val="16"/>
        </w:rPr>
        <w:t xml:space="preserv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95C7A">
        <w:rPr>
          <w:rFonts w:asciiTheme="minorHAnsi" w:hAnsiTheme="minorHAnsi"/>
          <w:sz w:val="12"/>
          <w:szCs w:val="16"/>
        </w:rPr>
        <w:t>¶</w:t>
      </w:r>
      <w:r w:rsidRPr="00195C7A">
        <w:rPr>
          <w:rFonts w:asciiTheme="minorHAnsi" w:hAnsiTheme="minorHAnsi"/>
          <w:sz w:val="10"/>
          <w:szCs w:val="16"/>
        </w:rPr>
        <w:t xml:space="preserve"> </w:t>
      </w:r>
      <w:r w:rsidRPr="00195C7A">
        <w:rPr>
          <w:rFonts w:asciiTheme="minorHAnsi" w:hAnsiTheme="minorHAnsi"/>
          <w:u w:val="single"/>
        </w:rPr>
        <w:t>Given the history and context of the phrases used by the Court to describe Commerce Clause nexus, it is useless to try to discern any substantive meaning from the phrases "substantial nexus,"</w:t>
      </w:r>
      <w:r w:rsidRPr="00195C7A">
        <w:rPr>
          <w:rFonts w:asciiTheme="minorHAnsi" w:hAnsiTheme="min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95C7A">
        <w:rPr>
          <w:rFonts w:asciiTheme="minorHAnsi" w:hAnsiTheme="minorHAnsi"/>
          <w:b/>
          <w:u w:val="single"/>
          <w:bdr w:val="single" w:sz="4" w:space="0" w:color="auto"/>
        </w:rPr>
        <w:t xml:space="preserve">Only modern-day </w:t>
      </w:r>
      <w:proofErr w:type="gramStart"/>
      <w:r w:rsidRPr="00195C7A">
        <w:rPr>
          <w:rFonts w:asciiTheme="minorHAnsi" w:hAnsiTheme="minorHAnsi"/>
          <w:b/>
          <w:u w:val="single"/>
          <w:bdr w:val="single" w:sz="4" w:space="0" w:color="auto"/>
        </w:rPr>
        <w:t>sophists</w:t>
      </w:r>
      <w:proofErr w:type="gramEnd"/>
      <w:r w:rsidRPr="00195C7A">
        <w:rPr>
          <w:rFonts w:asciiTheme="minorHAnsi" w:hAnsiTheme="minorHAnsi"/>
          <w:b/>
          <w:u w:val="single"/>
          <w:bdr w:val="single" w:sz="4" w:space="0" w:color="auto"/>
        </w:rPr>
        <w:t xml:space="preserve"> n115 would seriously contend that such debate would be useful.</w:t>
      </w:r>
      <w:r w:rsidRPr="00195C7A">
        <w:rPr>
          <w:rFonts w:asciiTheme="minorHAnsi" w:hAnsiTheme="minorHAnsi"/>
          <w:sz w:val="10"/>
        </w:rPr>
        <w:t xml:space="preserve"> </w:t>
      </w:r>
      <w:proofErr w:type="gramStart"/>
      <w:r w:rsidRPr="00195C7A">
        <w:rPr>
          <w:rFonts w:asciiTheme="minorHAnsi" w:hAnsiTheme="minorHAnsi"/>
          <w:sz w:val="10"/>
        </w:rPr>
        <w:t>n116</w:t>
      </w:r>
      <w:proofErr w:type="gramEnd"/>
      <w:r w:rsidRPr="00195C7A">
        <w:rPr>
          <w:rFonts w:asciiTheme="minorHAnsi" w:hAnsiTheme="minorHAnsi"/>
          <w:sz w:val="10"/>
        </w:rPr>
        <w:t xml:space="preserve"> In the end it is case law that animates the concept of Commerce Clause nexus; out-of-context discussions</w:t>
      </w:r>
    </w:p>
    <w:p w:rsidR="009A2F91" w:rsidRPr="009A2F91" w:rsidRDefault="009A2F91" w:rsidP="009A2F91"/>
    <w:p w:rsidR="001E148D" w:rsidRDefault="001E148D" w:rsidP="001E148D">
      <w:pPr>
        <w:pStyle w:val="Heading2"/>
      </w:pPr>
      <w:r>
        <w:t>Other</w:t>
      </w:r>
    </w:p>
    <w:p w:rsidR="00296B6B" w:rsidRDefault="00296B6B" w:rsidP="00296B6B">
      <w:pPr>
        <w:pStyle w:val="Heading3"/>
      </w:pPr>
      <w:r>
        <w:t>Dual Use</w:t>
      </w:r>
    </w:p>
    <w:p w:rsidR="00296B6B" w:rsidRPr="00296B6B" w:rsidRDefault="00296B6B" w:rsidP="00296B6B">
      <w:pPr>
        <w:pStyle w:val="Heading4"/>
      </w:pPr>
      <w:r>
        <w:t xml:space="preserve">Dual use is governed by an entire separate department – they are distinct export categories </w:t>
      </w:r>
    </w:p>
    <w:p w:rsidR="00296B6B" w:rsidRPr="00296B6B" w:rsidRDefault="00296B6B" w:rsidP="00296B6B">
      <w:proofErr w:type="spellStart"/>
      <w:r w:rsidRPr="00296B6B">
        <w:rPr>
          <w:rStyle w:val="Style13ptBold"/>
        </w:rPr>
        <w:t>Peartree</w:t>
      </w:r>
      <w:proofErr w:type="spellEnd"/>
      <w:r w:rsidRPr="00296B6B">
        <w:rPr>
          <w:rStyle w:val="Style13ptBold"/>
        </w:rPr>
        <w:t xml:space="preserve"> 2014</w:t>
      </w:r>
      <w:r>
        <w:t xml:space="preserve"> (Ed </w:t>
      </w:r>
      <w:proofErr w:type="spellStart"/>
      <w:r>
        <w:t>Peartree</w:t>
      </w:r>
      <w:proofErr w:type="spellEnd"/>
      <w:r>
        <w:t xml:space="preserve">, Director of the Defense Trade Controls Policy </w:t>
      </w:r>
      <w:proofErr w:type="spellStart"/>
      <w:r>
        <w:t>Beureau</w:t>
      </w:r>
      <w:proofErr w:type="spellEnd"/>
      <w:r>
        <w:t xml:space="preserve"> of Political-Military Affairs, US Department of State, "U.S. Defense Trade Controls and Export Control Reform",https://supportoffice.jp/outreach/2014/asian_ec/pdf/day1/1400_Mr.EdPeartree.pdf, mmv)</w:t>
      </w:r>
    </w:p>
    <w:p w:rsidR="00296B6B" w:rsidRPr="00296B6B" w:rsidRDefault="00296B6B" w:rsidP="00296B6B">
      <w:pPr>
        <w:rPr>
          <w:rStyle w:val="StyleUnderline"/>
        </w:rPr>
      </w:pPr>
      <w:r w:rsidRPr="00296B6B">
        <w:rPr>
          <w:rStyle w:val="StyleUnderline"/>
        </w:rPr>
        <w:t>Foreign Military Sales (FMS)</w:t>
      </w:r>
    </w:p>
    <w:p w:rsidR="00296B6B" w:rsidRPr="00296B6B" w:rsidRDefault="00296B6B" w:rsidP="00296B6B">
      <w:pPr>
        <w:rPr>
          <w:rStyle w:val="StyleUnderline"/>
        </w:rPr>
      </w:pPr>
      <w:r w:rsidRPr="00296B6B">
        <w:rPr>
          <w:rStyle w:val="StyleUnderline"/>
        </w:rPr>
        <w:t>Government to Government transfers subject to approval by Department of State; administered by Department of Defense</w:t>
      </w:r>
    </w:p>
    <w:p w:rsidR="00296B6B" w:rsidRDefault="00296B6B" w:rsidP="00296B6B">
      <w:pPr>
        <w:tabs>
          <w:tab w:val="center" w:pos="9180"/>
        </w:tabs>
      </w:pPr>
      <w:r>
        <w:t>Subject to Arms Export Control Act (AECA) and Foreign Assistance Act (FAA)</w:t>
      </w:r>
      <w:r>
        <w:tab/>
      </w:r>
    </w:p>
    <w:p w:rsidR="00296B6B" w:rsidRPr="00296B6B" w:rsidRDefault="00296B6B" w:rsidP="00296B6B">
      <w:pPr>
        <w:rPr>
          <w:rStyle w:val="StyleUnderline"/>
        </w:rPr>
      </w:pPr>
      <w:r w:rsidRPr="00296B6B">
        <w:rPr>
          <w:rStyle w:val="StyleUnderline"/>
        </w:rPr>
        <w:t>Direct Commercial Sales (DCS)</w:t>
      </w:r>
    </w:p>
    <w:p w:rsidR="00296B6B" w:rsidRPr="00296B6B" w:rsidRDefault="00296B6B" w:rsidP="00296B6B">
      <w:pPr>
        <w:rPr>
          <w:rStyle w:val="StyleUnderline"/>
        </w:rPr>
      </w:pPr>
      <w:r w:rsidRPr="00296B6B">
        <w:rPr>
          <w:rStyle w:val="StyleUnderline"/>
        </w:rPr>
        <w:t>Commercial arms sales subject to export authorization by Department of State</w:t>
      </w:r>
    </w:p>
    <w:p w:rsidR="00296B6B" w:rsidRDefault="00296B6B" w:rsidP="00296B6B">
      <w:pPr>
        <w:tabs>
          <w:tab w:val="left" w:pos="6585"/>
        </w:tabs>
      </w:pPr>
      <w:r>
        <w:t>Subject to AECA and International Traffic in Arms Regulations (ITAR)</w:t>
      </w:r>
      <w:r>
        <w:tab/>
      </w:r>
    </w:p>
    <w:p w:rsidR="00296B6B" w:rsidRPr="00296B6B" w:rsidRDefault="00296B6B" w:rsidP="00296B6B">
      <w:pPr>
        <w:rPr>
          <w:rStyle w:val="StyleUnderline"/>
        </w:rPr>
      </w:pPr>
      <w:r w:rsidRPr="00296B6B">
        <w:rPr>
          <w:rStyle w:val="StyleUnderline"/>
        </w:rPr>
        <w:t xml:space="preserve">Dual-use </w:t>
      </w:r>
    </w:p>
    <w:p w:rsidR="00296B6B" w:rsidRPr="00296B6B" w:rsidRDefault="00296B6B" w:rsidP="00296B6B">
      <w:pPr>
        <w:rPr>
          <w:rStyle w:val="StyleUnderline"/>
        </w:rPr>
      </w:pPr>
      <w:r w:rsidRPr="00296B6B">
        <w:rPr>
          <w:rStyle w:val="StyleUnderline"/>
        </w:rPr>
        <w:t xml:space="preserve">Commercial sales of dual-use items subject to control by Department of Commerce </w:t>
      </w:r>
    </w:p>
    <w:p w:rsidR="00296B6B" w:rsidRDefault="00296B6B" w:rsidP="00296B6B">
      <w:r>
        <w:t>Subject to Export Administration Act (EAA) and Export Administration Regulations (EAR)</w:t>
      </w:r>
    </w:p>
    <w:p w:rsidR="00296B6B" w:rsidRDefault="00296B6B" w:rsidP="00296B6B"/>
    <w:p w:rsidR="00296B6B" w:rsidRDefault="00296B6B" w:rsidP="00296B6B"/>
    <w:p w:rsidR="00296B6B" w:rsidRPr="00852E6E" w:rsidRDefault="00296B6B" w:rsidP="00296B6B">
      <w:pPr>
        <w:pStyle w:val="Heading4"/>
        <w:rPr>
          <w:u w:val="single"/>
        </w:rPr>
      </w:pPr>
      <w:r>
        <w:t xml:space="preserve">Items under the CCL are a </w:t>
      </w:r>
      <w:r>
        <w:rPr>
          <w:u w:val="single"/>
        </w:rPr>
        <w:t>distinct category</w:t>
      </w:r>
      <w:r>
        <w:t xml:space="preserve"> authorized by a </w:t>
      </w:r>
      <w:r>
        <w:rPr>
          <w:u w:val="single"/>
        </w:rPr>
        <w:t>different legal regime</w:t>
      </w:r>
    </w:p>
    <w:p w:rsidR="00296B6B" w:rsidRPr="002E5F1B" w:rsidRDefault="00296B6B" w:rsidP="00296B6B">
      <w:pPr>
        <w:rPr>
          <w:b/>
        </w:rPr>
      </w:pPr>
      <w:r w:rsidRPr="00195C7A">
        <w:rPr>
          <w:b/>
        </w:rPr>
        <w:t xml:space="preserve">Security Assistance Monitor, </w:t>
      </w:r>
      <w:r>
        <w:rPr>
          <w:b/>
        </w:rPr>
        <w:t>17 –</w:t>
      </w:r>
      <w:r w:rsidRPr="00852E6E">
        <w:rPr>
          <w:bCs/>
        </w:rPr>
        <w:t xml:space="preserve"> Security Assistance Monitor is a program of the Center for International Policy.  We track and analyze U.S. security sector assistance programs worldwide. (“Commerce Arms Sales (600 Series)” you have to click “read more” to bring up this text, Date according to Carbon Dating the Web, 6/7/17, </w:t>
      </w:r>
      <w:hyperlink r:id="rId43" w:history="1">
        <w:r w:rsidRPr="00852E6E">
          <w:rPr>
            <w:rStyle w:val="Hyperlink"/>
            <w:bCs/>
          </w:rPr>
          <w:t>https://securityassistance.org/content/commerce%20arms%20sales%20%28600%20series%29</w:t>
        </w:r>
      </w:hyperlink>
    </w:p>
    <w:p w:rsidR="00296B6B" w:rsidRDefault="00296B6B" w:rsidP="00296B6B">
      <w:r>
        <w:t xml:space="preserve">In July 2011, the White House announced an ongoing effort to reform the arms export control system in an effort to "facilitate cooperation with U.S. allies and export control regime partners, strengthen the competitiveness of sectors key to U.S. national security, and increase U.S. exports, while maintaining robust controls where appropriate to enhance our national security." One of the major aspects of this initiative, often referred to as </w:t>
      </w:r>
      <w:r w:rsidRPr="00852E6E">
        <w:rPr>
          <w:rStyle w:val="StyleUnderline"/>
        </w:rPr>
        <w:t xml:space="preserve">the Export Control Reform </w:t>
      </w:r>
      <w:proofErr w:type="spellStart"/>
      <w:r w:rsidRPr="00852E6E">
        <w:rPr>
          <w:rStyle w:val="StyleUnderline"/>
        </w:rPr>
        <w:t>Inititative</w:t>
      </w:r>
      <w:proofErr w:type="spellEnd"/>
      <w:r>
        <w:t xml:space="preserve">, was to </w:t>
      </w:r>
      <w:r w:rsidRPr="00852E6E">
        <w:rPr>
          <w:rStyle w:val="StyleUnderline"/>
        </w:rPr>
        <w:t>move tens of thousands of military equipment from the</w:t>
      </w:r>
      <w:r>
        <w:t xml:space="preserve"> strictly controlled </w:t>
      </w:r>
      <w:r w:rsidRPr="00852E6E">
        <w:rPr>
          <w:rStyle w:val="StyleUnderline"/>
        </w:rPr>
        <w:t>State</w:t>
      </w:r>
      <w:r>
        <w:t xml:space="preserve"> Department's </w:t>
      </w:r>
      <w:r w:rsidRPr="00852E6E">
        <w:rPr>
          <w:rStyle w:val="StyleUnderline"/>
        </w:rPr>
        <w:t>U.S. Munitions List to the more flexibly controlled Commerce Department's Commerce Control List</w:t>
      </w:r>
      <w:r>
        <w:t xml:space="preserve"> through </w:t>
      </w:r>
      <w:proofErr w:type="spellStart"/>
      <w:r>
        <w:t>regulartory</w:t>
      </w:r>
      <w:proofErr w:type="spellEnd"/>
      <w:r>
        <w:t xml:space="preserve"> changes. As of November 7, 2016, the United States completed </w:t>
      </w:r>
      <w:proofErr w:type="spellStart"/>
      <w:r>
        <w:t>regulartory</w:t>
      </w:r>
      <w:proofErr w:type="spellEnd"/>
      <w:r>
        <w:t xml:space="preserve"> changes to 17 of the 21 military categories on the U.S. Munitions List. This means that the </w:t>
      </w:r>
      <w:r w:rsidRPr="00852E6E">
        <w:rPr>
          <w:rStyle w:val="StyleUnderline"/>
        </w:rPr>
        <w:t xml:space="preserve">Commerce </w:t>
      </w:r>
      <w:r>
        <w:t xml:space="preserve">Department </w:t>
      </w:r>
      <w:r w:rsidRPr="00852E6E">
        <w:rPr>
          <w:rStyle w:val="StyleUnderline"/>
        </w:rPr>
        <w:t>is</w:t>
      </w:r>
      <w:r>
        <w:t xml:space="preserve"> now </w:t>
      </w:r>
      <w:r w:rsidRPr="00852E6E">
        <w:rPr>
          <w:rStyle w:val="StyleUnderline"/>
        </w:rPr>
        <w:t>the lead U.S. agency for reviewing and approving exports of the military items</w:t>
      </w:r>
      <w:r>
        <w:t xml:space="preserve"> now </w:t>
      </w:r>
      <w:r w:rsidRPr="00852E6E">
        <w:rPr>
          <w:rStyle w:val="StyleUnderline"/>
        </w:rPr>
        <w:t>on the</w:t>
      </w:r>
      <w:r>
        <w:t xml:space="preserve"> Commerce </w:t>
      </w:r>
      <w:proofErr w:type="gramStart"/>
      <w:r>
        <w:t xml:space="preserve">Department's  </w:t>
      </w:r>
      <w:r w:rsidRPr="00852E6E">
        <w:rPr>
          <w:rStyle w:val="StyleUnderline"/>
        </w:rPr>
        <w:t>Commerce</w:t>
      </w:r>
      <w:proofErr w:type="gramEnd"/>
      <w:r w:rsidRPr="00852E6E">
        <w:rPr>
          <w:rStyle w:val="StyleUnderline"/>
        </w:rPr>
        <w:t xml:space="preserve"> Control List</w:t>
      </w:r>
      <w:r>
        <w:t xml:space="preserve">. </w:t>
      </w:r>
      <w:r w:rsidRPr="00852E6E">
        <w:rPr>
          <w:rStyle w:val="StyleUnderline"/>
        </w:rPr>
        <w:t>The Security Assistance Monitor calls these commercial, foreign arms exports "Commerce Arms Sales (600 Series)."</w:t>
      </w:r>
      <w:r>
        <w:t xml:space="preserve">  The 600 Series refers to the fact that the Commerce Department's coding or ECCN for these military items always has a 6 in the 3rd place of a five digit code, for example, 9A610.</w:t>
      </w:r>
    </w:p>
    <w:p w:rsidR="00296B6B" w:rsidRDefault="00296B6B" w:rsidP="00296B6B">
      <w:pPr>
        <w:tabs>
          <w:tab w:val="left" w:pos="8085"/>
        </w:tabs>
      </w:pPr>
      <w:r>
        <w:tab/>
      </w:r>
    </w:p>
    <w:p w:rsidR="00296B6B" w:rsidRDefault="00296B6B" w:rsidP="00296B6B"/>
    <w:p w:rsidR="00E57861" w:rsidRDefault="00302A01" w:rsidP="001E148D">
      <w:pPr>
        <w:pStyle w:val="Heading3"/>
      </w:pPr>
      <w:r>
        <w:t xml:space="preserve">Both </w:t>
      </w:r>
      <w:r w:rsidR="00E57861">
        <w:t>FMS and DCS</w:t>
      </w:r>
    </w:p>
    <w:p w:rsidR="00E57861" w:rsidRDefault="00E57861" w:rsidP="00E57861">
      <w:pPr>
        <w:pStyle w:val="Heading4"/>
      </w:pPr>
      <w:r>
        <w:t xml:space="preserve">FMS is a </w:t>
      </w:r>
      <w:proofErr w:type="spellStart"/>
      <w:r>
        <w:t>gov</w:t>
      </w:r>
      <w:proofErr w:type="spellEnd"/>
      <w:r>
        <w:t xml:space="preserve"> to </w:t>
      </w:r>
      <w:proofErr w:type="spellStart"/>
      <w:r>
        <w:t>gov</w:t>
      </w:r>
      <w:proofErr w:type="spellEnd"/>
      <w:r>
        <w:t xml:space="preserve"> sale and DCS is private </w:t>
      </w:r>
      <w:proofErr w:type="spellStart"/>
      <w:r>
        <w:t>fore</w:t>
      </w:r>
      <w:r w:rsidR="000A0567">
        <w:t>s</w:t>
      </w:r>
      <w:r>
        <w:t>ign</w:t>
      </w:r>
      <w:proofErr w:type="spellEnd"/>
      <w:r>
        <w:t xml:space="preserve"> sale</w:t>
      </w:r>
    </w:p>
    <w:p w:rsidR="00E57861" w:rsidRDefault="00E57861" w:rsidP="00E57861">
      <w:r w:rsidRPr="00E57861">
        <w:rPr>
          <w:rStyle w:val="Style13ptBold"/>
        </w:rPr>
        <w:t xml:space="preserve">Gilman and Nichols </w:t>
      </w:r>
      <w:r>
        <w:rPr>
          <w:rStyle w:val="Style13ptBold"/>
        </w:rPr>
        <w:t xml:space="preserve">et al </w:t>
      </w:r>
      <w:r w:rsidRPr="00E57861">
        <w:rPr>
          <w:rStyle w:val="Style13ptBold"/>
        </w:rPr>
        <w:t>2014</w:t>
      </w:r>
      <w:r>
        <w:t xml:space="preserve"> (Derek Gilman, General Counsel for the Defense Security Cooperation Agency, Robert Nichols, Partner for Covington &amp; Burling LLP, Jade </w:t>
      </w:r>
      <w:proofErr w:type="spellStart"/>
      <w:r>
        <w:t>Totman</w:t>
      </w:r>
      <w:proofErr w:type="spellEnd"/>
      <w:r>
        <w:t xml:space="preserve">, Associate, Christine </w:t>
      </w:r>
      <w:proofErr w:type="spellStart"/>
      <w:r>
        <w:t>Minarich</w:t>
      </w:r>
      <w:proofErr w:type="spellEnd"/>
      <w:r>
        <w:t xml:space="preserve">, Associate, "Foreign Military Sales" and "Direct Commercial Sales"", September 30 2014, </w:t>
      </w:r>
      <w:hyperlink r:id="rId44" w:history="1">
        <w:r w:rsidRPr="004A67EA">
          <w:rPr>
            <w:rStyle w:val="Hyperlink"/>
          </w:rPr>
          <w:t>https://www.dsca.mil/sites/default/files/final-fms-dcs_30_sep.pdf</w:t>
        </w:r>
      </w:hyperlink>
      <w:r>
        <w:t>, mmv)</w:t>
      </w:r>
    </w:p>
    <w:p w:rsidR="00E57861" w:rsidRDefault="00E57861" w:rsidP="00E57861">
      <w:r>
        <w:t xml:space="preserve">International military sales are on the rise. While the United States and European Union are cutting their defense expenditures, several countries—particularly in East Asia, South Asia, the Middle East, and South America—are increasing expenditures. </w:t>
      </w:r>
      <w:r w:rsidRPr="00E57861">
        <w:rPr>
          <w:rStyle w:val="StyleUnderline"/>
        </w:rPr>
        <w:t>Hence, U.S. Contractors are increasingly seeking to sell products and services to these markets. There are two primary methods for doing so: government-to-government sales through the U.S. Government’s Foreign Military Sales (“FMS”) program</w:t>
      </w:r>
      <w:r>
        <w:t xml:space="preserve"> and similar mechanisms, </w:t>
      </w:r>
      <w:r w:rsidRPr="00E57861">
        <w:rPr>
          <w:rStyle w:val="StyleUnderline"/>
        </w:rPr>
        <w:t>and Direct Commercial Sales (“DCS”) negotiated directly between the contractor and the foreign customer</w:t>
      </w:r>
      <w:r>
        <w:t>. Both methods have existed for decades, but a novice to international sales has a steep learning curve regarding the complexities of each.</w:t>
      </w:r>
    </w:p>
    <w:p w:rsidR="00E57861" w:rsidRDefault="00E57861" w:rsidP="00E57861"/>
    <w:p w:rsidR="00302A01" w:rsidRDefault="00302A01" w:rsidP="00302A01">
      <w:pPr>
        <w:pStyle w:val="Heading4"/>
      </w:pPr>
      <w:r>
        <w:t>FMS and DCS are all done through the executive branch</w:t>
      </w:r>
    </w:p>
    <w:p w:rsidR="00302A01" w:rsidRPr="00302A01" w:rsidRDefault="00302A01" w:rsidP="00302A01">
      <w:r w:rsidRPr="00302A01">
        <w:rPr>
          <w:rStyle w:val="Style13ptBold"/>
        </w:rPr>
        <w:t>Martin et al 2010</w:t>
      </w:r>
      <w:r>
        <w:t xml:space="preserve"> (</w:t>
      </w:r>
      <w:proofErr w:type="spellStart"/>
      <w:r>
        <w:t>Belva</w:t>
      </w:r>
      <w:proofErr w:type="spellEnd"/>
      <w:r>
        <w:t xml:space="preserve"> Martin, Government Accountability Office Contact, John Neumann, Assistant Director; Marie Ahearn; Richard Brown; Sharron </w:t>
      </w:r>
      <w:proofErr w:type="spellStart"/>
      <w:r>
        <w:t>Candon</w:t>
      </w:r>
      <w:proofErr w:type="spellEnd"/>
      <w:r>
        <w:t xml:space="preserve">; Julia Kennon; Roxanna Sun; Robert </w:t>
      </w:r>
      <w:proofErr w:type="spellStart"/>
      <w:r>
        <w:t>Swierczek</w:t>
      </w:r>
      <w:proofErr w:type="spellEnd"/>
      <w:r>
        <w:t xml:space="preserve">; and Bradley Terry, "DEFENSE EXPORTS Reporting on Exported Articles and Services Needs to Be Improved", September 2010, United States Government Accountability Office, </w:t>
      </w:r>
      <w:hyperlink r:id="rId45" w:history="1">
        <w:r w:rsidRPr="004A67EA">
          <w:rPr>
            <w:rStyle w:val="Hyperlink"/>
          </w:rPr>
          <w:t>https://www.gao.gov/new.items/d10952.pdf</w:t>
        </w:r>
      </w:hyperlink>
      <w:r>
        <w:t>, mmv)</w:t>
      </w:r>
    </w:p>
    <w:p w:rsidR="00302A01" w:rsidRPr="00302A01" w:rsidRDefault="00302A01" w:rsidP="00302A01">
      <w:r w:rsidRPr="00302A01">
        <w:t>**DDTC = Directorate of Defense Trade Controls, agency in the Department of State**</w:t>
      </w:r>
    </w:p>
    <w:p w:rsidR="00302A01" w:rsidRPr="00302A01" w:rsidRDefault="00302A01" w:rsidP="00302A01">
      <w:r w:rsidRPr="00302A01">
        <w:rPr>
          <w:rStyle w:val="StyleUnderline"/>
        </w:rPr>
        <w:t>The Arms Export Control Act5 authorizes the President to control the export and import of defense articles and defense services</w:t>
      </w:r>
      <w:r>
        <w:t xml:space="preserve">. </w:t>
      </w:r>
      <w:r w:rsidRPr="00302A01">
        <w:rPr>
          <w:rStyle w:val="StyleUnderline"/>
        </w:rPr>
        <w:t>The statutory authority of the President to promulgate regulations with respect to exports of defense articles and defense services and designate those items to be considered defense articles and defense services6 for export control purposes has been delegated to the Secretary of State</w:t>
      </w:r>
      <w:r>
        <w:t xml:space="preserve">.7 State administers the arms export control system through requirements contained in the International Traffic in Arms Regulations (ITAR)8 and designates the articles and services deemed to be defense articles and defense services. These designations are made by State, with the concurrence of DOD, and constitute the United States Munitions List9 (USML), which comprises 21 major categories—for example Aircraft, Spacecraft, Military Electronics, and Guns and Armament—and more detailed subcategories. The ITAR also designates defense services subject to export controls, including furnishing assistance, technical data, or training to foreign entities. </w:t>
      </w:r>
      <w:r w:rsidRPr="00302A01">
        <w:rPr>
          <w:rStyle w:val="StyleUnderline"/>
        </w:rPr>
        <w:t>As defense exports are part of U.S. foreign policy, Congress requires reports to enable its oversight</w:t>
      </w:r>
      <w:r>
        <w:t xml:space="preserve">, including annual reports under the Foreign Assistance Act of 1961, as amended,10 Section 655 on defense exports, commonly referred to as Section 655 reports. </w:t>
      </w:r>
      <w:r w:rsidRPr="00302A01">
        <w:rPr>
          <w:rStyle w:val="StyleUnderline"/>
        </w:rPr>
        <w:t>U.S. defense articles and services generally can be exported to foreign entities in two ways—by FMS or DCS.</w:t>
      </w:r>
      <w:r>
        <w:t xml:space="preserve"> </w:t>
      </w:r>
      <w:r w:rsidRPr="00302A01">
        <w:rPr>
          <w:rStyle w:val="StyleUnderline"/>
        </w:rPr>
        <w:t>Under FMS, the U.S. government procures defense articles and services on behalf of the foreign entity</w:t>
      </w:r>
      <w:r>
        <w:t xml:space="preserve">. Countries approved to participate in this program may obtain defense articles and services by paying with their own funds or with funds provided through U.S. government-sponsored assistance programs. </w:t>
      </w:r>
      <w:r w:rsidRPr="00302A01">
        <w:rPr>
          <w:rStyle w:val="StyleUnderline"/>
        </w:rPr>
        <w:t>While State has overall regulatory responsibility for the FMS program and approves the export of defense articles and services, DOD’s DSCA directs the execution of the program, and the individual military departments implement the sale and export process. DOD bills foreign entities and tracks the export of articles and services through its financial systems</w:t>
      </w:r>
      <w:r>
        <w:t xml:space="preserve">. For FMS, an approved Letter of Offer and Acceptance authorizes the export. </w:t>
      </w:r>
      <w:r w:rsidRPr="00302A01">
        <w:rPr>
          <w:rStyle w:val="StyleUnderline"/>
        </w:rPr>
        <w:t>Under DCS, U.S. companies obtain permanent export licenses generally valid for 4 years</w:t>
      </w:r>
      <w:r w:rsidRPr="00302A01">
        <w:t>11</w:t>
      </w:r>
      <w:r>
        <w:t xml:space="preserve"> </w:t>
      </w:r>
      <w:r w:rsidRPr="00302A01">
        <w:rPr>
          <w:rStyle w:val="StyleUnderline"/>
        </w:rPr>
        <w:t>from State’s DDTC, which authorizes the export of defense articles and services directly to foreign entities</w:t>
      </w:r>
      <w:r>
        <w:t>. State also licenses defense articles for temporary export—when the article will be exported for a period of less than 4 years and will be returned to the United States without transfer of title. While most defense articles and services require a license for export, the ITAR contains numerous exemptions from licensing requirements that have defined conditions and limitations. For both FMS and DCS, the actual export of defense articles or services may occur years after the authorization—or may not take place at all.</w:t>
      </w:r>
    </w:p>
    <w:p w:rsidR="00302A01" w:rsidRPr="00E57861" w:rsidRDefault="00302A01" w:rsidP="00E57861"/>
    <w:sectPr w:rsidR="00302A01" w:rsidRPr="00E57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736920"/>
    <w:multiLevelType w:val="hybridMultilevel"/>
    <w:tmpl w:val="4466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650C7"/>
    <w:multiLevelType w:val="hybridMultilevel"/>
    <w:tmpl w:val="5062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46373156"/>
    <w:docVar w:name="VerbatimVersion" w:val="5.1"/>
  </w:docVars>
  <w:rsids>
    <w:rsidRoot w:val="009427D3"/>
    <w:rsid w:val="000139A3"/>
    <w:rsid w:val="00064B04"/>
    <w:rsid w:val="0009598A"/>
    <w:rsid w:val="000A0567"/>
    <w:rsid w:val="000E296D"/>
    <w:rsid w:val="00100833"/>
    <w:rsid w:val="00104529"/>
    <w:rsid w:val="00105942"/>
    <w:rsid w:val="00107396"/>
    <w:rsid w:val="00132358"/>
    <w:rsid w:val="00144A4C"/>
    <w:rsid w:val="00176AB0"/>
    <w:rsid w:val="00177B7D"/>
    <w:rsid w:val="0018322D"/>
    <w:rsid w:val="001B5776"/>
    <w:rsid w:val="001E148D"/>
    <w:rsid w:val="001E527A"/>
    <w:rsid w:val="001F26B7"/>
    <w:rsid w:val="001F78CE"/>
    <w:rsid w:val="00251FC7"/>
    <w:rsid w:val="002716BA"/>
    <w:rsid w:val="002845FA"/>
    <w:rsid w:val="002855A7"/>
    <w:rsid w:val="00292E32"/>
    <w:rsid w:val="00296B6B"/>
    <w:rsid w:val="002A0BE4"/>
    <w:rsid w:val="002B146A"/>
    <w:rsid w:val="002B5E17"/>
    <w:rsid w:val="00302A01"/>
    <w:rsid w:val="00315690"/>
    <w:rsid w:val="00316B75"/>
    <w:rsid w:val="00323F6C"/>
    <w:rsid w:val="00325646"/>
    <w:rsid w:val="003460F2"/>
    <w:rsid w:val="00346791"/>
    <w:rsid w:val="003706EA"/>
    <w:rsid w:val="00375DF7"/>
    <w:rsid w:val="0038158C"/>
    <w:rsid w:val="003902BA"/>
    <w:rsid w:val="003A09E2"/>
    <w:rsid w:val="003D170F"/>
    <w:rsid w:val="003F72FA"/>
    <w:rsid w:val="00407037"/>
    <w:rsid w:val="004605D6"/>
    <w:rsid w:val="004C3112"/>
    <w:rsid w:val="004C60E8"/>
    <w:rsid w:val="004E3579"/>
    <w:rsid w:val="004E728B"/>
    <w:rsid w:val="004F39E0"/>
    <w:rsid w:val="00537BD5"/>
    <w:rsid w:val="0057268A"/>
    <w:rsid w:val="005D2912"/>
    <w:rsid w:val="005D6AC8"/>
    <w:rsid w:val="005F090C"/>
    <w:rsid w:val="005F6E22"/>
    <w:rsid w:val="005F6F5E"/>
    <w:rsid w:val="006065BD"/>
    <w:rsid w:val="00645FA9"/>
    <w:rsid w:val="00647866"/>
    <w:rsid w:val="00665003"/>
    <w:rsid w:val="006A2AD0"/>
    <w:rsid w:val="006B43CD"/>
    <w:rsid w:val="006C2375"/>
    <w:rsid w:val="006D4ECC"/>
    <w:rsid w:val="00722258"/>
    <w:rsid w:val="007243E5"/>
    <w:rsid w:val="0075049C"/>
    <w:rsid w:val="00766EA0"/>
    <w:rsid w:val="00771464"/>
    <w:rsid w:val="007A2226"/>
    <w:rsid w:val="007F5B66"/>
    <w:rsid w:val="00802C12"/>
    <w:rsid w:val="008125A1"/>
    <w:rsid w:val="00823A1C"/>
    <w:rsid w:val="00845B9D"/>
    <w:rsid w:val="00860984"/>
    <w:rsid w:val="008B3ECB"/>
    <w:rsid w:val="008B4E85"/>
    <w:rsid w:val="008C1B2E"/>
    <w:rsid w:val="0091627E"/>
    <w:rsid w:val="009312E5"/>
    <w:rsid w:val="009427D3"/>
    <w:rsid w:val="0097032B"/>
    <w:rsid w:val="00980C5C"/>
    <w:rsid w:val="009A2F91"/>
    <w:rsid w:val="009D2EAD"/>
    <w:rsid w:val="009D3510"/>
    <w:rsid w:val="009D54B2"/>
    <w:rsid w:val="009E1922"/>
    <w:rsid w:val="009F7ED2"/>
    <w:rsid w:val="00A81936"/>
    <w:rsid w:val="00A93661"/>
    <w:rsid w:val="00A95652"/>
    <w:rsid w:val="00AC0AB8"/>
    <w:rsid w:val="00B33C6D"/>
    <w:rsid w:val="00B4508F"/>
    <w:rsid w:val="00B55AD5"/>
    <w:rsid w:val="00B801A7"/>
    <w:rsid w:val="00B8057C"/>
    <w:rsid w:val="00BD6238"/>
    <w:rsid w:val="00BE09DE"/>
    <w:rsid w:val="00BF593B"/>
    <w:rsid w:val="00BF773A"/>
    <w:rsid w:val="00BF7E81"/>
    <w:rsid w:val="00C13773"/>
    <w:rsid w:val="00C17CC8"/>
    <w:rsid w:val="00C83417"/>
    <w:rsid w:val="00C9604F"/>
    <w:rsid w:val="00CA19AA"/>
    <w:rsid w:val="00CC5298"/>
    <w:rsid w:val="00CC7D5A"/>
    <w:rsid w:val="00CD736E"/>
    <w:rsid w:val="00CD798D"/>
    <w:rsid w:val="00CE161E"/>
    <w:rsid w:val="00CF59A8"/>
    <w:rsid w:val="00D004C5"/>
    <w:rsid w:val="00D25E30"/>
    <w:rsid w:val="00D325A9"/>
    <w:rsid w:val="00D36A8A"/>
    <w:rsid w:val="00D61409"/>
    <w:rsid w:val="00D6691E"/>
    <w:rsid w:val="00D71170"/>
    <w:rsid w:val="00D92FFA"/>
    <w:rsid w:val="00DA1C92"/>
    <w:rsid w:val="00DA25D4"/>
    <w:rsid w:val="00DA6538"/>
    <w:rsid w:val="00DF2AB6"/>
    <w:rsid w:val="00E15E75"/>
    <w:rsid w:val="00E5262C"/>
    <w:rsid w:val="00E57861"/>
    <w:rsid w:val="00E701F4"/>
    <w:rsid w:val="00EC7DC4"/>
    <w:rsid w:val="00ED30CF"/>
    <w:rsid w:val="00EE33C4"/>
    <w:rsid w:val="00F072CF"/>
    <w:rsid w:val="00F176EF"/>
    <w:rsid w:val="00F45E10"/>
    <w:rsid w:val="00F6364A"/>
    <w:rsid w:val="00F9113A"/>
    <w:rsid w:val="00F933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314A3-5919-4BA2-94CD-7285A7495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C7D5A"/>
    <w:pPr>
      <w:spacing w:after="0" w:line="240" w:lineRule="auto"/>
    </w:pPr>
    <w:rPr>
      <w:rFonts w:ascii="Calibri" w:hAnsi="Calibri"/>
    </w:rPr>
  </w:style>
  <w:style w:type="paragraph" w:styleId="Heading1">
    <w:name w:val="heading 1"/>
    <w:aliases w:val="Pocket"/>
    <w:basedOn w:val="Normal"/>
    <w:next w:val="Normal"/>
    <w:link w:val="Heading1Char"/>
    <w:qFormat/>
    <w:rsid w:val="00CC7D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C7D5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CC7D5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autoRedefine/>
    <w:uiPriority w:val="3"/>
    <w:unhideWhenUsed/>
    <w:qFormat/>
    <w:rsid w:val="00CC7D5A"/>
    <w:pPr>
      <w:keepNext/>
      <w:keepLines/>
      <w:outlineLvl w:val="3"/>
    </w:pPr>
    <w:rPr>
      <w:rFonts w:eastAsiaTheme="majorEastAsia" w:cstheme="majorBidi"/>
      <w:b/>
      <w:iCs/>
      <w:sz w:val="26"/>
    </w:rPr>
  </w:style>
  <w:style w:type="character" w:default="1" w:styleId="DefaultParagraphFont">
    <w:name w:val="Default Paragraph Font"/>
    <w:uiPriority w:val="1"/>
    <w:semiHidden/>
    <w:unhideWhenUsed/>
    <w:rsid w:val="00CC7D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D5A"/>
  </w:style>
  <w:style w:type="character" w:customStyle="1" w:styleId="Heading1Char">
    <w:name w:val="Heading 1 Char"/>
    <w:aliases w:val="Pocket Char"/>
    <w:basedOn w:val="DefaultParagraphFont"/>
    <w:link w:val="Heading1"/>
    <w:rsid w:val="00CC7D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7D5A"/>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CC7D5A"/>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CC7D5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CC7D5A"/>
    <w:rPr>
      <w:rFonts w:ascii="Calibri" w:hAnsi="Calibri"/>
      <w:b/>
      <w:i w:val="0"/>
      <w:iCs/>
      <w:sz w:val="22"/>
      <w:u w:val="single"/>
      <w:bdr w:val="single" w:sz="12" w:space="0" w:color="auto"/>
    </w:rPr>
  </w:style>
  <w:style w:type="paragraph" w:customStyle="1" w:styleId="textbold">
    <w:name w:val="text bold"/>
    <w:basedOn w:val="Normal"/>
    <w:link w:val="Emphasis"/>
    <w:uiPriority w:val="7"/>
    <w:qFormat/>
    <w:rsid w:val="00302A01"/>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C7D5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CC7D5A"/>
    <w:rPr>
      <w:b/>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CC7D5A"/>
    <w:rPr>
      <w:color w:val="auto"/>
      <w:u w:val="non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302A0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CC7D5A"/>
    <w:rPr>
      <w:color w:val="auto"/>
      <w:u w:val="none"/>
    </w:rPr>
  </w:style>
  <w:style w:type="character" w:customStyle="1" w:styleId="verdana">
    <w:name w:val="verdana"/>
    <w:basedOn w:val="DefaultParagraphFont"/>
    <w:rsid w:val="00CC7D5A"/>
    <w:rPr>
      <w:rFonts w:cs="Times New Roman"/>
    </w:rPr>
  </w:style>
  <w:style w:type="character" w:customStyle="1" w:styleId="italic">
    <w:name w:val="italic"/>
    <w:basedOn w:val="DefaultParagraphFont"/>
    <w:rsid w:val="00CC7D5A"/>
    <w:rPr>
      <w:rFonts w:cs="Times New Roman"/>
    </w:rPr>
  </w:style>
  <w:style w:type="character" w:customStyle="1" w:styleId="UnderlineChar">
    <w:name w:val="Underline Char"/>
    <w:basedOn w:val="DefaultParagraphFont"/>
    <w:rsid w:val="00CC7D5A"/>
    <w:rPr>
      <w:rFonts w:ascii="Georgia" w:eastAsia="Calibri" w:hAnsi="Georgia"/>
      <w:sz w:val="22"/>
      <w:szCs w:val="22"/>
      <w:u w:val="single"/>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CC7D5A"/>
    <w:rPr>
      <w:rFonts w:ascii="Garamond" w:hAnsi="Garamond"/>
      <w:b/>
      <w:szCs w:val="28"/>
      <w:lang w:val="en-US" w:eastAsia="en-US" w:bidi="ar-SA"/>
    </w:rPr>
  </w:style>
  <w:style w:type="character" w:customStyle="1" w:styleId="hit">
    <w:name w:val="hit"/>
    <w:basedOn w:val="DefaultParagraphFont"/>
    <w:rsid w:val="00CC7D5A"/>
    <w:rPr>
      <w:rFonts w:cs="Times New Roman"/>
    </w:rPr>
  </w:style>
  <w:style w:type="character" w:customStyle="1" w:styleId="bold">
    <w:name w:val="bold"/>
    <w:rsid w:val="00CC7D5A"/>
  </w:style>
  <w:style w:type="character" w:customStyle="1" w:styleId="ssl4">
    <w:name w:val="ss_l4"/>
    <w:rsid w:val="00CC7D5A"/>
  </w:style>
  <w:style w:type="character" w:customStyle="1" w:styleId="Style11ptBlackUnderline">
    <w:name w:val="Style 11 pt Black Underline"/>
    <w:basedOn w:val="DefaultParagraphFont"/>
    <w:rsid w:val="00CC7D5A"/>
    <w:rPr>
      <w:color w:val="000000"/>
      <w:sz w:val="20"/>
      <w:u w:val="single"/>
    </w:rPr>
  </w:style>
  <w:style w:type="character" w:customStyle="1" w:styleId="Style11ptBlack">
    <w:name w:val="Style 11 pt Black"/>
    <w:basedOn w:val="DefaultParagraphFont"/>
    <w:rsid w:val="00CC7D5A"/>
    <w:rPr>
      <w:color w:val="000000"/>
      <w:sz w:val="20"/>
    </w:rPr>
  </w:style>
  <w:style w:type="character" w:customStyle="1" w:styleId="apple-converted-space">
    <w:name w:val="apple-converted-space"/>
    <w:rsid w:val="00CC7D5A"/>
  </w:style>
  <w:style w:type="character" w:customStyle="1" w:styleId="blue">
    <w:name w:val="blue"/>
    <w:rsid w:val="00CC7D5A"/>
  </w:style>
  <w:style w:type="character" w:customStyle="1" w:styleId="Style1Char1">
    <w:name w:val="Style1 Char1"/>
    <w:basedOn w:val="DefaultParagraphFont"/>
    <w:rsid w:val="00CC7D5A"/>
    <w:rPr>
      <w:rFonts w:ascii="Calibri" w:eastAsia="SimSun" w:hAnsi="Calibri"/>
      <w:szCs w:val="24"/>
      <w:u w:val="single"/>
      <w:lang w:eastAsia="zh-CN"/>
    </w:rPr>
  </w:style>
  <w:style w:type="character" w:customStyle="1" w:styleId="Style11ptUnderline">
    <w:name w:val="Style 11 pt Underline"/>
    <w:basedOn w:val="DefaultParagraphFont"/>
    <w:rsid w:val="00CC7D5A"/>
    <w:rPr>
      <w:sz w:val="20"/>
      <w:u w:val="single"/>
    </w:rPr>
  </w:style>
  <w:style w:type="character" w:customStyle="1" w:styleId="Style11pt">
    <w:name w:val="Style 11 pt"/>
    <w:basedOn w:val="DefaultParagraphFont"/>
    <w:rsid w:val="00CC7D5A"/>
    <w:rPr>
      <w:sz w:val="20"/>
    </w:rPr>
  </w:style>
  <w:style w:type="character" w:customStyle="1" w:styleId="Style1Char">
    <w:name w:val="Style1 Char"/>
    <w:basedOn w:val="DefaultParagraphFont"/>
    <w:rsid w:val="00CC7D5A"/>
    <w:rPr>
      <w:rFonts w:eastAsia="SimSun"/>
      <w:sz w:val="20"/>
      <w:szCs w:val="24"/>
      <w:u w:val="single"/>
      <w:lang w:val="en-US" w:eastAsia="zh-CN" w:bidi="ar-SA"/>
    </w:rPr>
  </w:style>
  <w:style w:type="character" w:customStyle="1" w:styleId="Style12ptBold">
    <w:name w:val="Style 12 pt Bold"/>
    <w:basedOn w:val="DefaultParagraphFont"/>
    <w:rsid w:val="00CC7D5A"/>
    <w:rPr>
      <w:b/>
      <w:bCs/>
      <w:sz w:val="20"/>
    </w:rPr>
  </w:style>
  <w:style w:type="character" w:customStyle="1" w:styleId="Style4Char">
    <w:name w:val="Style4 Char"/>
    <w:basedOn w:val="DefaultParagraphFont"/>
    <w:link w:val="Style4"/>
    <w:rsid w:val="00CC7D5A"/>
    <w:rPr>
      <w:rFonts w:ascii="Arial Narrow" w:hAnsi="Arial Narrow"/>
      <w:szCs w:val="24"/>
      <w:u w:val="single"/>
    </w:rPr>
  </w:style>
  <w:style w:type="paragraph" w:customStyle="1" w:styleId="Style4">
    <w:name w:val="Style4"/>
    <w:basedOn w:val="Normal"/>
    <w:link w:val="Style4Char"/>
    <w:rsid w:val="00CC7D5A"/>
    <w:rPr>
      <w:rFonts w:ascii="Arial Narrow" w:hAnsi="Arial Narrow"/>
      <w:szCs w:val="24"/>
      <w:u w:val="single"/>
    </w:rPr>
  </w:style>
  <w:style w:type="character" w:customStyle="1" w:styleId="cardtextChar">
    <w:name w:val="card text Char"/>
    <w:basedOn w:val="DefaultParagraphFont"/>
    <w:link w:val="cardtext"/>
    <w:locked/>
    <w:rsid w:val="00CC7D5A"/>
  </w:style>
  <w:style w:type="paragraph" w:customStyle="1" w:styleId="cardtext">
    <w:name w:val="card text"/>
    <w:basedOn w:val="Normal"/>
    <w:link w:val="cardtextChar"/>
    <w:qFormat/>
    <w:rsid w:val="00CC7D5A"/>
    <w:pPr>
      <w:ind w:left="288" w:right="288"/>
    </w:pPr>
    <w:rPr>
      <w:rFonts w:asciiTheme="minorHAnsi" w:hAnsiTheme="minorHAnsi"/>
    </w:rPr>
  </w:style>
  <w:style w:type="character" w:customStyle="1" w:styleId="underline">
    <w:name w:val="underline"/>
    <w:basedOn w:val="DefaultParagraphFont"/>
    <w:qFormat/>
    <w:rsid w:val="00CC7D5A"/>
    <w:rPr>
      <w:rFonts w:ascii="Times New Roman" w:hAnsi="Times New Roman"/>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CC7D5A"/>
    <w:rPr>
      <w:sz w:val="20"/>
      <w:u w:val="single"/>
    </w:rPr>
  </w:style>
  <w:style w:type="paragraph" w:styleId="Title">
    <w:name w:val="Title"/>
    <w:aliases w:val="title,UNDERLINE,Cites and Cards,Bold Underlined,Block Heading"/>
    <w:basedOn w:val="Normal"/>
    <w:next w:val="Normal"/>
    <w:link w:val="TitleChar"/>
    <w:uiPriority w:val="6"/>
    <w:qFormat/>
    <w:rsid w:val="00CC7D5A"/>
    <w:pPr>
      <w:outlineLvl w:val="0"/>
    </w:pPr>
    <w:rPr>
      <w:rFonts w:asciiTheme="minorHAnsi" w:hAnsiTheme="minorHAnsi"/>
      <w:sz w:val="20"/>
      <w:u w:val="single"/>
    </w:rPr>
  </w:style>
  <w:style w:type="character" w:customStyle="1" w:styleId="TitleChar1">
    <w:name w:val="Title Char1"/>
    <w:basedOn w:val="DefaultParagraphFont"/>
    <w:uiPriority w:val="99"/>
    <w:semiHidden/>
    <w:rsid w:val="00CC7D5A"/>
    <w:rPr>
      <w:rFonts w:asciiTheme="majorHAnsi" w:eastAsiaTheme="majorEastAsia" w:hAnsiTheme="majorHAnsi" w:cstheme="majorBidi"/>
      <w:spacing w:val="-10"/>
      <w:kern w:val="28"/>
      <w:sz w:val="56"/>
      <w:szCs w:val="56"/>
    </w:rPr>
  </w:style>
  <w:style w:type="character" w:customStyle="1" w:styleId="ital-inline">
    <w:name w:val="ital-inline"/>
    <w:basedOn w:val="DefaultParagraphFont"/>
    <w:rsid w:val="00CC7D5A"/>
  </w:style>
  <w:style w:type="character" w:customStyle="1" w:styleId="senselabelstart">
    <w:name w:val="sense_label start"/>
    <w:basedOn w:val="DefaultParagraphFont"/>
    <w:rsid w:val="00CC7D5A"/>
  </w:style>
  <w:style w:type="character" w:customStyle="1" w:styleId="sensecontent">
    <w:name w:val="sense_content"/>
    <w:basedOn w:val="DefaultParagraphFont"/>
    <w:rsid w:val="00CC7D5A"/>
  </w:style>
  <w:style w:type="character" w:customStyle="1" w:styleId="vi">
    <w:name w:val="vi"/>
    <w:basedOn w:val="DefaultParagraphFont"/>
    <w:rsid w:val="00CC7D5A"/>
  </w:style>
  <w:style w:type="character" w:customStyle="1" w:styleId="senselabel">
    <w:name w:val="sense_label"/>
    <w:basedOn w:val="DefaultParagraphFont"/>
    <w:rsid w:val="00CC7D5A"/>
  </w:style>
  <w:style w:type="character" w:styleId="HTMLCite">
    <w:name w:val="HTML Cite"/>
    <w:uiPriority w:val="99"/>
    <w:rsid w:val="00CC7D5A"/>
    <w:rPr>
      <w:i/>
      <w:iCs/>
    </w:rPr>
  </w:style>
  <w:style w:type="paragraph" w:styleId="ListParagraph">
    <w:name w:val="List Paragraph"/>
    <w:basedOn w:val="Normal"/>
    <w:uiPriority w:val="99"/>
    <w:unhideWhenUsed/>
    <w:qFormat/>
    <w:rsid w:val="00CC7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564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pri.org/databases/armsindustry/sources-and-methods" TargetMode="External"/><Relationship Id="rId13" Type="http://schemas.openxmlformats.org/officeDocument/2006/relationships/hyperlink" Target="https://fas.org/sgp/crs/weapons/IF11197.pdf" TargetMode="External"/><Relationship Id="rId18" Type="http://schemas.openxmlformats.org/officeDocument/2006/relationships/hyperlink" Target="https://www.discs.dsca.mil/documents/greenbook/15_Chapter.pdf?id=1" TargetMode="External"/><Relationship Id="rId26" Type="http://schemas.openxmlformats.org/officeDocument/2006/relationships/hyperlink" Target="https://www.trade.gov/td/otm/assets/aero/DefHB_FULL.pdf" TargetMode="External"/><Relationship Id="rId39" Type="http://schemas.openxmlformats.org/officeDocument/2006/relationships/hyperlink" Target="https://scholar.princeton.edu/sites/default/files/kyarhi/files/to_arm_or_to_ally.pdf" TargetMode="External"/><Relationship Id="rId3" Type="http://schemas.openxmlformats.org/officeDocument/2006/relationships/styles" Target="styles.xml"/><Relationship Id="rId21" Type="http://schemas.openxmlformats.org/officeDocument/2006/relationships/hyperlink" Target="https://www.jcs.mil/Portals/36/Documents/Doctrine/pubs/dictionary.pdf" TargetMode="External"/><Relationship Id="rId34" Type="http://schemas.openxmlformats.org/officeDocument/2006/relationships/hyperlink" Target="http://armstrade.sipri.org/armstrade/page/values.php" TargetMode="External"/><Relationship Id="rId42"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7" Type="http://schemas.openxmlformats.org/officeDocument/2006/relationships/theme" Target="theme/theme1.xml"/><Relationship Id="rId7" Type="http://schemas.openxmlformats.org/officeDocument/2006/relationships/hyperlink" Target="https://www.samm.dsca.mil/listing/esamm-glossary" TargetMode="External"/><Relationship Id="rId12" Type="http://schemas.openxmlformats.org/officeDocument/2006/relationships/hyperlink" Target="https://www.armscontrol.org/act/2010_07-08/holtom-bromley" TargetMode="External"/><Relationship Id="rId17" Type="http://schemas.openxmlformats.org/officeDocument/2006/relationships/hyperlink" Target="https://www.forumarmstrade.org/hspolicydebate.html" TargetMode="External"/><Relationship Id="rId25" Type="http://schemas.openxmlformats.org/officeDocument/2006/relationships/hyperlink" Target="https://fas.org/sgp/crs/weapons/IF11197.pdf" TargetMode="External"/><Relationship Id="rId33" Type="http://schemas.openxmlformats.org/officeDocument/2006/relationships/hyperlink" Target="https://www.gao.gov/new.items/d10952.pdf" TargetMode="External"/><Relationship Id="rId38" Type="http://schemas.openxmlformats.org/officeDocument/2006/relationships/hyperlink" Target="https://www.gao.gov/new.items/d10952.pdf"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sca.mil/sites/default/files/final-fms-dcs_30_sep.pdf" TargetMode="External"/><Relationship Id="rId20" Type="http://schemas.openxmlformats.org/officeDocument/2006/relationships/hyperlink" Target="https://www.dsca.mil/programs/foreign-military-sales-fms" TargetMode="External"/><Relationship Id="rId29" Type="http://schemas.openxmlformats.org/officeDocument/2006/relationships/hyperlink" Target="http://armstrade.sipri.org/armstrade/page/values.php" TargetMode="External"/><Relationship Id="rId41"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 Type="http://schemas.openxmlformats.org/officeDocument/2006/relationships/customXml" Target="../customXml/item1.xml"/><Relationship Id="rId6" Type="http://schemas.openxmlformats.org/officeDocument/2006/relationships/hyperlink" Target="https://www.gao.gov/assets/650/648264.pdf" TargetMode="External"/><Relationship Id="rId11" Type="http://schemas.openxmlformats.org/officeDocument/2006/relationships/hyperlink" Target="https://www.ohchr.org/Documents/Issues/RuleOfLaw/ArmsTransfers/OmegaResearchFoundation.pdf" TargetMode="External"/><Relationship Id="rId24" Type="http://schemas.openxmlformats.org/officeDocument/2006/relationships/hyperlink" Target="https://www.dsca.mil/programs/foreign-military-sales-fms" TargetMode="External"/><Relationship Id="rId32" Type="http://schemas.openxmlformats.org/officeDocument/2006/relationships/hyperlink" Target="http://www.sipri.org/databases/armstransfers/sources-and-methods/" TargetMode="External"/><Relationship Id="rId37" Type="http://schemas.openxmlformats.org/officeDocument/2006/relationships/hyperlink" Target="https://www.gao.gov/new.items/d10952.pdf" TargetMode="External"/><Relationship Id="rId40"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45" Type="http://schemas.openxmlformats.org/officeDocument/2006/relationships/hyperlink" Target="https://www.gao.gov/new.items/d10952.pdf" TargetMode="External"/><Relationship Id="rId5" Type="http://schemas.openxmlformats.org/officeDocument/2006/relationships/webSettings" Target="webSettings.xml"/><Relationship Id="rId15" Type="http://schemas.openxmlformats.org/officeDocument/2006/relationships/hyperlink" Target="https://securityassistance.org/content/direct%20commercial%20sales" TargetMode="External"/><Relationship Id="rId23" Type="http://schemas.openxmlformats.org/officeDocument/2006/relationships/hyperlink" Target="https://www.state.gov/u-s-arms-sales-and-defense-trade/" TargetMode="External"/><Relationship Id="rId28" Type="http://schemas.openxmlformats.org/officeDocument/2006/relationships/hyperlink" Target="https://www.govinfo.gov/content/pkg/USCOURTS-txsd-4_07-cv-03985/pdf/USCOURTS-txsd-4_07-cv-03985-1.pdf" TargetMode="External"/><Relationship Id="rId36" Type="http://schemas.openxmlformats.org/officeDocument/2006/relationships/hyperlink" Target="http://www.sipri.org/databases/armstransfers/sources-and-methods/" TargetMode="External"/><Relationship Id="rId10" Type="http://schemas.openxmlformats.org/officeDocument/2006/relationships/hyperlink" Target="https://www.ohchr.org/Documents/Issues/RuleOfLaw/ArmsTransfers/OmegaResearchFoundation.pdf" TargetMode="External"/><Relationship Id="rId19" Type="http://schemas.openxmlformats.org/officeDocument/2006/relationships/hyperlink" Target="https://fas.org/sgp/crs/weapons/IF11197.pdf" TargetMode="External"/><Relationship Id="rId31" Type="http://schemas.openxmlformats.org/officeDocument/2006/relationships/hyperlink" Target="http://armstrade.sipri.org/armstrade/page/values.php" TargetMode="External"/><Relationship Id="rId44" Type="http://schemas.openxmlformats.org/officeDocument/2006/relationships/hyperlink" Target="https://www.dsca.mil/sites/default/files/final-fms-dcs_30_sep.pdf" TargetMode="External"/><Relationship Id="rId4" Type="http://schemas.openxmlformats.org/officeDocument/2006/relationships/settings" Target="settings.xml"/><Relationship Id="rId9" Type="http://schemas.openxmlformats.org/officeDocument/2006/relationships/hyperlink" Target="https://www.armscontrol.org/act/2010_07-08/holtom-bromley" TargetMode="External"/><Relationship Id="rId14" Type="http://schemas.openxmlformats.org/officeDocument/2006/relationships/hyperlink" Target="https://www.dsca.mil/sites/default/files/final-fms-dcs_30_sep.pdf" TargetMode="External"/><Relationship Id="rId22" Type="http://schemas.openxmlformats.org/officeDocument/2006/relationships/hyperlink" Target="https://www.discs.dsca.mil/documents/greenbook/15_Chapter.pdf?id=1" TargetMode="External"/><Relationship Id="rId27" Type="http://schemas.openxmlformats.org/officeDocument/2006/relationships/hyperlink" Target="http://scholarship.law.missouri.edu/mlr/vol53/iss2/8" TargetMode="External"/><Relationship Id="rId30" Type="http://schemas.openxmlformats.org/officeDocument/2006/relationships/chart" Target="charts/chart1.xml"/><Relationship Id="rId35" Type="http://schemas.openxmlformats.org/officeDocument/2006/relationships/chart" Target="charts/chart2.xml"/><Relationship Id="rId43" Type="http://schemas.openxmlformats.org/officeDocument/2006/relationships/hyperlink" Target="https://securityassistance.org/content/commerce%20arms%20sales%20%28600%20series%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nmvoss\AppData\Roaming\Microsoft\Templates\Debate.do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heidt\Downloads\Chart%20-%20Arms%20Sales%20TIV%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heidt\Downloads\TIV-Export-USA-2014-2018%20(2).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95000"/>
                    <a:lumOff val="5000"/>
                  </a:schemeClr>
                </a:solidFill>
                <a:latin typeface="+mn-lt"/>
                <a:ea typeface="+mn-ea"/>
                <a:cs typeface="+mn-cs"/>
              </a:defRPr>
            </a:pPr>
            <a:r>
              <a:rPr lang="en-US">
                <a:latin typeface="Cambria" panose="02040503050406030204" pitchFamily="18" charset="0"/>
                <a:ea typeface="Cambria" panose="02040503050406030204" pitchFamily="18" charset="0"/>
              </a:rPr>
              <a:t>TIV of arms exports from united states, 2014-2018</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95000"/>
                  <a:lumOff val="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A1B2-4FD0-88E9-3CBF145F6DD4}"/>
              </c:ext>
            </c:extLst>
          </c:dPt>
          <c:dPt>
            <c:idx val="1"/>
            <c:bubble3D val="0"/>
            <c:spPr>
              <a:solidFill>
                <a:schemeClr val="accent3"/>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A1B2-4FD0-88E9-3CBF145F6DD4}"/>
              </c:ext>
            </c:extLst>
          </c:dPt>
          <c:dPt>
            <c:idx val="2"/>
            <c:bubble3D val="0"/>
            <c:spPr>
              <a:solidFill>
                <a:schemeClr val="accent5"/>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A1B2-4FD0-88E9-3CBF145F6DD4}"/>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A1B2-4FD0-88E9-3CBF145F6DD4}"/>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A1B2-4FD0-88E9-3CBF145F6DD4}"/>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A1B2-4FD0-88E9-3CBF145F6DD4}"/>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D-A1B2-4FD0-88E9-3CBF145F6DD4}"/>
              </c:ext>
            </c:extLst>
          </c:dPt>
          <c:dPt>
            <c:idx val="7"/>
            <c:bubble3D val="0"/>
            <c:spPr>
              <a:solidFill>
                <a:schemeClr val="accent3">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F-A1B2-4FD0-88E9-3CBF145F6DD4}"/>
              </c:ext>
            </c:extLst>
          </c:dPt>
          <c:dPt>
            <c:idx val="8"/>
            <c:bubble3D val="0"/>
            <c:spPr>
              <a:solidFill>
                <a:schemeClr val="accent5">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1-A1B2-4FD0-88E9-3CBF145F6DD4}"/>
              </c:ext>
            </c:extLst>
          </c:dPt>
          <c:dPt>
            <c:idx val="9"/>
            <c:bubble3D val="0"/>
            <c:spPr>
              <a:solidFill>
                <a:schemeClr val="accent1">
                  <a:lumMod val="8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3-A1B2-4FD0-88E9-3CBF145F6DD4}"/>
              </c:ext>
            </c:extLst>
          </c:dPt>
          <c:dPt>
            <c:idx val="10"/>
            <c:bubble3D val="0"/>
            <c:spPr>
              <a:solidFill>
                <a:schemeClr val="accent3">
                  <a:lumMod val="8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5-A1B2-4FD0-88E9-3CBF145F6DD4}"/>
              </c:ext>
            </c:extLst>
          </c:dPt>
          <c:dPt>
            <c:idx val="11"/>
            <c:bubble3D val="0"/>
            <c:spPr>
              <a:solidFill>
                <a:schemeClr val="accent5">
                  <a:lumMod val="8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7-A1B2-4FD0-88E9-3CBF145F6DD4}"/>
              </c:ext>
            </c:extLst>
          </c:dPt>
          <c:dPt>
            <c:idx val="12"/>
            <c:bubble3D val="0"/>
            <c:spPr>
              <a:solidFill>
                <a:schemeClr val="accent1">
                  <a:lumMod val="60000"/>
                  <a:lumOff val="4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9-A1B2-4FD0-88E9-3CBF145F6DD4}"/>
              </c:ext>
            </c:extLst>
          </c:dPt>
          <c:dPt>
            <c:idx val="13"/>
            <c:bubble3D val="0"/>
            <c:spPr>
              <a:solidFill>
                <a:schemeClr val="accent3">
                  <a:lumMod val="60000"/>
                  <a:lumOff val="4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B-A1B2-4FD0-88E9-3CBF145F6DD4}"/>
              </c:ext>
            </c:extLst>
          </c:dPt>
          <c:dLbls>
            <c:dLbl>
              <c:idx val="0"/>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1"/>
              <c:layout>
                <c:manualLayout>
                  <c:x val="-1.1716972380466806E-2"/>
                  <c:y val="0"/>
                </c:manualLayout>
              </c:layout>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A1B2-4FD0-88E9-3CBF145F6DD4}"/>
                </c:ext>
                <c:ext xmlns:c15="http://schemas.microsoft.com/office/drawing/2012/chart" uri="{CE6537A1-D6FC-4f65-9D91-7224C49458BB}"/>
              </c:extLst>
            </c:dLbl>
            <c:dLbl>
              <c:idx val="2"/>
              <c:layout>
                <c:manualLayout>
                  <c:x val="-8.7877292853500242E-3"/>
                  <c:y val="0"/>
                </c:manualLayout>
              </c:layout>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A1B2-4FD0-88E9-3CBF145F6DD4}"/>
                </c:ext>
                <c:ext xmlns:c15="http://schemas.microsoft.com/office/drawing/2012/chart" uri="{CE6537A1-D6FC-4f65-9D91-7224C49458BB}"/>
              </c:extLst>
            </c:dLbl>
            <c:dLbl>
              <c:idx val="3"/>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4"/>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5"/>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6"/>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7"/>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8"/>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9"/>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10"/>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11"/>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12"/>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dLbl>
              <c:idx val="13"/>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dLbl>
            <c:numFmt formatCode="0.0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(1) (1'!$A$103:$A$116</c:f>
              <c:strCache>
                <c:ptCount val="14"/>
                <c:pt idx="0">
                  <c:v>Egypt</c:v>
                </c:pt>
                <c:pt idx="1">
                  <c:v>UK</c:v>
                </c:pt>
                <c:pt idx="2">
                  <c:v>India</c:v>
                </c:pt>
                <c:pt idx="3">
                  <c:v>Israel</c:v>
                </c:pt>
                <c:pt idx="4">
                  <c:v>Qatar</c:v>
                </c:pt>
                <c:pt idx="5">
                  <c:v>Japan</c:v>
                </c:pt>
                <c:pt idx="6">
                  <c:v>Turkey</c:v>
                </c:pt>
                <c:pt idx="7">
                  <c:v>South Korea</c:v>
                </c:pt>
                <c:pt idx="8">
                  <c:v>Taiwan</c:v>
                </c:pt>
                <c:pt idx="9">
                  <c:v>Iraq</c:v>
                </c:pt>
                <c:pt idx="10">
                  <c:v>UAE</c:v>
                </c:pt>
                <c:pt idx="11">
                  <c:v>Australia</c:v>
                </c:pt>
                <c:pt idx="12">
                  <c:v>Saudi Arabia</c:v>
                </c:pt>
                <c:pt idx="13">
                  <c:v>Others</c:v>
                </c:pt>
              </c:strCache>
            </c:strRef>
          </c:cat>
          <c:val>
            <c:numRef>
              <c:f>'TIV-Export-USA-2014-2018 (1) (1'!$B$103:$B$116</c:f>
              <c:numCache>
                <c:formatCode>General</c:formatCode>
                <c:ptCount val="14"/>
                <c:pt idx="0">
                  <c:v>1415</c:v>
                </c:pt>
                <c:pt idx="1">
                  <c:v>1680</c:v>
                </c:pt>
                <c:pt idx="2">
                  <c:v>1711</c:v>
                </c:pt>
                <c:pt idx="3">
                  <c:v>1844</c:v>
                </c:pt>
                <c:pt idx="4">
                  <c:v>1923</c:v>
                </c:pt>
                <c:pt idx="5">
                  <c:v>1990</c:v>
                </c:pt>
                <c:pt idx="6">
                  <c:v>2034</c:v>
                </c:pt>
                <c:pt idx="7">
                  <c:v>2274</c:v>
                </c:pt>
                <c:pt idx="8">
                  <c:v>2420</c:v>
                </c:pt>
                <c:pt idx="9">
                  <c:v>2518</c:v>
                </c:pt>
                <c:pt idx="10">
                  <c:v>3497</c:v>
                </c:pt>
                <c:pt idx="11">
                  <c:v>4049</c:v>
                </c:pt>
                <c:pt idx="12">
                  <c:v>11470</c:v>
                </c:pt>
                <c:pt idx="13">
                  <c:v>13663</c:v>
                </c:pt>
              </c:numCache>
            </c:numRef>
          </c:val>
          <c:extLst xmlns:c16r2="http://schemas.microsoft.com/office/drawing/2015/06/chart">
            <c:ext xmlns:c16="http://schemas.microsoft.com/office/drawing/2014/chart" uri="{C3380CC4-5D6E-409C-BE32-E72D297353CC}">
              <c16:uniqueId val="{0000001C-A1B2-4FD0-88E9-3CBF145F6DD4}"/>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lumMod val="95000"/>
              <a:lumOff val="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600" b="0" i="0" u="none" strike="noStrike" cap="all" baseline="0">
                <a:effectLst/>
              </a:rPr>
              <a:t>TIV of arms exports from United States, 2014-2018</a:t>
            </a:r>
            <a:r>
              <a:rPr lang="en-US" sz="1600" b="1" i="0" u="none" strike="noStrike" cap="all" baseline="0"/>
              <a:t> </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1-AD34-473B-91E8-B596CE477BDB}"/>
              </c:ext>
            </c:extLst>
          </c:dPt>
          <c:dPt>
            <c:idx val="1"/>
            <c:bubble3D val="0"/>
            <c:spPr>
              <a:solidFill>
                <a:schemeClr val="accent3"/>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3-AD34-473B-91E8-B596CE477BDB}"/>
              </c:ext>
            </c:extLst>
          </c:dPt>
          <c:dPt>
            <c:idx val="2"/>
            <c:bubble3D val="0"/>
            <c:spPr>
              <a:solidFill>
                <a:schemeClr val="accent5"/>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5-AD34-473B-91E8-B596CE477BDB}"/>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7-AD34-473B-91E8-B596CE477BDB}"/>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9-AD34-473B-91E8-B596CE477BDB}"/>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B-AD34-473B-91E8-B596CE477BDB}"/>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D-AD34-473B-91E8-B596CE477BDB}"/>
              </c:ext>
            </c:extLst>
          </c:dPt>
          <c:dPt>
            <c:idx val="7"/>
            <c:bubble3D val="0"/>
            <c:spPr>
              <a:solidFill>
                <a:schemeClr val="accent3">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0F-AD34-473B-91E8-B596CE477BDB}"/>
              </c:ext>
            </c:extLst>
          </c:dPt>
          <c:dPt>
            <c:idx val="8"/>
            <c:bubble3D val="0"/>
            <c:spPr>
              <a:solidFill>
                <a:schemeClr val="accent5">
                  <a:lumMod val="80000"/>
                  <a:lumOff val="2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1-AD34-473B-91E8-B596CE477BDB}"/>
              </c:ext>
            </c:extLst>
          </c:dPt>
          <c:dPt>
            <c:idx val="9"/>
            <c:bubble3D val="0"/>
            <c:spPr>
              <a:solidFill>
                <a:schemeClr val="accent1">
                  <a:lumMod val="80000"/>
                </a:schemeClr>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3-AD34-473B-91E8-B596CE477BDB}"/>
              </c:ext>
            </c:extLst>
          </c:dPt>
          <c:dLbls>
            <c:dLbl>
              <c:idx val="0"/>
              <c:layout>
                <c:manualLayout>
                  <c:x val="-0.24309906670532017"/>
                  <c:y val="0"/>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1-AD34-473B-91E8-B596CE477BDB}"/>
                </c:ext>
                <c:ext xmlns:c15="http://schemas.microsoft.com/office/drawing/2012/chart" uri="{CE6537A1-D6FC-4f65-9D91-7224C49458BB}"/>
              </c:extLst>
            </c:dLbl>
            <c:dLbl>
              <c:idx val="1"/>
              <c:layout>
                <c:manualLayout>
                  <c:x val="-0.17072606211365998"/>
                  <c:y val="-5.3981106612685558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3-AD34-473B-91E8-B596CE477BDB}"/>
                </c:ext>
                <c:ext xmlns:c15="http://schemas.microsoft.com/office/drawing/2012/chart" uri="{CE6537A1-D6FC-4f65-9D91-7224C49458BB}"/>
              </c:extLst>
            </c:dLbl>
            <c:dLbl>
              <c:idx val="2"/>
              <c:layout>
                <c:manualLayout>
                  <c:x val="-6.8661568458754541E-2"/>
                  <c:y val="0"/>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5-AD34-473B-91E8-B596CE477BDB}"/>
                </c:ext>
                <c:ext xmlns:c15="http://schemas.microsoft.com/office/drawing/2012/chart" uri="{CE6537A1-D6FC-4f65-9D91-7224C49458BB}"/>
              </c:extLst>
            </c:dLbl>
            <c:dLbl>
              <c:idx val="3"/>
              <c:layout>
                <c:manualLayout>
                  <c:x val="1.8557180664528189E-2"/>
                  <c:y val="-8.0971659919028341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7-AD34-473B-91E8-B596CE477BDB}"/>
                </c:ext>
                <c:ext xmlns:c15="http://schemas.microsoft.com/office/drawing/2012/chart" uri="{CE6537A1-D6FC-4f65-9D91-7224C49458BB}"/>
              </c:extLst>
            </c:dLbl>
            <c:dLbl>
              <c:idx val="4"/>
              <c:layout>
                <c:manualLayout>
                  <c:x val="2.9691489063245279E-2"/>
                  <c:y val="-8.0971659919028462E-3"/>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9-AD34-473B-91E8-B596CE477BDB}"/>
                </c:ext>
                <c:ext xmlns:c15="http://schemas.microsoft.com/office/drawing/2012/chart" uri="{CE6537A1-D6FC-4f65-9D91-7224C49458BB}"/>
              </c:extLst>
            </c:dLbl>
            <c:dLbl>
              <c:idx val="5"/>
              <c:layout>
                <c:manualLayout>
                  <c:x val="5.1960105860679118E-2"/>
                  <c:y val="1.0796221322537087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B-AD34-473B-91E8-B596CE477BDB}"/>
                </c:ext>
                <c:ext xmlns:c15="http://schemas.microsoft.com/office/drawing/2012/chart" uri="{CE6537A1-D6FC-4f65-9D91-7224C49458BB}"/>
              </c:extLst>
            </c:dLbl>
            <c:dLbl>
              <c:idx val="6"/>
              <c:layout>
                <c:manualLayout>
                  <c:x val="4.082579746196216E-2"/>
                  <c:y val="4.3184885290148446E-2"/>
                </c:manualLayout>
              </c:layout>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bestFit"/>
              <c:showLegendKey val="0"/>
              <c:showVal val="0"/>
              <c:showCatName val="1"/>
              <c:showSerName val="0"/>
              <c:showPercent val="1"/>
              <c:showBubbleSize val="0"/>
              <c:extLst xmlns:c16r2="http://schemas.microsoft.com/office/drawing/2015/06/chart">
                <c:ext xmlns:c16="http://schemas.microsoft.com/office/drawing/2014/chart" uri="{C3380CC4-5D6E-409C-BE32-E72D297353CC}">
                  <c16:uniqueId val="{0000000D-AD34-473B-91E8-B596CE477BDB}"/>
                </c:ext>
                <c:ext xmlns:c15="http://schemas.microsoft.com/office/drawing/2012/chart" uri="{CE6537A1-D6FC-4f65-9D91-7224C49458BB}"/>
              </c:extLst>
            </c:dLbl>
            <c:dLbl>
              <c:idx val="7"/>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outEnd"/>
              <c:showLegendKey val="0"/>
              <c:showVal val="0"/>
              <c:showCatName val="1"/>
              <c:showSerName val="0"/>
              <c:showPercent val="1"/>
              <c:showBubbleSize val="0"/>
            </c:dLbl>
            <c:dLbl>
              <c:idx val="8"/>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outEnd"/>
              <c:showLegendKey val="0"/>
              <c:showVal val="0"/>
              <c:showCatName val="1"/>
              <c:showSerName val="0"/>
              <c:showPercent val="1"/>
              <c:showBubbleSize val="0"/>
            </c:dLbl>
            <c:dLbl>
              <c:idx val="9"/>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outEnd"/>
              <c:showLegendKey val="0"/>
              <c:showVal val="0"/>
              <c:showCatName val="1"/>
              <c:showSerName val="0"/>
              <c:showPercent val="1"/>
              <c:showBubbleSize val="0"/>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(2)'!$A$12:$A$21</c:f>
              <c:strCache>
                <c:ptCount val="10"/>
                <c:pt idx="0">
                  <c:v>Other</c:v>
                </c:pt>
                <c:pt idx="1">
                  <c:v>Artillery</c:v>
                </c:pt>
                <c:pt idx="2">
                  <c:v>Naval weapons</c:v>
                </c:pt>
                <c:pt idx="3">
                  <c:v>Ships</c:v>
                </c:pt>
                <c:pt idx="4">
                  <c:v>Sensors</c:v>
                </c:pt>
                <c:pt idx="5">
                  <c:v>Engines</c:v>
                </c:pt>
                <c:pt idx="6">
                  <c:v>Air defence systems</c:v>
                </c:pt>
                <c:pt idx="7">
                  <c:v>Armoured vehicles</c:v>
                </c:pt>
                <c:pt idx="8">
                  <c:v>Missiles</c:v>
                </c:pt>
                <c:pt idx="9">
                  <c:v>Aircraft</c:v>
                </c:pt>
              </c:strCache>
            </c:strRef>
          </c:cat>
          <c:val>
            <c:numRef>
              <c:f>'TIV-Export-USA-2014-2018 (2)'!$B$12:$B$21</c:f>
              <c:numCache>
                <c:formatCode>General</c:formatCode>
                <c:ptCount val="10"/>
                <c:pt idx="0">
                  <c:v>78</c:v>
                </c:pt>
                <c:pt idx="1">
                  <c:v>144</c:v>
                </c:pt>
                <c:pt idx="2">
                  <c:v>251</c:v>
                </c:pt>
                <c:pt idx="3">
                  <c:v>916</c:v>
                </c:pt>
                <c:pt idx="4">
                  <c:v>1305</c:v>
                </c:pt>
                <c:pt idx="5">
                  <c:v>1766</c:v>
                </c:pt>
                <c:pt idx="6">
                  <c:v>3523</c:v>
                </c:pt>
                <c:pt idx="7">
                  <c:v>6423</c:v>
                </c:pt>
                <c:pt idx="8">
                  <c:v>10140</c:v>
                </c:pt>
                <c:pt idx="9">
                  <c:v>27933</c:v>
                </c:pt>
              </c:numCache>
            </c:numRef>
          </c:val>
          <c:extLst xmlns:c16r2="http://schemas.microsoft.com/office/drawing/2015/06/chart">
            <c:ext xmlns:c16="http://schemas.microsoft.com/office/drawing/2014/chart" uri="{C3380CC4-5D6E-409C-BE32-E72D297353CC}">
              <c16:uniqueId val="{00000014-AD34-473B-91E8-B596CE477BDB}"/>
            </c:ext>
          </c:extLst>
        </c:ser>
        <c:ser>
          <c:idx val="1"/>
          <c:order val="1"/>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6-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(2)'!$B$1</c:f>
              <c:numCache>
                <c:formatCode>General</c:formatCode>
                <c:ptCount val="1"/>
              </c:numCache>
            </c:numRef>
          </c:val>
          <c:extLst xmlns:c16r2="http://schemas.microsoft.com/office/drawing/2015/06/chart">
            <c:ext xmlns:c16="http://schemas.microsoft.com/office/drawing/2014/chart" uri="{C3380CC4-5D6E-409C-BE32-E72D297353CC}">
              <c16:uniqueId val="{00000017-AD34-473B-91E8-B596CE477BDB}"/>
            </c:ext>
          </c:extLst>
        </c:ser>
        <c:ser>
          <c:idx val="2"/>
          <c:order val="2"/>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9-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(2)'!$C$1</c:f>
              <c:numCache>
                <c:formatCode>General</c:formatCode>
                <c:ptCount val="1"/>
              </c:numCache>
            </c:numRef>
          </c:val>
          <c:extLst xmlns:c16r2="http://schemas.microsoft.com/office/drawing/2015/06/chart">
            <c:ext xmlns:c16="http://schemas.microsoft.com/office/drawing/2014/chart" uri="{C3380CC4-5D6E-409C-BE32-E72D297353CC}">
              <c16:uniqueId val="{0000001A-AD34-473B-91E8-B596CE477BDB}"/>
            </c:ext>
          </c:extLst>
        </c:ser>
        <c:ser>
          <c:idx val="3"/>
          <c:order val="3"/>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C-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(2)'!$D$1</c:f>
              <c:numCache>
                <c:formatCode>General</c:formatCode>
                <c:ptCount val="1"/>
              </c:numCache>
            </c:numRef>
          </c:val>
          <c:extLst xmlns:c16r2="http://schemas.microsoft.com/office/drawing/2015/06/chart">
            <c:ext xmlns:c16="http://schemas.microsoft.com/office/drawing/2014/chart" uri="{C3380CC4-5D6E-409C-BE32-E72D297353CC}">
              <c16:uniqueId val="{0000001D-AD34-473B-91E8-B596CE477BDB}"/>
            </c:ext>
          </c:extLst>
        </c:ser>
        <c:ser>
          <c:idx val="4"/>
          <c:order val="4"/>
          <c:dPt>
            <c:idx val="0"/>
            <c:bubble3D val="0"/>
            <c:spPr>
              <a:solidFill>
                <a:schemeClr val="accent1"/>
              </a:solidFill>
              <a:ln>
                <a:noFill/>
              </a:ln>
              <a:effectLst>
                <a:outerShdw blurRad="63500" sx="102000" sy="102000" algn="ctr" rotWithShape="0">
                  <a:prstClr val="black">
                    <a:alpha val="20000"/>
                  </a:prstClr>
                </a:outerShdw>
              </a:effectLst>
            </c:spPr>
            <c:extLst xmlns:c16r2="http://schemas.microsoft.com/office/drawing/2015/06/chart">
              <c:ext xmlns:c16="http://schemas.microsoft.com/office/drawing/2014/chart" uri="{C3380CC4-5D6E-409C-BE32-E72D297353CC}">
                <c16:uniqueId val="{0000001F-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xmlns:c16r2="http://schemas.microsoft.com/office/drawing/2015/06/char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(2)'!$E$1</c:f>
              <c:numCache>
                <c:formatCode>General</c:formatCode>
                <c:ptCount val="1"/>
              </c:numCache>
            </c:numRef>
          </c:val>
          <c:extLst xmlns:c16r2="http://schemas.microsoft.com/office/drawing/2015/06/chart">
            <c:ext xmlns:c16="http://schemas.microsoft.com/office/drawing/2014/chart" uri="{C3380CC4-5D6E-409C-BE32-E72D297353CC}">
              <c16:uniqueId val="{00000020-AD34-473B-91E8-B596CE477BDB}"/>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5E8F4-2438-4754-95FB-6CBC12F0D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13734</Words>
  <Characters>78287</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mnmvoss</dc:creator>
  <cp:keywords>5.1.1</cp:keywords>
  <dc:description/>
  <cp:lastModifiedBy>mnmvoss</cp:lastModifiedBy>
  <cp:revision>2</cp:revision>
  <dcterms:created xsi:type="dcterms:W3CDTF">2019-07-09T21:35:00Z</dcterms:created>
  <dcterms:modified xsi:type="dcterms:W3CDTF">2019-07-09T21:35:00Z</dcterms:modified>
</cp:coreProperties>
</file>