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08ED" w:rsidRDefault="005F08ED" w:rsidP="005F08ED">
      <w:pPr>
        <w:pStyle w:val="Heading3"/>
      </w:pPr>
      <w:r>
        <w:t>2AC — Topicality “Arms” (Excludes Spare Parts, Maintenance, Training, etc.)</w:t>
      </w:r>
    </w:p>
    <w:p w:rsidR="005F08ED" w:rsidRDefault="005F08ED" w:rsidP="005F08ED">
      <w:pPr>
        <w:pStyle w:val="Heading4"/>
      </w:pPr>
      <w:r w:rsidRPr="00806B73">
        <w:t xml:space="preserve">1. </w:t>
      </w:r>
      <w:r w:rsidRPr="00086D00">
        <w:rPr>
          <w:u w:val="single"/>
        </w:rPr>
        <w:t>Counter-Interpretation: AECA</w:t>
      </w:r>
      <w:r>
        <w:t xml:space="preserve"> — “arms” means </w:t>
      </w:r>
      <w:r w:rsidRPr="00086D00">
        <w:rPr>
          <w:u w:val="single"/>
        </w:rPr>
        <w:t>defense articles</w:t>
      </w:r>
      <w:r>
        <w:t xml:space="preserve">, </w:t>
      </w:r>
      <w:r w:rsidRPr="00086D00">
        <w:rPr>
          <w:u w:val="single"/>
        </w:rPr>
        <w:t>services</w:t>
      </w:r>
      <w:r>
        <w:t xml:space="preserve">, and </w:t>
      </w:r>
      <w:r w:rsidRPr="00086D00">
        <w:rPr>
          <w:u w:val="single"/>
        </w:rPr>
        <w:t>technical data</w:t>
      </w:r>
      <w:r>
        <w:t xml:space="preserve">. </w:t>
      </w:r>
    </w:p>
    <w:p w:rsidR="005F08ED" w:rsidRDefault="005F08ED" w:rsidP="005F08ED">
      <w:r w:rsidRPr="00086D00">
        <w:rPr>
          <w:rStyle w:val="Style13ptBold"/>
        </w:rPr>
        <w:t>GAO 12</w:t>
      </w:r>
      <w:r>
        <w:t xml:space="preserve"> — Government Accountability Office, 2012 (“</w:t>
      </w:r>
      <w:r w:rsidRPr="00086D00">
        <w:t>U.S. Tactical Wheeled Vehicle Manufacturers Face Period of Uncertainty as DOD Purchases Decline and Foreign Sales Potential Remains Unknown</w:t>
      </w:r>
      <w:r>
        <w:t xml:space="preserve">,” Government Accountability Office </w:t>
      </w:r>
      <w:r w:rsidRPr="00086D00">
        <w:t>Report to Congressional Committees</w:t>
      </w:r>
      <w:r>
        <w:t xml:space="preserve">, Number </w:t>
      </w:r>
      <w:r w:rsidRPr="00086D00">
        <w:t>GAO-12-859</w:t>
      </w:r>
      <w:r>
        <w:t xml:space="preserve">, September, Available Online at </w:t>
      </w:r>
      <w:hyperlink r:id="rId9" w:history="1">
        <w:r w:rsidRPr="00415E34">
          <w:rPr>
            <w:rStyle w:val="Hyperlink"/>
          </w:rPr>
          <w:t>https://www.gao.gov/assets/650/648264.pdf</w:t>
        </w:r>
      </w:hyperlink>
      <w:r>
        <w:t>, Accessed 07-30-2019, p. 1-2)</w:t>
      </w:r>
    </w:p>
    <w:p w:rsidR="005F08ED" w:rsidRDefault="005F08ED" w:rsidP="005F08ED">
      <w:r w:rsidRPr="00086D00">
        <w:t xml:space="preserve">In addition to sales to DOD, the U.S. TWV industrial base also sells vehicles to foreign governments. </w:t>
      </w:r>
      <w:r w:rsidRPr="00086D00">
        <w:rPr>
          <w:rStyle w:val="StyleUnderline"/>
        </w:rPr>
        <w:t>The sale of U.S. arms</w:t>
      </w:r>
      <w:r w:rsidRPr="00086D00">
        <w:t xml:space="preserve"> and dual-use items, including TWVs, </w:t>
      </w:r>
      <w:r w:rsidRPr="00086D00">
        <w:rPr>
          <w:rStyle w:val="StyleUnderline"/>
        </w:rPr>
        <w:t>to friendly nations and allies is an integral component of</w:t>
      </w:r>
      <w:r w:rsidRPr="00086D00">
        <w:t xml:space="preserve"> both </w:t>
      </w:r>
      <w:r w:rsidRPr="00086D00">
        <w:rPr>
          <w:rStyle w:val="StyleUnderline"/>
        </w:rPr>
        <w:t>U.S. national security and foreign policy</w:t>
      </w:r>
      <w:r w:rsidRPr="00086D00">
        <w:t xml:space="preserve">.1 </w:t>
      </w:r>
      <w:r w:rsidRPr="00086D00">
        <w:rPr>
          <w:rStyle w:val="StyleUnderline"/>
          <w:highlight w:val="yellow"/>
        </w:rPr>
        <w:t>The</w:t>
      </w:r>
      <w:r w:rsidRPr="00086D00">
        <w:t xml:space="preserve"> Arms Export Control Act (</w:t>
      </w:r>
      <w:r w:rsidRPr="00086D00">
        <w:rPr>
          <w:rStyle w:val="StyleUnderline"/>
          <w:highlight w:val="yellow"/>
        </w:rPr>
        <w:t>AECA</w:t>
      </w:r>
      <w:r w:rsidRPr="00086D00">
        <w:t xml:space="preserve">) </w:t>
      </w:r>
      <w:r w:rsidRPr="00086D00">
        <w:rPr>
          <w:rStyle w:val="StyleUnderline"/>
          <w:highlight w:val="yellow"/>
        </w:rPr>
        <w:t>authorizes</w:t>
      </w:r>
      <w:r w:rsidRPr="00086D00">
        <w:rPr>
          <w:rStyle w:val="StyleUnderline"/>
        </w:rPr>
        <w:t xml:space="preserve"> the President to control the </w:t>
      </w:r>
      <w:r w:rsidRPr="00086D00">
        <w:rPr>
          <w:rStyle w:val="StyleUnderline"/>
          <w:highlight w:val="yellow"/>
        </w:rPr>
        <w:t>export and import of arms</w:t>
      </w:r>
      <w:r w:rsidRPr="00086D00">
        <w:t xml:space="preserve">.2 </w:t>
      </w:r>
      <w:r w:rsidRPr="00086D00">
        <w:rPr>
          <w:rStyle w:val="StyleUnderline"/>
        </w:rPr>
        <w:t xml:space="preserve">The AECA authorizes the U.S. government to sell arms to foreign governments </w:t>
      </w:r>
      <w:r w:rsidRPr="00086D00">
        <w:rPr>
          <w:rStyle w:val="StyleUnderline"/>
          <w:highlight w:val="yellow"/>
        </w:rPr>
        <w:t>through</w:t>
      </w:r>
      <w:r w:rsidRPr="00086D00">
        <w:rPr>
          <w:rStyle w:val="StyleUnderline"/>
        </w:rPr>
        <w:t xml:space="preserve"> government-to-government agreements as part of the</w:t>
      </w:r>
      <w:r w:rsidRPr="00086D00">
        <w:t xml:space="preserve"> Foreign Military Sales (</w:t>
      </w:r>
      <w:r w:rsidRPr="00086D00">
        <w:rPr>
          <w:rStyle w:val="StyleUnderline"/>
          <w:highlight w:val="yellow"/>
        </w:rPr>
        <w:t>FMS</w:t>
      </w:r>
      <w:r w:rsidRPr="00086D00">
        <w:t xml:space="preserve">) </w:t>
      </w:r>
      <w:r w:rsidRPr="00086D00">
        <w:rPr>
          <w:rStyle w:val="StyleUnderline"/>
        </w:rPr>
        <w:t>program</w:t>
      </w:r>
      <w:r w:rsidRPr="00086D00">
        <w:t>.3</w:t>
      </w:r>
      <w:r>
        <w:t xml:space="preserve"> </w:t>
      </w:r>
      <w:r w:rsidRPr="00086D00">
        <w:rPr>
          <w:rStyle w:val="StyleUnderline"/>
          <w:highlight w:val="yellow"/>
        </w:rPr>
        <w:t>It also authorizes</w:t>
      </w:r>
      <w:r w:rsidRPr="00086D00">
        <w:rPr>
          <w:rStyle w:val="StyleUnderline"/>
        </w:rPr>
        <w:t xml:space="preserve"> the issuance of export licenses for U.S. manufacturers </w:t>
      </w:r>
      <w:r w:rsidRPr="00086D00">
        <w:rPr>
          <w:rStyle w:val="StyleUnderline"/>
          <w:highlight w:val="yellow"/>
        </w:rPr>
        <w:t xml:space="preserve">to </w:t>
      </w:r>
      <w:r w:rsidRPr="00086D00">
        <w:rPr>
          <w:rStyle w:val="Emphasis"/>
          <w:highlight w:val="yellow"/>
        </w:rPr>
        <w:t>sell</w:t>
      </w:r>
      <w:r>
        <w:t xml:space="preserve"> [end page 1] </w:t>
      </w:r>
      <w:r w:rsidRPr="00086D00">
        <w:rPr>
          <w:rStyle w:val="Emphasis"/>
          <w:highlight w:val="yellow"/>
        </w:rPr>
        <w:t>arms</w:t>
      </w:r>
      <w:r w:rsidRPr="00086D00">
        <w:rPr>
          <w:rStyle w:val="StyleUnderline"/>
          <w:highlight w:val="yellow"/>
        </w:rPr>
        <w:t xml:space="preserve"> directly</w:t>
      </w:r>
      <w:r w:rsidRPr="00086D00">
        <w:rPr>
          <w:rStyle w:val="StyleUnderline"/>
        </w:rPr>
        <w:t xml:space="preserve"> to eligible foreign governments, </w:t>
      </w:r>
      <w:r w:rsidRPr="00086D00">
        <w:rPr>
          <w:rStyle w:val="StyleUnderline"/>
          <w:highlight w:val="yellow"/>
        </w:rPr>
        <w:t>known as</w:t>
      </w:r>
      <w:r w:rsidRPr="00086D00">
        <w:t xml:space="preserve"> direct commercial sales (</w:t>
      </w:r>
      <w:r w:rsidRPr="00086D00">
        <w:rPr>
          <w:rStyle w:val="StyleUnderline"/>
          <w:highlight w:val="yellow"/>
        </w:rPr>
        <w:t>DCS</w:t>
      </w:r>
      <w:r w:rsidRPr="00086D00">
        <w:t xml:space="preserve">). </w:t>
      </w:r>
      <w:r w:rsidRPr="00086D00">
        <w:rPr>
          <w:rStyle w:val="StyleUnderline"/>
        </w:rPr>
        <w:t>Regardless of the method of sale, each FMS request or DCS license application is reviewed by officials from DOD and</w:t>
      </w:r>
      <w:r w:rsidRPr="00086D00">
        <w:t xml:space="preserve"> the Department of State (</w:t>
      </w:r>
      <w:r w:rsidRPr="00086D00">
        <w:rPr>
          <w:rStyle w:val="StyleUnderline"/>
        </w:rPr>
        <w:t>State</w:t>
      </w:r>
      <w:r w:rsidRPr="00086D00">
        <w:t xml:space="preserve">) </w:t>
      </w:r>
      <w:r w:rsidRPr="00086D00">
        <w:rPr>
          <w:rStyle w:val="StyleUnderline"/>
        </w:rPr>
        <w:t>to ensure the sale would not result in harm to U.S. interests and is consistent with national security and foreign policies</w:t>
      </w:r>
      <w:r w:rsidRPr="00086D00">
        <w:t>.</w:t>
      </w:r>
    </w:p>
    <w:p w:rsidR="005F08ED" w:rsidRPr="00086D00" w:rsidRDefault="005F08ED" w:rsidP="005F08ED">
      <w:pPr>
        <w:jc w:val="center"/>
        <w:rPr>
          <w:b/>
        </w:rPr>
      </w:pPr>
      <w:r w:rsidRPr="00086D00">
        <w:rPr>
          <w:b/>
        </w:rPr>
        <w:t>—— Footnotes ——</w:t>
      </w:r>
    </w:p>
    <w:p w:rsidR="005F08ED" w:rsidRDefault="005F08ED" w:rsidP="005F08ED">
      <w:r w:rsidRPr="00086D00">
        <w:t>1</w:t>
      </w:r>
      <w:r>
        <w:t xml:space="preserve">. </w:t>
      </w:r>
      <w:r w:rsidRPr="00086D00">
        <w:t xml:space="preserve">For the purposes of this report, </w:t>
      </w:r>
      <w:r w:rsidRPr="00086D00">
        <w:rPr>
          <w:rStyle w:val="StyleUnderline"/>
          <w:highlight w:val="yellow"/>
        </w:rPr>
        <w:t xml:space="preserve">the term arms refers to </w:t>
      </w:r>
      <w:r w:rsidRPr="00086D00">
        <w:rPr>
          <w:rStyle w:val="Emphasis"/>
          <w:highlight w:val="yellow"/>
        </w:rPr>
        <w:t>defense articles</w:t>
      </w:r>
      <w:r w:rsidRPr="00086D00">
        <w:rPr>
          <w:rStyle w:val="StyleUnderline"/>
          <w:highlight w:val="yellow"/>
        </w:rPr>
        <w:t xml:space="preserve">, </w:t>
      </w:r>
      <w:r w:rsidRPr="00086D00">
        <w:rPr>
          <w:rStyle w:val="Emphasis"/>
          <w:highlight w:val="yellow"/>
        </w:rPr>
        <w:t>defense services</w:t>
      </w:r>
      <w:r w:rsidRPr="00086D00">
        <w:rPr>
          <w:rStyle w:val="StyleUnderline"/>
          <w:highlight w:val="yellow"/>
        </w:rPr>
        <w:t xml:space="preserve">, and </w:t>
      </w:r>
      <w:r w:rsidRPr="00086D00">
        <w:rPr>
          <w:rStyle w:val="Emphasis"/>
          <w:highlight w:val="yellow"/>
        </w:rPr>
        <w:t>related technical data</w:t>
      </w:r>
      <w:r w:rsidRPr="00086D00">
        <w:rPr>
          <w:rStyle w:val="StyleUnderline"/>
        </w:rPr>
        <w:t xml:space="preserve"> as specified by 22 U.S.C. § 2778 and defined in 22 C.F.R. Part 120</w:t>
      </w:r>
      <w:r w:rsidRPr="00086D00">
        <w:t>. Dual-use items are those which have both military and commercial applications</w:t>
      </w:r>
      <w:r>
        <w:t xml:space="preserve">. </w:t>
      </w:r>
    </w:p>
    <w:p w:rsidR="005F08ED" w:rsidRPr="00086D00" w:rsidRDefault="005F08ED" w:rsidP="005F08ED">
      <w:r w:rsidRPr="00086D00">
        <w:t>2</w:t>
      </w:r>
      <w:r>
        <w:t xml:space="preserve">. </w:t>
      </w:r>
      <w:r w:rsidRPr="00086D00">
        <w:t>22 U.S.C. §§ 2751-2799aa-2.</w:t>
      </w:r>
    </w:p>
    <w:p w:rsidR="005F08ED" w:rsidRPr="00086D00" w:rsidRDefault="005F08ED" w:rsidP="005F08ED">
      <w:r w:rsidRPr="00086D00">
        <w:t>3</w:t>
      </w:r>
      <w:r>
        <w:t xml:space="preserve">. </w:t>
      </w:r>
      <w:r w:rsidRPr="00086D00">
        <w:t>FMS is limited to eligible countries and international organizations. 22 U.S.C. § 2753.</w:t>
      </w:r>
    </w:p>
    <w:p w:rsidR="005F08ED" w:rsidRDefault="005F08ED" w:rsidP="005F08ED"/>
    <w:p w:rsidR="005F08ED" w:rsidRDefault="005F08ED" w:rsidP="005F08ED">
      <w:pPr>
        <w:pStyle w:val="Heading4"/>
      </w:pPr>
      <w:r>
        <w:t xml:space="preserve">2. </w:t>
      </w:r>
      <w:proofErr w:type="spellStart"/>
      <w:r w:rsidRPr="00806B73">
        <w:rPr>
          <w:u w:val="single"/>
        </w:rPr>
        <w:t>Aff</w:t>
      </w:r>
      <w:proofErr w:type="spellEnd"/>
      <w:r w:rsidRPr="00806B73">
        <w:rPr>
          <w:u w:val="single"/>
        </w:rPr>
        <w:t xml:space="preserve"> Ground DA</w:t>
      </w:r>
      <w:r>
        <w:t xml:space="preserve"> — major sales to the largest purchasers </w:t>
      </w:r>
      <w:r w:rsidRPr="007913BF">
        <w:rPr>
          <w:u w:val="single"/>
        </w:rPr>
        <w:t>include</w:t>
      </w:r>
      <w:r>
        <w:t xml:space="preserve"> spare parts, maintenance, and training.</w:t>
      </w:r>
    </w:p>
    <w:p w:rsidR="005F08ED" w:rsidRDefault="005F08ED" w:rsidP="005F08ED">
      <w:r w:rsidRPr="00AA3A85">
        <w:rPr>
          <w:rStyle w:val="Style13ptBold"/>
        </w:rPr>
        <w:t>GAO 4</w:t>
      </w:r>
      <w:r>
        <w:t xml:space="preserve"> — Government Accountability Office, 2004 (“Foreign Military Sales: </w:t>
      </w:r>
      <w:r w:rsidRPr="00AA3A85">
        <w:t>Improved Army Controls Could Prevent Unauthorized Shipments of Classified Spare Parts and Items Containing Military Technology to Foreign Countries</w:t>
      </w:r>
      <w:r>
        <w:t xml:space="preserve">,” Government Accountability Office Report To Senator Tom Harkin, Number </w:t>
      </w:r>
      <w:r w:rsidRPr="00AA3A85">
        <w:t>GAO-04-327</w:t>
      </w:r>
      <w:r>
        <w:t xml:space="preserve">, April, Available Online at </w:t>
      </w:r>
      <w:hyperlink r:id="rId10" w:history="1">
        <w:r w:rsidRPr="00415E34">
          <w:rPr>
            <w:rStyle w:val="Hyperlink"/>
          </w:rPr>
          <w:t>https://www.gao.gov/assets/250/242026.pdf</w:t>
        </w:r>
      </w:hyperlink>
      <w:r>
        <w:t>, Accessed 07-30-2019, p. 1)</w:t>
      </w:r>
    </w:p>
    <w:p w:rsidR="005F08ED" w:rsidRDefault="005F08ED" w:rsidP="005F08ED">
      <w:r w:rsidRPr="00AA3A85">
        <w:rPr>
          <w:rStyle w:val="StyleUnderline"/>
        </w:rPr>
        <w:t>From 1993 through 2002, the</w:t>
      </w:r>
      <w:r w:rsidRPr="00AA3A85">
        <w:t xml:space="preserve"> Department of Defense (</w:t>
      </w:r>
      <w:r w:rsidRPr="00AA3A85">
        <w:rPr>
          <w:rStyle w:val="StyleUnderline"/>
        </w:rPr>
        <w:t>DOD</w:t>
      </w:r>
      <w:r w:rsidRPr="00AA3A85">
        <w:t xml:space="preserve">) </w:t>
      </w:r>
      <w:r w:rsidRPr="00AA3A85">
        <w:rPr>
          <w:rStyle w:val="StyleUnderline"/>
        </w:rPr>
        <w:t xml:space="preserve">delivered over $150 billion in </w:t>
      </w:r>
      <w:r w:rsidRPr="00AA3A85">
        <w:rPr>
          <w:rStyle w:val="StyleUnderline"/>
          <w:highlight w:val="yellow"/>
        </w:rPr>
        <w:t>services and defense articles</w:t>
      </w:r>
      <w:r w:rsidRPr="00AA3A85">
        <w:rPr>
          <w:rStyle w:val="StyleUnderline"/>
        </w:rPr>
        <w:t>—including classified</w:t>
      </w:r>
      <w:r w:rsidRPr="00AA3A85">
        <w:t xml:space="preserve">1 </w:t>
      </w:r>
      <w:r w:rsidRPr="00AA3A85">
        <w:rPr>
          <w:rStyle w:val="StyleUnderline"/>
        </w:rPr>
        <w:t>spare parts and unclassified items containing military technology</w:t>
      </w:r>
      <w:r w:rsidRPr="00AA3A85">
        <w:t>2—</w:t>
      </w:r>
      <w:r w:rsidRPr="00AA3A85">
        <w:rPr>
          <w:rStyle w:val="StyleUnderline"/>
        </w:rPr>
        <w:t xml:space="preserve">to foreign countries </w:t>
      </w:r>
      <w:r w:rsidRPr="00AA3A85">
        <w:rPr>
          <w:rStyle w:val="StyleUnderline"/>
          <w:highlight w:val="yellow"/>
        </w:rPr>
        <w:t>through f</w:t>
      </w:r>
      <w:r w:rsidRPr="00AA3A85">
        <w:t xml:space="preserve">oreign </w:t>
      </w:r>
      <w:r w:rsidRPr="00AA3A85">
        <w:rPr>
          <w:rStyle w:val="StyleUnderline"/>
          <w:highlight w:val="yellow"/>
        </w:rPr>
        <w:t>m</w:t>
      </w:r>
      <w:r w:rsidRPr="00AA3A85">
        <w:t xml:space="preserve">ilitary </w:t>
      </w:r>
      <w:r w:rsidRPr="00AA3A85">
        <w:rPr>
          <w:rStyle w:val="StyleUnderline"/>
          <w:highlight w:val="yellow"/>
        </w:rPr>
        <w:t>s</w:t>
      </w:r>
      <w:r w:rsidRPr="00AA3A85">
        <w:t xml:space="preserve">ales programs administered by the military services. </w:t>
      </w:r>
      <w:r w:rsidRPr="00AA3A85">
        <w:rPr>
          <w:rStyle w:val="StyleUnderline"/>
        </w:rPr>
        <w:t xml:space="preserve">Some sales </w:t>
      </w:r>
      <w:r w:rsidRPr="00AA3A85">
        <w:rPr>
          <w:rStyle w:val="StyleUnderline"/>
          <w:highlight w:val="yellow"/>
        </w:rPr>
        <w:t>occurred using blanket orders</w:t>
      </w:r>
      <w:r w:rsidRPr="00AA3A85">
        <w:rPr>
          <w:rStyle w:val="StyleUnderline"/>
        </w:rPr>
        <w:t xml:space="preserve">, which are requisitions for a specific dollar value and are </w:t>
      </w:r>
      <w:r w:rsidRPr="00AA3A85">
        <w:rPr>
          <w:rStyle w:val="StyleUnderline"/>
          <w:highlight w:val="yellow"/>
        </w:rPr>
        <w:t>designed to simplify supply actions on</w:t>
      </w:r>
      <w:r w:rsidRPr="00AA3A85">
        <w:rPr>
          <w:rStyle w:val="StyleUnderline"/>
        </w:rPr>
        <w:t xml:space="preserve"> certain categories of </w:t>
      </w:r>
      <w:r w:rsidRPr="00AA3A85">
        <w:rPr>
          <w:rStyle w:val="StyleUnderline"/>
          <w:highlight w:val="yellow"/>
        </w:rPr>
        <w:t xml:space="preserve">items </w:t>
      </w:r>
      <w:r w:rsidRPr="007872A1">
        <w:rPr>
          <w:rStyle w:val="StyleUnderline"/>
          <w:highlight w:val="yellow"/>
        </w:rPr>
        <w:t>for which</w:t>
      </w:r>
      <w:r w:rsidRPr="00AA3A85">
        <w:rPr>
          <w:rStyle w:val="StyleUnderline"/>
        </w:rPr>
        <w:t xml:space="preserve"> f</w:t>
      </w:r>
      <w:r w:rsidRPr="00AA3A85">
        <w:t xml:space="preserve">oreign </w:t>
      </w:r>
      <w:r w:rsidRPr="00AA3A85">
        <w:rPr>
          <w:rStyle w:val="StyleUnderline"/>
        </w:rPr>
        <w:t>m</w:t>
      </w:r>
      <w:r w:rsidRPr="00AA3A85">
        <w:t xml:space="preserve">ilitary </w:t>
      </w:r>
      <w:r w:rsidRPr="00AA3A85">
        <w:rPr>
          <w:rStyle w:val="StyleUnderline"/>
        </w:rPr>
        <w:t>s</w:t>
      </w:r>
      <w:r w:rsidRPr="00AA3A85">
        <w:t xml:space="preserve">ales </w:t>
      </w:r>
      <w:r w:rsidRPr="00AA3A85">
        <w:rPr>
          <w:rStyle w:val="StyleUnderline"/>
          <w:highlight w:val="yellow"/>
        </w:rPr>
        <w:t>customers will have a recurring need, such as</w:t>
      </w:r>
      <w:r w:rsidRPr="00AA3A85">
        <w:rPr>
          <w:rStyle w:val="StyleUnderline"/>
        </w:rPr>
        <w:t xml:space="preserve"> </w:t>
      </w:r>
      <w:r w:rsidRPr="00AA3A85">
        <w:rPr>
          <w:rStyle w:val="Emphasis"/>
        </w:rPr>
        <w:t xml:space="preserve">unclassified </w:t>
      </w:r>
      <w:r w:rsidRPr="00AA3A85">
        <w:rPr>
          <w:rStyle w:val="Emphasis"/>
          <w:highlight w:val="yellow"/>
        </w:rPr>
        <w:t>spare parts</w:t>
      </w:r>
      <w:r w:rsidRPr="00AA3A85">
        <w:rPr>
          <w:rStyle w:val="StyleUnderline"/>
          <w:highlight w:val="yellow"/>
        </w:rPr>
        <w:t xml:space="preserve">, </w:t>
      </w:r>
      <w:r w:rsidRPr="00AA3A85">
        <w:rPr>
          <w:rStyle w:val="Emphasis"/>
          <w:highlight w:val="yellow"/>
        </w:rPr>
        <w:t>repair parts</w:t>
      </w:r>
      <w:r w:rsidRPr="00AA3A85">
        <w:rPr>
          <w:rStyle w:val="StyleUnderline"/>
          <w:highlight w:val="yellow"/>
        </w:rPr>
        <w:t xml:space="preserve">, </w:t>
      </w:r>
      <w:r w:rsidRPr="00AA3A85">
        <w:rPr>
          <w:rStyle w:val="Emphasis"/>
          <w:highlight w:val="yellow"/>
        </w:rPr>
        <w:t>minor components</w:t>
      </w:r>
      <w:r w:rsidRPr="00AA3A85">
        <w:rPr>
          <w:rStyle w:val="StyleUnderline"/>
          <w:highlight w:val="yellow"/>
        </w:rPr>
        <w:t xml:space="preserve">, </w:t>
      </w:r>
      <w:r w:rsidRPr="00AA3A85">
        <w:rPr>
          <w:rStyle w:val="Emphasis"/>
          <w:highlight w:val="yellow"/>
        </w:rPr>
        <w:t>training films</w:t>
      </w:r>
      <w:r w:rsidRPr="00AA3A85">
        <w:rPr>
          <w:rStyle w:val="StyleUnderline"/>
          <w:highlight w:val="yellow"/>
        </w:rPr>
        <w:t xml:space="preserve">, and </w:t>
      </w:r>
      <w:r w:rsidRPr="00AA3A85">
        <w:rPr>
          <w:rStyle w:val="Emphasis"/>
          <w:highlight w:val="yellow"/>
        </w:rPr>
        <w:t>publications</w:t>
      </w:r>
      <w:r w:rsidRPr="00AA3A85">
        <w:t>. According to DOD policy,3 the management of classified spare parts and unclassified items containing military technology is particularly important given their potential to be released to foreign countries that may use them against U.S. interests. Under blanket orders, the Army’s policy is intended to restrict the categories of items including classified materials.</w:t>
      </w:r>
    </w:p>
    <w:p w:rsidR="005F08ED" w:rsidRPr="00AA3A85" w:rsidRDefault="005F08ED" w:rsidP="005F08ED">
      <w:pPr>
        <w:jc w:val="center"/>
        <w:rPr>
          <w:b/>
        </w:rPr>
      </w:pPr>
      <w:r w:rsidRPr="00AA3A85">
        <w:rPr>
          <w:b/>
        </w:rPr>
        <w:t>—— Footnotes ——</w:t>
      </w:r>
    </w:p>
    <w:p w:rsidR="005F08ED" w:rsidRDefault="005F08ED" w:rsidP="005F08ED">
      <w:r w:rsidRPr="00AA3A85">
        <w:t>1</w:t>
      </w:r>
      <w:r>
        <w:t xml:space="preserve">. </w:t>
      </w:r>
      <w:r w:rsidRPr="00AA3A85">
        <w:t>Classified parts are restricted for national security</w:t>
      </w:r>
      <w:r>
        <w:t xml:space="preserve"> </w:t>
      </w:r>
      <w:r w:rsidRPr="00AA3A85">
        <w:t xml:space="preserve">reasons. </w:t>
      </w:r>
    </w:p>
    <w:p w:rsidR="005F08ED" w:rsidRPr="00AA3A85" w:rsidRDefault="005F08ED" w:rsidP="005F08ED">
      <w:r w:rsidRPr="00AA3A85">
        <w:t>2</w:t>
      </w:r>
      <w:r>
        <w:t xml:space="preserve">. </w:t>
      </w:r>
      <w:r w:rsidRPr="00AA3A85">
        <w:t>DOD defines military technology as military critical technology that would reveal or give insight into the design and manufacture of U.S. military systems and materials and, if exported, would permit significant advance in the military potential of any country. Some of these items require demilitarization prior to release to the public.</w:t>
      </w:r>
    </w:p>
    <w:p w:rsidR="005F08ED" w:rsidRDefault="005F08ED" w:rsidP="005F08ED"/>
    <w:p w:rsidR="005F08ED" w:rsidRPr="001A1574" w:rsidRDefault="005F08ED" w:rsidP="005F08ED">
      <w:pPr>
        <w:pStyle w:val="Heading4"/>
      </w:pPr>
      <w:r>
        <w:lastRenderedPageBreak/>
        <w:t xml:space="preserve">3. </w:t>
      </w:r>
      <w:r w:rsidRPr="00806B73">
        <w:rPr>
          <w:u w:val="single"/>
        </w:rPr>
        <w:t>Precision DA</w:t>
      </w:r>
      <w:r>
        <w:t xml:space="preserve"> — non-AECA definitions are </w:t>
      </w:r>
      <w:r>
        <w:rPr>
          <w:u w:val="single"/>
        </w:rPr>
        <w:t>not predictable</w:t>
      </w:r>
      <w:r>
        <w:t xml:space="preserve">. </w:t>
      </w:r>
    </w:p>
    <w:p w:rsidR="005F08ED" w:rsidRPr="00127804" w:rsidRDefault="005F08ED" w:rsidP="005F08ED">
      <w:r w:rsidRPr="00376C38">
        <w:rPr>
          <w:rStyle w:val="Style13ptBold"/>
        </w:rPr>
        <w:t>DSCA 19</w:t>
      </w:r>
      <w:r>
        <w:t xml:space="preserve"> — </w:t>
      </w:r>
      <w:r w:rsidRPr="008E7273">
        <w:t>Defense Security Cooperation Agency</w:t>
      </w:r>
      <w:r>
        <w:t xml:space="preserve">, an agency within the U.S. Department of Defense that </w:t>
      </w:r>
      <w:r w:rsidRPr="008E7273">
        <w:t xml:space="preserve">provides financial and technical assistance, transfer of defense </w:t>
      </w:r>
      <w:proofErr w:type="spellStart"/>
      <w:r w:rsidRPr="008E7273">
        <w:t>matériel</w:t>
      </w:r>
      <w:proofErr w:type="spellEnd"/>
      <w:r w:rsidRPr="008E7273">
        <w:t>, training</w:t>
      </w:r>
      <w:r>
        <w:t>,</w:t>
      </w:r>
      <w:r w:rsidRPr="008E7273">
        <w:t xml:space="preserve"> and services to allies, and promotes military-to-military contacts</w:t>
      </w:r>
      <w:r>
        <w:t xml:space="preserve">, 2019 (“Glossary: Arms Control Export Act (AECA),” </w:t>
      </w:r>
      <w:r w:rsidRPr="00376C38">
        <w:rPr>
          <w:i/>
        </w:rPr>
        <w:t>Security Assistant Cooperation Management Manual</w:t>
      </w:r>
      <w:r>
        <w:t xml:space="preserve">, Available Online at </w:t>
      </w:r>
      <w:r w:rsidRPr="00D762A4">
        <w:t>https://www.samm.dsca.mil/glossary/arms-export-control-act-aeca</w:t>
      </w:r>
      <w:r>
        <w:t>, Accessed 07-30-2019)</w:t>
      </w:r>
    </w:p>
    <w:p w:rsidR="005F08ED" w:rsidRDefault="005F08ED" w:rsidP="005F08ED">
      <w:r>
        <w:t xml:space="preserve">Arms Control Export Act (AECA): </w:t>
      </w:r>
      <w:r w:rsidRPr="00D762A4">
        <w:rPr>
          <w:rStyle w:val="StyleUnderline"/>
          <w:highlight w:val="yellow"/>
        </w:rPr>
        <w:t>The</w:t>
      </w:r>
      <w:r w:rsidRPr="00D762A4">
        <w:rPr>
          <w:rStyle w:val="StyleUnderline"/>
        </w:rPr>
        <w:t xml:space="preserve"> basic U.S. </w:t>
      </w:r>
      <w:r w:rsidRPr="00D762A4">
        <w:rPr>
          <w:rStyle w:val="StyleUnderline"/>
          <w:highlight w:val="yellow"/>
        </w:rPr>
        <w:t>law providing the authority and general rules for the conduct of f</w:t>
      </w:r>
      <w:r w:rsidRPr="00D762A4">
        <w:rPr>
          <w:rStyle w:val="StyleUnderline"/>
        </w:rPr>
        <w:t xml:space="preserve">oreign </w:t>
      </w:r>
      <w:r w:rsidRPr="00D762A4">
        <w:rPr>
          <w:rStyle w:val="StyleUnderline"/>
          <w:highlight w:val="yellow"/>
        </w:rPr>
        <w:t>m</w:t>
      </w:r>
      <w:r w:rsidRPr="00D762A4">
        <w:rPr>
          <w:rStyle w:val="StyleUnderline"/>
        </w:rPr>
        <w:t xml:space="preserve">ilitary </w:t>
      </w:r>
      <w:r w:rsidRPr="00D762A4">
        <w:rPr>
          <w:rStyle w:val="StyleUnderline"/>
          <w:highlight w:val="yellow"/>
        </w:rPr>
        <w:t>s</w:t>
      </w:r>
      <w:r w:rsidRPr="00D762A4">
        <w:rPr>
          <w:rStyle w:val="StyleUnderline"/>
        </w:rPr>
        <w:t xml:space="preserve">ales </w:t>
      </w:r>
      <w:r w:rsidRPr="00D762A4">
        <w:rPr>
          <w:rStyle w:val="StyleUnderline"/>
          <w:highlight w:val="yellow"/>
        </w:rPr>
        <w:t>and c</w:t>
      </w:r>
      <w:r w:rsidRPr="00D762A4">
        <w:rPr>
          <w:rStyle w:val="StyleUnderline"/>
        </w:rPr>
        <w:t xml:space="preserve">ommercial </w:t>
      </w:r>
      <w:r w:rsidRPr="00D762A4">
        <w:rPr>
          <w:rStyle w:val="StyleUnderline"/>
          <w:highlight w:val="yellow"/>
        </w:rPr>
        <w:t>s</w:t>
      </w:r>
      <w:r w:rsidRPr="00D762A4">
        <w:rPr>
          <w:rStyle w:val="StyleUnderline"/>
        </w:rPr>
        <w:t xml:space="preserve">ales </w:t>
      </w:r>
      <w:r w:rsidRPr="00D762A4">
        <w:rPr>
          <w:rStyle w:val="StyleUnderline"/>
          <w:highlight w:val="yellow"/>
        </w:rPr>
        <w:t xml:space="preserve">of </w:t>
      </w:r>
      <w:r w:rsidRPr="00D762A4">
        <w:rPr>
          <w:rStyle w:val="Emphasis"/>
          <w:highlight w:val="yellow"/>
        </w:rPr>
        <w:t>defense articles</w:t>
      </w:r>
      <w:r w:rsidRPr="00D762A4">
        <w:rPr>
          <w:rStyle w:val="StyleUnderline"/>
          <w:highlight w:val="yellow"/>
        </w:rPr>
        <w:t xml:space="preserve">, </w:t>
      </w:r>
      <w:r w:rsidRPr="00D762A4">
        <w:rPr>
          <w:rStyle w:val="Emphasis"/>
          <w:highlight w:val="yellow"/>
        </w:rPr>
        <w:t>defense services</w:t>
      </w:r>
      <w:r w:rsidRPr="00D762A4">
        <w:rPr>
          <w:rStyle w:val="StyleUnderline"/>
          <w:highlight w:val="yellow"/>
        </w:rPr>
        <w:t xml:space="preserve">, and </w:t>
      </w:r>
      <w:r w:rsidRPr="00D762A4">
        <w:rPr>
          <w:rStyle w:val="Emphasis"/>
          <w:highlight w:val="yellow"/>
        </w:rPr>
        <w:t>training</w:t>
      </w:r>
      <w:r w:rsidRPr="00D762A4">
        <w:t>. The AECA came into existence with the passage of the Foreign Military Sales Act (FMSA) of 1968. An amendment in the International Security Assistance and Arms Export Control Act of 1976 changed the name of FMSA to the AECA.</w:t>
      </w:r>
    </w:p>
    <w:p w:rsidR="005F08ED" w:rsidRDefault="005F08ED" w:rsidP="005F08ED"/>
    <w:p w:rsidR="005F08ED" w:rsidRDefault="005F08ED" w:rsidP="005F08ED">
      <w:pPr>
        <w:pStyle w:val="Heading4"/>
      </w:pPr>
      <w:r>
        <w:t>4</w:t>
      </w:r>
      <w:r w:rsidRPr="007913BF">
        <w:t xml:space="preserve">. </w:t>
      </w:r>
      <w:r w:rsidRPr="0080535D">
        <w:rPr>
          <w:u w:val="single"/>
        </w:rPr>
        <w:t xml:space="preserve">No Limits </w:t>
      </w:r>
      <w:r>
        <w:rPr>
          <w:u w:val="single"/>
        </w:rPr>
        <w:t>or Neg Ground DA</w:t>
      </w:r>
      <w:r>
        <w:t xml:space="preserve"> — FMS and DCS </w:t>
      </w:r>
      <w:r>
        <w:rPr>
          <w:u w:val="single"/>
        </w:rPr>
        <w:t>only</w:t>
      </w:r>
      <w:r>
        <w:t xml:space="preserve"> include defense articles and services, not unrelated items. Including all of FMS/DCS is better for </w:t>
      </w:r>
      <w:proofErr w:type="spellStart"/>
      <w:r w:rsidRPr="007913BF">
        <w:t>aff</w:t>
      </w:r>
      <w:proofErr w:type="spellEnd"/>
      <w:r>
        <w:t xml:space="preserve"> </w:t>
      </w:r>
      <w:r w:rsidRPr="004B2C92">
        <w:rPr>
          <w:u w:val="single"/>
        </w:rPr>
        <w:t>and</w:t>
      </w:r>
      <w:r>
        <w:t xml:space="preserve"> neg </w:t>
      </w:r>
      <w:r w:rsidRPr="007913BF">
        <w:t>ground</w:t>
      </w:r>
      <w:r>
        <w:t xml:space="preserve"> because it creates </w:t>
      </w:r>
      <w:r>
        <w:rPr>
          <w:u w:val="single"/>
        </w:rPr>
        <w:t xml:space="preserve">bigger </w:t>
      </w:r>
      <w:proofErr w:type="spellStart"/>
      <w:r>
        <w:rPr>
          <w:u w:val="single"/>
        </w:rPr>
        <w:t>affs</w:t>
      </w:r>
      <w:proofErr w:type="spellEnd"/>
      <w:r>
        <w:t xml:space="preserve"> with </w:t>
      </w:r>
      <w:r>
        <w:rPr>
          <w:u w:val="single"/>
        </w:rPr>
        <w:t>better links</w:t>
      </w:r>
      <w:r>
        <w:t xml:space="preserve"> to core generics like the Supplier Shift DA.  </w:t>
      </w:r>
    </w:p>
    <w:p w:rsidR="005F08ED" w:rsidRDefault="005F08ED" w:rsidP="005F08ED"/>
    <w:p w:rsidR="005F08ED" w:rsidRPr="003A43EF" w:rsidRDefault="005F08ED" w:rsidP="005F08ED">
      <w:pPr>
        <w:pStyle w:val="Heading4"/>
        <w:rPr>
          <w:b w:val="0"/>
        </w:rPr>
      </w:pPr>
      <w:r w:rsidRPr="003A43EF">
        <w:t xml:space="preserve">5. </w:t>
      </w:r>
      <w:r>
        <w:rPr>
          <w:u w:val="single"/>
        </w:rPr>
        <w:t>Good Is Good Enough</w:t>
      </w:r>
      <w:r>
        <w:t xml:space="preserve"> — it’s the Saudi </w:t>
      </w:r>
      <w:proofErr w:type="spellStart"/>
      <w:r>
        <w:t>aff</w:t>
      </w:r>
      <w:proofErr w:type="spellEnd"/>
      <w:r>
        <w:t xml:space="preserve">. C’mon. </w:t>
      </w:r>
      <w:r w:rsidRPr="004B2C92">
        <w:rPr>
          <w:b w:val="0"/>
        </w:rPr>
        <w:t>(Searching</w:t>
      </w:r>
      <w:r w:rsidRPr="003A43EF">
        <w:rPr>
          <w:b w:val="0"/>
        </w:rPr>
        <w:t xml:space="preserve"> for the best definition is an </w:t>
      </w:r>
      <w:r w:rsidRPr="003A43EF">
        <w:rPr>
          <w:b w:val="0"/>
          <w:u w:val="single"/>
        </w:rPr>
        <w:t>endless distraction</w:t>
      </w:r>
      <w:r w:rsidRPr="003A43EF">
        <w:rPr>
          <w:b w:val="0"/>
        </w:rPr>
        <w:t xml:space="preserve"> from topic education. Prioritize </w:t>
      </w:r>
      <w:proofErr w:type="spellStart"/>
      <w:r w:rsidRPr="003A43EF">
        <w:rPr>
          <w:b w:val="0"/>
          <w:u w:val="single"/>
        </w:rPr>
        <w:t>debatability</w:t>
      </w:r>
      <w:proofErr w:type="spellEnd"/>
      <w:r w:rsidRPr="003A43EF">
        <w:rPr>
          <w:b w:val="0"/>
        </w:rPr>
        <w:t xml:space="preserve"> — definitional precision is only </w:t>
      </w:r>
      <w:r w:rsidRPr="003A43EF">
        <w:rPr>
          <w:b w:val="0"/>
          <w:u w:val="single"/>
        </w:rPr>
        <w:t>a means to that end</w:t>
      </w:r>
      <w:r w:rsidRPr="003A43EF">
        <w:rPr>
          <w:b w:val="0"/>
        </w:rPr>
        <w:t>.</w:t>
      </w:r>
      <w:r>
        <w:rPr>
          <w:b w:val="0"/>
        </w:rPr>
        <w:t>)</w:t>
      </w:r>
    </w:p>
    <w:p w:rsidR="005F08ED" w:rsidRDefault="005F08ED" w:rsidP="005F08ED"/>
    <w:p w:rsidR="005F08ED" w:rsidRDefault="005F08ED" w:rsidP="005F08ED">
      <w:pPr>
        <w:pStyle w:val="Heading3"/>
      </w:pPr>
      <w:r>
        <w:lastRenderedPageBreak/>
        <w:t>Extend: “Counter-Interpretation”</w:t>
      </w:r>
    </w:p>
    <w:p w:rsidR="005F08ED" w:rsidRDefault="005F08ED" w:rsidP="005F08ED">
      <w:pPr>
        <w:pStyle w:val="Heading4"/>
      </w:pPr>
      <w:r>
        <w:t xml:space="preserve">They misunderstand “arms” — it </w:t>
      </w:r>
      <w:r w:rsidRPr="007913BF">
        <w:rPr>
          <w:u w:val="single"/>
        </w:rPr>
        <w:t>includes</w:t>
      </w:r>
      <w:r>
        <w:t xml:space="preserve"> “components thereof” and training.</w:t>
      </w:r>
    </w:p>
    <w:p w:rsidR="005F08ED" w:rsidRPr="00127804" w:rsidRDefault="005F08ED" w:rsidP="005F08ED">
      <w:r w:rsidRPr="00376C38">
        <w:rPr>
          <w:rStyle w:val="Style13ptBold"/>
        </w:rPr>
        <w:t>DSCA 19</w:t>
      </w:r>
      <w:r>
        <w:t xml:space="preserve"> — </w:t>
      </w:r>
      <w:r w:rsidRPr="008E7273">
        <w:t>Defense Security Cooperation Agency</w:t>
      </w:r>
      <w:r>
        <w:t xml:space="preserve">, an agency within the U.S. Department of Defense that </w:t>
      </w:r>
      <w:r w:rsidRPr="008E7273">
        <w:t xml:space="preserve">provides financial and technical assistance, transfer of defense </w:t>
      </w:r>
      <w:proofErr w:type="spellStart"/>
      <w:r w:rsidRPr="008E7273">
        <w:t>matériel</w:t>
      </w:r>
      <w:proofErr w:type="spellEnd"/>
      <w:r w:rsidRPr="008E7273">
        <w:t>, training</w:t>
      </w:r>
      <w:r>
        <w:t>,</w:t>
      </w:r>
      <w:r w:rsidRPr="008E7273">
        <w:t xml:space="preserve"> and services to allies, and promotes military-to-military contacts</w:t>
      </w:r>
      <w:r>
        <w:t xml:space="preserve">, 2019 (“Glossary: Arms Transfers,” </w:t>
      </w:r>
      <w:r w:rsidRPr="00376C38">
        <w:rPr>
          <w:i/>
        </w:rPr>
        <w:t>Security Assistant Cooperation Management Manual</w:t>
      </w:r>
      <w:r>
        <w:t xml:space="preserve">, Available Online at </w:t>
      </w:r>
      <w:hyperlink r:id="rId11" w:history="1">
        <w:r w:rsidRPr="00415E34">
          <w:rPr>
            <w:rStyle w:val="Hyperlink"/>
          </w:rPr>
          <w:t>https://www.samm.dsca.mil/glossary/arms-transfers</w:t>
        </w:r>
      </w:hyperlink>
      <w:r>
        <w:t>, Accessed 07-30-2019)</w:t>
      </w:r>
    </w:p>
    <w:p w:rsidR="005F08ED" w:rsidRDefault="005F08ED" w:rsidP="005F08ED">
      <w:r w:rsidRPr="00127804">
        <w:rPr>
          <w:rStyle w:val="StyleUnderline"/>
          <w:highlight w:val="yellow"/>
        </w:rPr>
        <w:t>Arms Transfers: The sale</w:t>
      </w:r>
      <w:r w:rsidRPr="00936D4D">
        <w:rPr>
          <w:rStyle w:val="StyleUnderline"/>
        </w:rPr>
        <w:t xml:space="preserve">, lease, loan, or other transfer </w:t>
      </w:r>
      <w:r w:rsidRPr="00127804">
        <w:rPr>
          <w:rStyle w:val="StyleUnderline"/>
          <w:highlight w:val="yellow"/>
        </w:rPr>
        <w:t>of defense articles and</w:t>
      </w:r>
      <w:r w:rsidRPr="00936D4D">
        <w:rPr>
          <w:rStyle w:val="StyleUnderline"/>
        </w:rPr>
        <w:t xml:space="preserve"> defense </w:t>
      </w:r>
      <w:r w:rsidRPr="00127804">
        <w:rPr>
          <w:rStyle w:val="StyleUnderline"/>
          <w:highlight w:val="yellow"/>
        </w:rPr>
        <w:t xml:space="preserve">services such as arms, ammunition, and implements of war, </w:t>
      </w:r>
      <w:r w:rsidRPr="00127804">
        <w:rPr>
          <w:rStyle w:val="Emphasis"/>
          <w:highlight w:val="yellow"/>
        </w:rPr>
        <w:t>including components thereof</w:t>
      </w:r>
      <w:r w:rsidRPr="00127804">
        <w:rPr>
          <w:rStyle w:val="StyleUnderline"/>
          <w:highlight w:val="yellow"/>
        </w:rPr>
        <w:t xml:space="preserve">, and the </w:t>
      </w:r>
      <w:r w:rsidRPr="00127804">
        <w:rPr>
          <w:rStyle w:val="Emphasis"/>
          <w:highlight w:val="yellow"/>
        </w:rPr>
        <w:t>training</w:t>
      </w:r>
      <w:r w:rsidRPr="00127804">
        <w:rPr>
          <w:rStyle w:val="StyleUnderline"/>
          <w:highlight w:val="yellow"/>
        </w:rPr>
        <w:t xml:space="preserve">, </w:t>
      </w:r>
      <w:r w:rsidRPr="00127804">
        <w:rPr>
          <w:rStyle w:val="Emphasis"/>
          <w:highlight w:val="yellow"/>
        </w:rPr>
        <w:t>manufacturing licenses</w:t>
      </w:r>
      <w:r w:rsidRPr="00127804">
        <w:rPr>
          <w:rStyle w:val="StyleUnderline"/>
          <w:highlight w:val="yellow"/>
        </w:rPr>
        <w:t xml:space="preserve">, </w:t>
      </w:r>
      <w:r w:rsidRPr="00127804">
        <w:rPr>
          <w:rStyle w:val="Emphasis"/>
          <w:highlight w:val="yellow"/>
        </w:rPr>
        <w:t>technical assistance</w:t>
      </w:r>
      <w:r w:rsidRPr="00127804">
        <w:rPr>
          <w:rStyle w:val="StyleUnderline"/>
          <w:highlight w:val="yellow"/>
        </w:rPr>
        <w:t xml:space="preserve">, and </w:t>
      </w:r>
      <w:r w:rsidRPr="00127804">
        <w:rPr>
          <w:rStyle w:val="Emphasis"/>
          <w:highlight w:val="yellow"/>
        </w:rPr>
        <w:t>technical data</w:t>
      </w:r>
      <w:r w:rsidRPr="00127804">
        <w:rPr>
          <w:rStyle w:val="StyleUnderline"/>
          <w:highlight w:val="yellow"/>
        </w:rPr>
        <w:t xml:space="preserve"> related thereto, provided by the USG under the</w:t>
      </w:r>
      <w:r w:rsidRPr="00936D4D">
        <w:rPr>
          <w:rStyle w:val="StyleUnderline"/>
        </w:rPr>
        <w:t xml:space="preserve"> authority of the</w:t>
      </w:r>
      <w:r w:rsidRPr="00936D4D">
        <w:t xml:space="preserve"> Foreign Assistance Act (</w:t>
      </w:r>
      <w:r w:rsidRPr="00936D4D">
        <w:rPr>
          <w:rStyle w:val="StyleUnderline"/>
        </w:rPr>
        <w:t>FAA</w:t>
      </w:r>
      <w:r w:rsidRPr="00936D4D">
        <w:t xml:space="preserve">) of 1961, as amended, </w:t>
      </w:r>
      <w:r w:rsidRPr="00936D4D">
        <w:rPr>
          <w:rStyle w:val="StyleUnderline"/>
        </w:rPr>
        <w:t>or</w:t>
      </w:r>
      <w:r w:rsidRPr="00936D4D">
        <w:t xml:space="preserve"> the Arms Export Control Act (</w:t>
      </w:r>
      <w:r w:rsidRPr="00127804">
        <w:rPr>
          <w:rStyle w:val="StyleUnderline"/>
          <w:highlight w:val="yellow"/>
        </w:rPr>
        <w:t>AECA</w:t>
      </w:r>
      <w:r w:rsidRPr="00936D4D">
        <w:t>), as amended, or other statutory authority, or directly by commercial firms to foreign countries, foreign private firms, or to international organizations. See also conventional arms transfers.</w:t>
      </w:r>
    </w:p>
    <w:p w:rsidR="005F08ED" w:rsidRDefault="005F08ED" w:rsidP="005F08ED">
      <w:pPr>
        <w:rPr>
          <w:rFonts w:eastAsiaTheme="majorEastAsia" w:cstheme="majorBidi"/>
          <w:b/>
          <w:bCs/>
          <w:sz w:val="26"/>
          <w:szCs w:val="26"/>
        </w:rPr>
      </w:pPr>
    </w:p>
    <w:p w:rsidR="005F08ED" w:rsidRDefault="005F08ED" w:rsidP="005F08ED">
      <w:pPr>
        <w:pStyle w:val="Heading3"/>
      </w:pPr>
      <w:r>
        <w:lastRenderedPageBreak/>
        <w:t>Extend: “</w:t>
      </w:r>
      <w:proofErr w:type="spellStart"/>
      <w:r>
        <w:t>Aff</w:t>
      </w:r>
      <w:proofErr w:type="spellEnd"/>
      <w:r>
        <w:t xml:space="preserve"> Ground DA”</w:t>
      </w:r>
    </w:p>
    <w:p w:rsidR="005F08ED" w:rsidRPr="003A43EF" w:rsidRDefault="005F08ED" w:rsidP="005F08ED">
      <w:pPr>
        <w:pStyle w:val="Heading4"/>
      </w:pPr>
      <w:r>
        <w:t xml:space="preserve">They </w:t>
      </w:r>
      <w:r w:rsidRPr="001A1574">
        <w:rPr>
          <w:u w:val="single"/>
        </w:rPr>
        <w:t>functionally exclude</w:t>
      </w:r>
      <w:r>
        <w:t xml:space="preserve"> the Saudi coalition</w:t>
      </w:r>
      <w:r w:rsidR="00D66E5D">
        <w:t xml:space="preserve"> </w:t>
      </w:r>
      <w:proofErr w:type="spellStart"/>
      <w:r w:rsidR="00D66E5D">
        <w:t>aff</w:t>
      </w:r>
      <w:proofErr w:type="spellEnd"/>
      <w:r>
        <w:t xml:space="preserve">, the </w:t>
      </w:r>
      <w:r w:rsidRPr="001A1574">
        <w:rPr>
          <w:u w:val="single"/>
        </w:rPr>
        <w:t>biggest</w:t>
      </w:r>
      <w:r>
        <w:t xml:space="preserve"> and </w:t>
      </w:r>
      <w:r w:rsidRPr="001A1574">
        <w:rPr>
          <w:u w:val="single"/>
        </w:rPr>
        <w:t>most timely</w:t>
      </w:r>
      <w:r>
        <w:t xml:space="preserve"> case on the topic</w:t>
      </w:r>
      <w:r w:rsidR="00D66E5D">
        <w:t xml:space="preserve">. </w:t>
      </w:r>
      <w:r>
        <w:t xml:space="preserve">Here are two </w:t>
      </w:r>
      <w:r w:rsidR="00D66E5D" w:rsidRPr="00D66E5D">
        <w:rPr>
          <w:u w:val="single"/>
        </w:rPr>
        <w:t xml:space="preserve">representative </w:t>
      </w:r>
      <w:r w:rsidRPr="00D66E5D">
        <w:rPr>
          <w:u w:val="single"/>
        </w:rPr>
        <w:t>examples</w:t>
      </w:r>
      <w:r>
        <w:t xml:space="preserve"> from the recent emergency sales notifications:</w:t>
      </w:r>
    </w:p>
    <w:p w:rsidR="005F08ED" w:rsidRPr="00936D4D" w:rsidRDefault="005F08ED" w:rsidP="005F08ED"/>
    <w:p w:rsidR="005F08ED" w:rsidRDefault="005F08ED" w:rsidP="005F08ED">
      <w:pPr>
        <w:pStyle w:val="Heading4"/>
      </w:pPr>
      <w:r>
        <w:t xml:space="preserve">One. </w:t>
      </w:r>
    </w:p>
    <w:p w:rsidR="005F08ED" w:rsidRDefault="005F08ED" w:rsidP="005F08ED">
      <w:r w:rsidRPr="009B394A">
        <w:rPr>
          <w:rStyle w:val="Style13ptBold"/>
        </w:rPr>
        <w:t>DSCA 19</w:t>
      </w:r>
      <w:r>
        <w:t xml:space="preserve"> — </w:t>
      </w:r>
      <w:r w:rsidRPr="008E7273">
        <w:t>Defense Security Cooperation Agency</w:t>
      </w:r>
      <w:r>
        <w:t xml:space="preserve">, an agency within the U.S. Department of Defense that </w:t>
      </w:r>
      <w:r w:rsidRPr="008E7273">
        <w:t xml:space="preserve">provides financial and technical assistance, transfer of defense </w:t>
      </w:r>
      <w:proofErr w:type="spellStart"/>
      <w:r w:rsidRPr="008E7273">
        <w:t>matériel</w:t>
      </w:r>
      <w:proofErr w:type="spellEnd"/>
      <w:r w:rsidRPr="008E7273">
        <w:t>, training</w:t>
      </w:r>
      <w:r>
        <w:t>,</w:t>
      </w:r>
      <w:r w:rsidRPr="008E7273">
        <w:t xml:space="preserve"> and services to allies, and promotes military-to-military contacts</w:t>
      </w:r>
      <w:r>
        <w:t>, 2019 (“</w:t>
      </w:r>
      <w:r w:rsidRPr="00D45394">
        <w:t>Kingdom of Saudi Arabia – Aircraft Follow-on Support and Services</w:t>
      </w:r>
      <w:r>
        <w:t>,” Congressional Notification Transmittal Number 19-01, May 24</w:t>
      </w:r>
      <w:r w:rsidRPr="009B394A">
        <w:rPr>
          <w:vertAlign w:val="superscript"/>
        </w:rPr>
        <w:t>th</w:t>
      </w:r>
      <w:r>
        <w:t xml:space="preserve">, Available Online at </w:t>
      </w:r>
      <w:hyperlink r:id="rId12" w:history="1">
        <w:r w:rsidRPr="00415E34">
          <w:rPr>
            <w:rStyle w:val="Hyperlink"/>
          </w:rPr>
          <w:t>https://www.dsca.mil/major-arms-sales/kingdom-saudi-arabia-aircraft-follow-support-and-services-0</w:t>
        </w:r>
      </w:hyperlink>
      <w:r>
        <w:t>, Accessed 07-30-2019)</w:t>
      </w:r>
    </w:p>
    <w:p w:rsidR="005F08ED" w:rsidRDefault="005F08ED" w:rsidP="005F08ED">
      <w:r w:rsidRPr="009B394A">
        <w:rPr>
          <w:rStyle w:val="StyleUnderline"/>
        </w:rPr>
        <w:t>The State Department has made a determination approving a possible F</w:t>
      </w:r>
      <w:r>
        <w:t xml:space="preserve">oreign </w:t>
      </w:r>
      <w:r w:rsidRPr="009B394A">
        <w:rPr>
          <w:rStyle w:val="StyleUnderline"/>
        </w:rPr>
        <w:t>M</w:t>
      </w:r>
      <w:r>
        <w:t xml:space="preserve">ilitary </w:t>
      </w:r>
      <w:r w:rsidRPr="009B394A">
        <w:rPr>
          <w:rStyle w:val="StyleUnderline"/>
        </w:rPr>
        <w:t>S</w:t>
      </w:r>
      <w:r>
        <w:t xml:space="preserve">ale </w:t>
      </w:r>
      <w:r w:rsidRPr="009B394A">
        <w:rPr>
          <w:rStyle w:val="StyleUnderline"/>
        </w:rPr>
        <w:t>to</w:t>
      </w:r>
      <w:r>
        <w:t xml:space="preserve"> the Kingdom of </w:t>
      </w:r>
      <w:r w:rsidRPr="009B394A">
        <w:rPr>
          <w:rStyle w:val="StyleUnderline"/>
        </w:rPr>
        <w:t>Saudi Arabia of aircraft follow-on support and services</w:t>
      </w:r>
      <w:r>
        <w:t xml:space="preserve"> for an estimated cost of $1.8 billion.  The Defense Security Cooperation Agency delivered the required certification notifying Congress of this possible sale on May 24, 2019.</w:t>
      </w:r>
    </w:p>
    <w:p w:rsidR="005F08ED" w:rsidRDefault="005F08ED" w:rsidP="005F08ED">
      <w:r w:rsidRPr="009B7E72">
        <w:rPr>
          <w:rStyle w:val="StyleUnderline"/>
          <w:highlight w:val="yellow"/>
        </w:rPr>
        <w:t>Saudi Arabia has requested</w:t>
      </w:r>
      <w:r w:rsidRPr="009B394A">
        <w:rPr>
          <w:rStyle w:val="StyleUnderline"/>
        </w:rPr>
        <w:t xml:space="preserve"> to buy </w:t>
      </w:r>
      <w:r w:rsidRPr="009B7E72">
        <w:rPr>
          <w:rStyle w:val="Emphasis"/>
          <w:highlight w:val="yellow"/>
        </w:rPr>
        <w:t>follow-on logistics support and services</w:t>
      </w:r>
      <w:r w:rsidRPr="009B7E72">
        <w:rPr>
          <w:rStyle w:val="StyleUnderline"/>
          <w:highlight w:val="yellow"/>
        </w:rPr>
        <w:t xml:space="preserve"> for</w:t>
      </w:r>
      <w:r w:rsidRPr="009B394A">
        <w:rPr>
          <w:rStyle w:val="StyleUnderline"/>
        </w:rPr>
        <w:t xml:space="preserve"> the R</w:t>
      </w:r>
      <w:r>
        <w:t xml:space="preserve">oyal </w:t>
      </w:r>
      <w:r w:rsidRPr="009B394A">
        <w:rPr>
          <w:rStyle w:val="StyleUnderline"/>
        </w:rPr>
        <w:t>S</w:t>
      </w:r>
      <w:r>
        <w:t xml:space="preserve">audi </w:t>
      </w:r>
      <w:r w:rsidRPr="009B394A">
        <w:rPr>
          <w:rStyle w:val="StyleUnderline"/>
        </w:rPr>
        <w:t>A</w:t>
      </w:r>
      <w:r>
        <w:t xml:space="preserve">ir </w:t>
      </w:r>
      <w:r w:rsidRPr="009B394A">
        <w:rPr>
          <w:rStyle w:val="StyleUnderline"/>
        </w:rPr>
        <w:t>F</w:t>
      </w:r>
      <w:r>
        <w:t xml:space="preserve">orce </w:t>
      </w:r>
      <w:r w:rsidRPr="009B7E72">
        <w:rPr>
          <w:rStyle w:val="StyleUnderline"/>
          <w:highlight w:val="yellow"/>
        </w:rPr>
        <w:t xml:space="preserve">aircraft, engines, and weapons; </w:t>
      </w:r>
      <w:r w:rsidRPr="009B7E72">
        <w:rPr>
          <w:rStyle w:val="Emphasis"/>
          <w:highlight w:val="yellow"/>
        </w:rPr>
        <w:t>publications and technical documentation</w:t>
      </w:r>
      <w:r w:rsidRPr="009B7E72">
        <w:rPr>
          <w:rStyle w:val="StyleUnderline"/>
          <w:highlight w:val="yellow"/>
        </w:rPr>
        <w:t xml:space="preserve">; </w:t>
      </w:r>
      <w:r w:rsidRPr="009B7E72">
        <w:rPr>
          <w:rStyle w:val="Emphasis"/>
          <w:highlight w:val="yellow"/>
        </w:rPr>
        <w:t>support equipment</w:t>
      </w:r>
      <w:r w:rsidRPr="009B7E72">
        <w:rPr>
          <w:rStyle w:val="StyleUnderline"/>
          <w:highlight w:val="yellow"/>
        </w:rPr>
        <w:t xml:space="preserve">; </w:t>
      </w:r>
      <w:r w:rsidRPr="009B7E72">
        <w:rPr>
          <w:rStyle w:val="Emphasis"/>
          <w:highlight w:val="yellow"/>
        </w:rPr>
        <w:t>spare and repair parts</w:t>
      </w:r>
      <w:r w:rsidRPr="009B7E72">
        <w:rPr>
          <w:rStyle w:val="StyleUnderline"/>
          <w:highlight w:val="yellow"/>
        </w:rPr>
        <w:t xml:space="preserve">; </w:t>
      </w:r>
      <w:r w:rsidRPr="009B7E72">
        <w:rPr>
          <w:rStyle w:val="Emphasis"/>
          <w:highlight w:val="yellow"/>
        </w:rPr>
        <w:t>repair and return</w:t>
      </w:r>
      <w:r w:rsidRPr="009B7E72">
        <w:rPr>
          <w:rStyle w:val="StyleUnderline"/>
          <w:highlight w:val="yellow"/>
        </w:rPr>
        <w:t xml:space="preserve">; </w:t>
      </w:r>
      <w:r w:rsidRPr="009B7E72">
        <w:rPr>
          <w:rStyle w:val="Emphasis"/>
          <w:highlight w:val="yellow"/>
        </w:rPr>
        <w:t>calibration support and test equipment</w:t>
      </w:r>
      <w:r w:rsidRPr="009B7E72">
        <w:rPr>
          <w:rStyle w:val="StyleUnderline"/>
          <w:highlight w:val="yellow"/>
        </w:rPr>
        <w:t xml:space="preserve">; </w:t>
      </w:r>
      <w:r w:rsidRPr="009B7E72">
        <w:rPr>
          <w:rStyle w:val="Emphasis"/>
          <w:highlight w:val="yellow"/>
        </w:rPr>
        <w:t>personnel equipment</w:t>
      </w:r>
      <w:r w:rsidRPr="009B7E72">
        <w:rPr>
          <w:rStyle w:val="StyleUnderline"/>
          <w:highlight w:val="yellow"/>
        </w:rPr>
        <w:t>;</w:t>
      </w:r>
      <w:r w:rsidRPr="009B394A">
        <w:rPr>
          <w:rStyle w:val="StyleUnderline"/>
        </w:rPr>
        <w:t xml:space="preserve"> U.S. Government and contractor </w:t>
      </w:r>
      <w:r w:rsidRPr="009B7E72">
        <w:rPr>
          <w:rStyle w:val="Emphasis"/>
          <w:highlight w:val="yellow"/>
        </w:rPr>
        <w:t>technical and logistics support</w:t>
      </w:r>
      <w:r w:rsidRPr="009B7E72">
        <w:rPr>
          <w:rStyle w:val="StyleUnderline"/>
          <w:highlight w:val="yellow"/>
        </w:rPr>
        <w:t xml:space="preserve">, and </w:t>
      </w:r>
      <w:r w:rsidRPr="009B7E72">
        <w:rPr>
          <w:rStyle w:val="Emphasis"/>
          <w:highlight w:val="yellow"/>
        </w:rPr>
        <w:t>other related elements of program support</w:t>
      </w:r>
      <w:r w:rsidRPr="009B394A">
        <w:rPr>
          <w:rStyle w:val="StyleUnderline"/>
        </w:rPr>
        <w:t>.  Equipment and spares will be procured for support of, but not limited to, F-5, F-15, KA-350, C-130, KC-130, E-3, RE-3, and KE-3 aircraft.  The total estimated program cost will be $1.8 billion</w:t>
      </w:r>
      <w:r>
        <w:t>.</w:t>
      </w:r>
    </w:p>
    <w:p w:rsidR="005F08ED" w:rsidRDefault="005F08ED" w:rsidP="005F08ED"/>
    <w:p w:rsidR="005F08ED" w:rsidRDefault="005F08ED" w:rsidP="005F08ED">
      <w:pPr>
        <w:pStyle w:val="Heading4"/>
      </w:pPr>
      <w:r>
        <w:t xml:space="preserve">Two. </w:t>
      </w:r>
    </w:p>
    <w:p w:rsidR="005F08ED" w:rsidRDefault="005F08ED" w:rsidP="005F08ED">
      <w:r w:rsidRPr="009B394A">
        <w:rPr>
          <w:rStyle w:val="Style13ptBold"/>
        </w:rPr>
        <w:t>DSCA 19</w:t>
      </w:r>
      <w:r>
        <w:t xml:space="preserve"> — </w:t>
      </w:r>
      <w:r w:rsidRPr="008E7273">
        <w:t>Defense Security Cooperation Agency</w:t>
      </w:r>
      <w:r>
        <w:t xml:space="preserve">, an agency within the U.S. Department of Defense that </w:t>
      </w:r>
      <w:r w:rsidRPr="008E7273">
        <w:t xml:space="preserve">provides financial and technical assistance, transfer of defense </w:t>
      </w:r>
      <w:proofErr w:type="spellStart"/>
      <w:r w:rsidRPr="008E7273">
        <w:t>matériel</w:t>
      </w:r>
      <w:proofErr w:type="spellEnd"/>
      <w:r w:rsidRPr="008E7273">
        <w:t>, training</w:t>
      </w:r>
      <w:r>
        <w:t>,</w:t>
      </w:r>
      <w:r w:rsidRPr="008E7273">
        <w:t xml:space="preserve"> and services to allies, and promotes military-to-military contacts</w:t>
      </w:r>
      <w:r>
        <w:t>, 2019 (“</w:t>
      </w:r>
      <w:r w:rsidRPr="009B7E72">
        <w:t>Kingdom of Saudi Arabia – Continued Tactical Air Surveillance System Aircraft Support</w:t>
      </w:r>
      <w:r>
        <w:t>,” Congressional Notification Transmittal Number 18-31, May 24</w:t>
      </w:r>
      <w:r w:rsidRPr="009B7E72">
        <w:rPr>
          <w:vertAlign w:val="superscript"/>
        </w:rPr>
        <w:t>th</w:t>
      </w:r>
      <w:r>
        <w:t xml:space="preserve">, Available Online at </w:t>
      </w:r>
      <w:hyperlink r:id="rId13" w:history="1">
        <w:r w:rsidRPr="00415E34">
          <w:rPr>
            <w:rStyle w:val="Hyperlink"/>
          </w:rPr>
          <w:t>https://www.dsca.mil/major-arms-sales/kingdom-saudi-arabia-continued-tactical-air-surveillance-system-aircraft-support</w:t>
        </w:r>
      </w:hyperlink>
      <w:r>
        <w:t>, Accessed 07-30-2019)</w:t>
      </w:r>
    </w:p>
    <w:p w:rsidR="005F08ED" w:rsidRDefault="005F08ED" w:rsidP="005F08ED">
      <w:r w:rsidRPr="00E97FF6">
        <w:rPr>
          <w:rStyle w:val="StyleUnderline"/>
        </w:rPr>
        <w:t>The State Department has made a determination approving a possible F</w:t>
      </w:r>
      <w:r>
        <w:t xml:space="preserve">oreign </w:t>
      </w:r>
      <w:r w:rsidRPr="00E97FF6">
        <w:rPr>
          <w:rStyle w:val="StyleUnderline"/>
        </w:rPr>
        <w:t>M</w:t>
      </w:r>
      <w:r>
        <w:t xml:space="preserve">ilitary </w:t>
      </w:r>
      <w:r w:rsidRPr="00E97FF6">
        <w:rPr>
          <w:rStyle w:val="StyleUnderline"/>
        </w:rPr>
        <w:t>S</w:t>
      </w:r>
      <w:r>
        <w:t xml:space="preserve">ale </w:t>
      </w:r>
      <w:r w:rsidRPr="00E97FF6">
        <w:rPr>
          <w:rStyle w:val="StyleUnderline"/>
        </w:rPr>
        <w:t>to</w:t>
      </w:r>
      <w:r>
        <w:t xml:space="preserve"> the Kingdom of </w:t>
      </w:r>
      <w:r w:rsidRPr="00E97FF6">
        <w:rPr>
          <w:rStyle w:val="StyleUnderline"/>
        </w:rPr>
        <w:t>Saudi Arabia of continued Tactical Air Surveillance System Aircraft support</w:t>
      </w:r>
      <w:r>
        <w:t xml:space="preserve"> for an estimated cost of $136 million.  The Defense Security Cooperation Agency delivered the required certification notifying Congress of this possible sale on May 24, 2019.</w:t>
      </w:r>
    </w:p>
    <w:p w:rsidR="005F08ED" w:rsidRPr="00E97FF6" w:rsidRDefault="005F08ED" w:rsidP="005F08ED">
      <w:r w:rsidRPr="009B7E72">
        <w:rPr>
          <w:rStyle w:val="StyleUnderline"/>
          <w:highlight w:val="yellow"/>
        </w:rPr>
        <w:t>Saudi Arabia has requested</w:t>
      </w:r>
      <w:r w:rsidRPr="00E97FF6">
        <w:rPr>
          <w:rStyle w:val="StyleUnderline"/>
        </w:rPr>
        <w:t xml:space="preserve"> to purchase </w:t>
      </w:r>
      <w:r w:rsidRPr="009B7E72">
        <w:rPr>
          <w:rStyle w:val="Emphasis"/>
          <w:highlight w:val="yellow"/>
        </w:rPr>
        <w:t>spare and repair parts</w:t>
      </w:r>
      <w:r w:rsidRPr="009B7E72">
        <w:rPr>
          <w:rStyle w:val="StyleUnderline"/>
          <w:highlight w:val="yellow"/>
        </w:rPr>
        <w:t>,</w:t>
      </w:r>
      <w:r w:rsidRPr="00E97FF6">
        <w:rPr>
          <w:rStyle w:val="StyleUnderline"/>
        </w:rPr>
        <w:t xml:space="preserve"> U.S. Government and contractor </w:t>
      </w:r>
      <w:r w:rsidRPr="009B7E72">
        <w:rPr>
          <w:rStyle w:val="Emphasis"/>
          <w:highlight w:val="yellow"/>
        </w:rPr>
        <w:t>engineering, technical, and logistics support services</w:t>
      </w:r>
      <w:r w:rsidRPr="009B7E72">
        <w:rPr>
          <w:rStyle w:val="StyleUnderline"/>
          <w:highlight w:val="yellow"/>
        </w:rPr>
        <w:t xml:space="preserve">, and other </w:t>
      </w:r>
      <w:r w:rsidRPr="009B7E72">
        <w:rPr>
          <w:rStyle w:val="Emphasis"/>
          <w:highlight w:val="yellow"/>
        </w:rPr>
        <w:t>related elements of program support</w:t>
      </w:r>
      <w:r w:rsidRPr="00E97FF6">
        <w:rPr>
          <w:rStyle w:val="StyleUnderline"/>
        </w:rPr>
        <w:t xml:space="preserve"> for their TASS</w:t>
      </w:r>
      <w:r>
        <w:t xml:space="preserve"> (Tactical Air Surveillance System) aircraft program.  Additionally, the sale will support rehabilitation of the integrated lab located in the United States used for testing and troubleshooting.  </w:t>
      </w:r>
      <w:r w:rsidRPr="00E97FF6">
        <w:rPr>
          <w:rStyle w:val="StyleUnderline"/>
        </w:rPr>
        <w:t>The total estimated program cost will be $136 million</w:t>
      </w:r>
      <w:r>
        <w:t>.</w:t>
      </w:r>
    </w:p>
    <w:p w:rsidR="00E42E4C" w:rsidRPr="00F601E6" w:rsidRDefault="00E42E4C" w:rsidP="00F601E6">
      <w:bookmarkStart w:id="0" w:name="_GoBack"/>
      <w:bookmarkEnd w:id="0"/>
    </w:p>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0000500000000020000"/>
    <w:charset w:val="00"/>
    <w:family w:val="auto"/>
    <w:pitch w:val="variable"/>
    <w:sig w:usb0="E00002FF" w:usb1="5000205A"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200"/>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5F08ED"/>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730C"/>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125"/>
    <w:rsid w:val="005B3244"/>
    <w:rsid w:val="005B6EE8"/>
    <w:rsid w:val="005B7731"/>
    <w:rsid w:val="005C4515"/>
    <w:rsid w:val="005C5602"/>
    <w:rsid w:val="005C74A6"/>
    <w:rsid w:val="005D3B4D"/>
    <w:rsid w:val="005D615C"/>
    <w:rsid w:val="005E1860"/>
    <w:rsid w:val="005F063B"/>
    <w:rsid w:val="005F08ED"/>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0D19"/>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4132"/>
    <w:rsid w:val="009B69F5"/>
    <w:rsid w:val="009C5FF7"/>
    <w:rsid w:val="009C6292"/>
    <w:rsid w:val="009D15DB"/>
    <w:rsid w:val="009D3133"/>
    <w:rsid w:val="009E160D"/>
    <w:rsid w:val="009E646C"/>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17AA"/>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66E5D"/>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B48EE"/>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CD3E1395-852F-F74A-99E8-C14A5C6E8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5F08ED"/>
    <w:rPr>
      <w:rFonts w:ascii="Garamond" w:hAnsi="Garamond"/>
      <w:sz w:val="16"/>
    </w:rPr>
  </w:style>
  <w:style w:type="paragraph" w:styleId="Heading1">
    <w:name w:val="heading 1"/>
    <w:aliases w:val="Pocket"/>
    <w:basedOn w:val="Normal"/>
    <w:next w:val="Normal"/>
    <w:link w:val="Heading1Char"/>
    <w:uiPriority w:val="9"/>
    <w:qFormat/>
    <w:rsid w:val="005F08E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F08ED"/>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Char Char,Char Char Char Char Char Char Char Char,Char Char Char Char Char Char Char, Char Char, Char Char Char Char Char Char Char Char, Char Char Char Char Char Char Char,Heading 3 Char Char, Char,Citation,Tag Char Char,Read Char,Char"/>
    <w:basedOn w:val="Normal"/>
    <w:next w:val="Normal"/>
    <w:link w:val="Heading3Char"/>
    <w:uiPriority w:val="9"/>
    <w:unhideWhenUsed/>
    <w:qFormat/>
    <w:rsid w:val="005F08ED"/>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9"/>
    <w:unhideWhenUsed/>
    <w:qFormat/>
    <w:rsid w:val="005F08ED"/>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5F08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F08ED"/>
  </w:style>
  <w:style w:type="character" w:customStyle="1" w:styleId="Heading1Char">
    <w:name w:val="Heading 1 Char"/>
    <w:aliases w:val="Pocket Char"/>
    <w:basedOn w:val="DefaultParagraphFont"/>
    <w:link w:val="Heading1"/>
    <w:uiPriority w:val="9"/>
    <w:rsid w:val="005F08ED"/>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5F08ED"/>
    <w:rPr>
      <w:rFonts w:ascii="Garamond" w:eastAsiaTheme="majorEastAsia" w:hAnsi="Garamond" w:cstheme="majorBidi"/>
      <w:b/>
      <w:bCs/>
      <w:sz w:val="44"/>
      <w:szCs w:val="44"/>
      <w:u w:val="double"/>
    </w:rPr>
  </w:style>
  <w:style w:type="character" w:customStyle="1" w:styleId="Heading3Char">
    <w:name w:val="Heading 3 Char"/>
    <w:aliases w:val="Block Char,Char Char Char,Char Char Char Char Char Char Char Char Char,Char Char Char Char Char Char Char Char1, Char Char Char, Char Char Char Char Char Char Char Char Char, Char Char Char Char Char Char Char Char1, Char Char1,Char Char1"/>
    <w:basedOn w:val="DefaultParagraphFont"/>
    <w:link w:val="Heading3"/>
    <w:uiPriority w:val="9"/>
    <w:rsid w:val="005F08ED"/>
    <w:rPr>
      <w:rFonts w:ascii="Garamond" w:eastAsiaTheme="majorEastAsia" w:hAnsi="Garamond"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9"/>
    <w:rsid w:val="005F08ED"/>
    <w:rPr>
      <w:rFonts w:ascii="Garamond" w:eastAsiaTheme="majorEastAsia" w:hAnsi="Garamond"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5F08ED"/>
    <w:rPr>
      <w:b/>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Bol"/>
    <w:basedOn w:val="DefaultParagraphFont"/>
    <w:uiPriority w:val="1"/>
    <w:qFormat/>
    <w:rsid w:val="005F08ED"/>
    <w:rPr>
      <w:b w:val="0"/>
      <w:sz w:val="26"/>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20"/>
    <w:qFormat/>
    <w:rsid w:val="005F08ED"/>
    <w:rPr>
      <w:rFonts w:ascii="Garamond" w:hAnsi="Garamond"/>
      <w:b/>
      <w:i w:val="0"/>
      <w:iCs/>
      <w:sz w:val="26"/>
      <w:u w:val="single"/>
      <w:bdr w:val="none" w:sz="0" w:space="0" w:color="auto"/>
    </w:rPr>
  </w:style>
  <w:style w:type="character" w:styleId="FollowedHyperlink">
    <w:name w:val="FollowedHyperlink"/>
    <w:basedOn w:val="DefaultParagraphFont"/>
    <w:uiPriority w:val="99"/>
    <w:semiHidden/>
    <w:unhideWhenUsed/>
    <w:rsid w:val="005F08ED"/>
    <w:rPr>
      <w:color w:val="auto"/>
      <w:u w:val="none"/>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Block Char1"/>
    <w:basedOn w:val="DefaultParagraphFont"/>
    <w:link w:val="Card"/>
    <w:uiPriority w:val="99"/>
    <w:unhideWhenUsed/>
    <w:rsid w:val="005F08ED"/>
    <w:rPr>
      <w:color w:val="auto"/>
      <w:u w:val="none"/>
    </w:rPr>
  </w:style>
  <w:style w:type="paragraph" w:styleId="DocumentMap">
    <w:name w:val="Document Map"/>
    <w:basedOn w:val="Normal"/>
    <w:link w:val="DocumentMapChar"/>
    <w:uiPriority w:val="99"/>
    <w:semiHidden/>
    <w:unhideWhenUsed/>
    <w:rsid w:val="005F08E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F08ED"/>
    <w:rPr>
      <w:rFonts w:ascii="Lucida Grande" w:hAnsi="Lucida Grande" w:cs="Lucida Grande"/>
    </w:rPr>
  </w:style>
  <w:style w:type="paragraph" w:customStyle="1" w:styleId="textbold">
    <w:name w:val="text bold"/>
    <w:basedOn w:val="Normal"/>
    <w:link w:val="Emphasis"/>
    <w:uiPriority w:val="20"/>
    <w:qFormat/>
    <w:rsid w:val="005F08ED"/>
    <w:pPr>
      <w:pBdr>
        <w:top w:val="single" w:sz="18" w:space="0" w:color="auto"/>
        <w:left w:val="single" w:sz="18" w:space="0" w:color="auto"/>
        <w:bottom w:val="single" w:sz="18" w:space="0" w:color="auto"/>
        <w:right w:val="single" w:sz="18" w:space="0" w:color="auto"/>
      </w:pBdr>
      <w:spacing w:after="160" w:line="254" w:lineRule="auto"/>
      <w:ind w:left="720"/>
      <w:jc w:val="both"/>
    </w:pPr>
    <w:rPr>
      <w:b/>
      <w:iCs/>
      <w:sz w:val="26"/>
      <w:u w:val="single"/>
    </w:rPr>
  </w:style>
  <w:style w:type="paragraph" w:customStyle="1" w:styleId="Card">
    <w:name w:val="Card"/>
    <w:aliases w:val="card,Medium Grid 21,Tags,No Spacing31,No Spacing22,No Spacing3,tag,Dont use,No Spacing41,No Spacing111112,No Spacing111111,Small Text,Tag and Cite,nonunderlined,Debate Text,No Spacing11,No Spacing111,No Spacing2,Read stuff,Note Level 2,No Spacing6"/>
    <w:basedOn w:val="Heading1"/>
    <w:link w:val="Hyperlink"/>
    <w:autoRedefine/>
    <w:uiPriority w:val="99"/>
    <w:qFormat/>
    <w:rsid w:val="005F08E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sca.mil/major-arms-sales/kingdom-saudi-arabia-continued-tactical-air-surveillance-system-aircraft-suppor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dsca.mil/major-arms-sales/kingdom-saudi-arabia-aircraft-follow-support-and-services-0"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amm.dsca.mil/glossary/arms-transfers"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https://www.gao.gov/assets/250/242026.pdf" TargetMode="External"/><Relationship Id="rId4" Type="http://schemas.openxmlformats.org/officeDocument/2006/relationships/customXml" Target="../customXml/item4.xml"/><Relationship Id="rId9" Type="http://schemas.openxmlformats.org/officeDocument/2006/relationships/hyperlink" Target="https://www.gao.gov/assets/650/648264.pdf"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illbatte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E4C3EEB6-11BD-E846-BEAA-88830F1A7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Pages>
  <Words>1493</Words>
  <Characters>8513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cp:revision>
  <dcterms:created xsi:type="dcterms:W3CDTF">2019-07-30T16:54:00Z</dcterms:created>
  <dcterms:modified xsi:type="dcterms:W3CDTF">2019-07-30T16:55:00Z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