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D93952" w14:textId="7EDA47A0" w:rsidR="002B0615" w:rsidRDefault="002B0615" w:rsidP="002B0615">
      <w:pPr>
        <w:pStyle w:val="Heading2"/>
      </w:pPr>
      <w:r>
        <w:t>2NC</w:t>
      </w:r>
    </w:p>
    <w:p w14:paraId="16FAC5DB" w14:textId="5E3B44F8" w:rsidR="002B0615" w:rsidRPr="002B0615" w:rsidRDefault="002B0615" w:rsidP="002B0615">
      <w:pPr>
        <w:pStyle w:val="Heading3"/>
      </w:pPr>
      <w:r>
        <w:t>AT: PDB -- Extra</w:t>
      </w:r>
    </w:p>
    <w:p w14:paraId="0078E140" w14:textId="77777777" w:rsidR="002B0615" w:rsidRDefault="002B0615" w:rsidP="002B0615">
      <w:pPr>
        <w:pStyle w:val="Heading4"/>
      </w:pPr>
      <w:r>
        <w:t>Regulatory overlap creates chaos and undermines effectiveness of both branches</w:t>
      </w:r>
    </w:p>
    <w:p w14:paraId="3865FB4A" w14:textId="77777777" w:rsidR="002B0615" w:rsidRPr="00677CCD" w:rsidRDefault="002B0615" w:rsidP="002B0615">
      <w:proofErr w:type="spellStart"/>
      <w:r w:rsidRPr="00677CCD">
        <w:rPr>
          <w:rStyle w:val="Style13ptBold"/>
        </w:rPr>
        <w:t>Aagaard</w:t>
      </w:r>
      <w:proofErr w:type="spellEnd"/>
      <w:r w:rsidRPr="00677CCD">
        <w:rPr>
          <w:rStyle w:val="Style13ptBold"/>
        </w:rPr>
        <w:t xml:space="preserve"> 11</w:t>
      </w:r>
      <w:r>
        <w:t xml:space="preserve"> – Todd </w:t>
      </w:r>
      <w:proofErr w:type="spellStart"/>
      <w:r>
        <w:t>Aagaard</w:t>
      </w:r>
      <w:proofErr w:type="spellEnd"/>
      <w:r>
        <w:t xml:space="preserve"> is a Professor of Law at Villanova University.</w:t>
      </w:r>
      <w:r w:rsidRPr="00677CCD">
        <w:t xml:space="preserve"> </w:t>
      </w:r>
      <w:r>
        <w:t>(</w:t>
      </w:r>
      <w:r w:rsidRPr="00677CCD">
        <w:t>"Regulatory overlap, overlapping legal fields, and statutory discontinuities"</w:t>
      </w:r>
      <w:r>
        <w:t xml:space="preserve">, </w:t>
      </w:r>
      <w:proofErr w:type="spellStart"/>
      <w:r>
        <w:t>HeinOnline</w:t>
      </w:r>
      <w:proofErr w:type="spellEnd"/>
      <w:r>
        <w:t>,</w:t>
      </w:r>
      <w:r w:rsidRPr="00677CCD">
        <w:t xml:space="preserve"> </w:t>
      </w:r>
      <w:r>
        <w:t xml:space="preserve">7-16-11, </w:t>
      </w:r>
      <w:hyperlink r:id="rId6" w:history="1">
        <w:r w:rsidRPr="00B11A45">
          <w:rPr>
            <w:rStyle w:val="Hyperlink"/>
          </w:rPr>
          <w:t>https://heinonline-org.proxy.lib.umich.edu/HOL/Page?handle=hein.journals/velj29&amp;div=14&amp;g_sent=1&amp;casa_token=&amp;collection=journals</w:t>
        </w:r>
      </w:hyperlink>
      <w:r>
        <w:t>, accessed 7-17-20)//</w:t>
      </w:r>
      <w:proofErr w:type="spellStart"/>
      <w:r>
        <w:t>kel</w:t>
      </w:r>
      <w:proofErr w:type="spellEnd"/>
      <w:r>
        <w:t>$</w:t>
      </w:r>
    </w:p>
    <w:p w14:paraId="3B6611B6" w14:textId="77777777" w:rsidR="002B0615" w:rsidRDefault="002B0615" w:rsidP="002B0615">
      <w:pPr>
        <w:rPr>
          <w:sz w:val="16"/>
        </w:rPr>
      </w:pPr>
      <w:r w:rsidRPr="00677CCD">
        <w:rPr>
          <w:sz w:val="16"/>
        </w:rPr>
        <w:t xml:space="preserve">The traditional criticism of </w:t>
      </w:r>
      <w:r w:rsidRPr="00677CCD">
        <w:rPr>
          <w:rStyle w:val="StyleUnderline"/>
        </w:rPr>
        <w:t>regulatory overlap</w:t>
      </w:r>
      <w:r w:rsidRPr="00677CCD">
        <w:rPr>
          <w:sz w:val="16"/>
        </w:rPr>
        <w:t xml:space="preserve"> asserts that it </w:t>
      </w:r>
      <w:r w:rsidRPr="00677CCD">
        <w:rPr>
          <w:rStyle w:val="StyleUnderline"/>
        </w:rPr>
        <w:t>leads to duplication that wastes government resources.</w:t>
      </w:r>
      <w:r w:rsidRPr="00677CCD">
        <w:rPr>
          <w:sz w:val="16"/>
        </w:rPr>
        <w:t xml:space="preserve"> In 1922, for example, Francis W. Coker argued for consolidating agency programs on the ground that "[n]o serious exception can be taken" to "the principle of economy: </w:t>
      </w:r>
      <w:r w:rsidRPr="00677CCD">
        <w:rPr>
          <w:rStyle w:val="StyleUnderline"/>
        </w:rPr>
        <w:t>save money and effort by eliminating duplication and</w:t>
      </w:r>
      <w:r w:rsidRPr="00677CCD">
        <w:rPr>
          <w:sz w:val="16"/>
        </w:rPr>
        <w:t xml:space="preserve"> overlapping of activity; save both in overhead expense and in clerical, inspectional, and other subordinate work, by </w:t>
      </w:r>
      <w:r w:rsidRPr="00677CCD">
        <w:rPr>
          <w:rStyle w:val="StyleUnderline"/>
        </w:rPr>
        <w:t>bringing together into one large department agencies performing closely similar and closely interrelated functions</w:t>
      </w:r>
      <w:r w:rsidRPr="00677CCD">
        <w:rPr>
          <w:sz w:val="16"/>
        </w:rPr>
        <w:t xml:space="preserve">." Similar ideas persist today. Even if regulatory overlap has some benefits and therefore does not entirely waste government resources, it still </w:t>
      </w:r>
      <w:r w:rsidRPr="00677CCD">
        <w:rPr>
          <w:rStyle w:val="StyleUnderline"/>
        </w:rPr>
        <w:t>costs more to administer overlapping programs than to run a single consolidated program.</w:t>
      </w:r>
      <w:r w:rsidRPr="00677CCD">
        <w:rPr>
          <w:sz w:val="16"/>
        </w:rPr>
        <w:t xml:space="preserve"> Conflict In addition to targeting overlap on the ground that it creates waste, analysts and scholars have noted other problems. </w:t>
      </w:r>
      <w:r w:rsidRPr="00677CCD">
        <w:rPr>
          <w:rStyle w:val="StyleUnderline"/>
        </w:rPr>
        <w:t>Giving multiple agencies jurisdiction to regulate</w:t>
      </w:r>
      <w:r w:rsidRPr="00677CCD">
        <w:rPr>
          <w:sz w:val="16"/>
        </w:rPr>
        <w:t xml:space="preserve"> in the same area </w:t>
      </w:r>
      <w:r w:rsidRPr="00677CCD">
        <w:rPr>
          <w:rStyle w:val="StyleUnderline"/>
        </w:rPr>
        <w:t>creates opportunities for conflicting regulations</w:t>
      </w:r>
      <w:r w:rsidRPr="00677CCD">
        <w:rPr>
          <w:sz w:val="16"/>
        </w:rPr>
        <w:t>. Regulations that do not directly conflict-i.e., it is possible to comply with both sets of regulations-still</w:t>
      </w:r>
      <w:r w:rsidRPr="00677CCD">
        <w:rPr>
          <w:rStyle w:val="StyleUnderline"/>
        </w:rPr>
        <w:t xml:space="preserve"> may regulate inconsistently or work at cross-purposes</w:t>
      </w:r>
      <w:r w:rsidRPr="00677CCD">
        <w:rPr>
          <w:sz w:val="16"/>
        </w:rPr>
        <w:t xml:space="preserve">. Regulations that conflict or work inconsistently </w:t>
      </w:r>
      <w:r w:rsidRPr="00677CCD">
        <w:rPr>
          <w:rStyle w:val="StyleUnderline"/>
        </w:rPr>
        <w:t>create incoherence, undermine each other's effectiveness, and increase compliance burdens on the targets of regulation.</w:t>
      </w:r>
      <w:r w:rsidRPr="00677CCD">
        <w:rPr>
          <w:sz w:val="16"/>
        </w:rPr>
        <w:t xml:space="preserve"> </w:t>
      </w:r>
    </w:p>
    <w:p w14:paraId="18C61592" w14:textId="77777777" w:rsidR="002B0615" w:rsidRDefault="002B0615" w:rsidP="002B0615">
      <w:pPr>
        <w:pStyle w:val="Heading4"/>
      </w:pPr>
      <w:r>
        <w:t xml:space="preserve">Congress will </w:t>
      </w:r>
      <w:proofErr w:type="gramStart"/>
      <w:r>
        <w:t>be seen as</w:t>
      </w:r>
      <w:proofErr w:type="gramEnd"/>
      <w:r>
        <w:t xml:space="preserve"> overriding Court decisions, politicizing the plan</w:t>
      </w:r>
    </w:p>
    <w:p w14:paraId="023640C2" w14:textId="77777777" w:rsidR="002B0615" w:rsidRPr="00C37641" w:rsidRDefault="002B0615" w:rsidP="002B0615">
      <w:proofErr w:type="spellStart"/>
      <w:r w:rsidRPr="00C37641">
        <w:rPr>
          <w:rStyle w:val="Style13ptBold"/>
        </w:rPr>
        <w:t>Hasen</w:t>
      </w:r>
      <w:proofErr w:type="spellEnd"/>
      <w:r w:rsidRPr="00C37641">
        <w:rPr>
          <w:rStyle w:val="Style13ptBold"/>
        </w:rPr>
        <w:t xml:space="preserve"> 18</w:t>
      </w:r>
      <w:r>
        <w:t xml:space="preserve"> – </w:t>
      </w:r>
      <w:r w:rsidRPr="00C37641">
        <w:t xml:space="preserve">Richard L. </w:t>
      </w:r>
      <w:proofErr w:type="spellStart"/>
      <w:r w:rsidRPr="00C37641">
        <w:t>Hasen</w:t>
      </w:r>
      <w:proofErr w:type="spellEnd"/>
      <w:r w:rsidRPr="00C37641">
        <w:t xml:space="preserve"> is an American legal scholar and expert in legislation, election law and campaign finance.</w:t>
      </w:r>
      <w:r>
        <w:t xml:space="preserve"> (“</w:t>
      </w:r>
      <w:r w:rsidRPr="00C37641">
        <w:t>End of the Dialogue: Political Polarization, the Supreme Court, and Congress</w:t>
      </w:r>
      <w:r>
        <w:t xml:space="preserve">”, </w:t>
      </w:r>
      <w:proofErr w:type="spellStart"/>
      <w:r>
        <w:t>HeinOnline</w:t>
      </w:r>
      <w:proofErr w:type="spellEnd"/>
      <w:r>
        <w:t xml:space="preserve">, January 18, </w:t>
      </w:r>
      <w:hyperlink r:id="rId7" w:history="1">
        <w:r w:rsidRPr="00627088">
          <w:rPr>
            <w:rStyle w:val="Hyperlink"/>
          </w:rPr>
          <w:t>https://heinonline-org.proxy.lib.umich.edu/HOL/Contents?handle=hein.journals/scal86&amp;id=1&amp;size=2&amp;index=&amp;collection=journals</w:t>
        </w:r>
      </w:hyperlink>
      <w:r>
        <w:t>, accessed 7-23-20)//</w:t>
      </w:r>
      <w:proofErr w:type="spellStart"/>
      <w:r>
        <w:t>kel</w:t>
      </w:r>
      <w:proofErr w:type="spellEnd"/>
      <w:r>
        <w:t>$</w:t>
      </w:r>
    </w:p>
    <w:p w14:paraId="765F0739" w14:textId="77777777" w:rsidR="002B0615" w:rsidRPr="00C37641" w:rsidRDefault="002B0615" w:rsidP="002B0615">
      <w:r>
        <w:t xml:space="preserve">Consistent with Eskridge, there is a broad, technical literature in public choice and positive political theory which generally posits that the </w:t>
      </w:r>
      <w:r w:rsidRPr="00C37641">
        <w:rPr>
          <w:rStyle w:val="StyleUnderline"/>
        </w:rPr>
        <w:t>Justices seek to interpret federal statutes</w:t>
      </w:r>
      <w:r>
        <w:t xml:space="preserve"> as close as possible to their own </w:t>
      </w:r>
      <w:r w:rsidRPr="00C37641">
        <w:rPr>
          <w:rStyle w:val="StyleUnderline"/>
        </w:rPr>
        <w:t>preferences without being overridden by Congres</w:t>
      </w:r>
      <w:r>
        <w:t>s. 47 The chances of</w:t>
      </w:r>
      <w:r w:rsidRPr="00C37641">
        <w:t xml:space="preserve"> </w:t>
      </w:r>
      <w:r>
        <w:t xml:space="preserve">congressional override depend not only upon the preferences of the median </w:t>
      </w:r>
      <w:r w:rsidRPr="00C37641">
        <w:rPr>
          <w:rStyle w:val="StyleUnderline"/>
        </w:rPr>
        <w:t>member of Congress</w:t>
      </w:r>
      <w:r>
        <w:t xml:space="preserve"> but also upon the preferences of </w:t>
      </w:r>
      <w:r w:rsidRPr="00C37641">
        <w:rPr>
          <w:rStyle w:val="StyleUnderline"/>
        </w:rPr>
        <w:t>committee chairs and party leaders</w:t>
      </w:r>
      <w:r>
        <w:t xml:space="preserve">, who act as the gatekeepers for legislation. Jeb Barnes's detailed study of one hundred randomly selected overrides in the 1974-1990 period found that "members of Congress-or, more precisely, members of prestige and re-election committees-tend to draft more comprehensive and effective overrides, especially when the override issue involves the collection of tax revenue." 48 Further, "if the override issue </w:t>
      </w:r>
      <w:r w:rsidRPr="00C37641">
        <w:rPr>
          <w:rStyle w:val="StyleUnderline"/>
        </w:rPr>
        <w:t>split the courts along partisan lines</w:t>
      </w:r>
      <w:r>
        <w:t xml:space="preserve"> in the pre-override period, </w:t>
      </w:r>
      <w:r w:rsidRPr="00C37641">
        <w:rPr>
          <w:rStyle w:val="StyleUnderline"/>
        </w:rPr>
        <w:t xml:space="preserve">federal judges seemed more likely to resist congressional oversight, especially when the issue involved the interpretation of the statutory rights of </w:t>
      </w:r>
      <w:r>
        <w:t xml:space="preserve">discrete, insular </w:t>
      </w:r>
      <w:r w:rsidRPr="00C37641">
        <w:rPr>
          <w:rStyle w:val="StyleUnderline"/>
        </w:rPr>
        <w:t>minorities, such as African Americans or immigrants</w:t>
      </w:r>
      <w:r>
        <w:t xml:space="preserve">."4 9 Nancy Staudt, Ren6 </w:t>
      </w:r>
      <w:proofErr w:type="spellStart"/>
      <w:r>
        <w:t>Lindstildt</w:t>
      </w:r>
      <w:proofErr w:type="spellEnd"/>
      <w:r>
        <w:t xml:space="preserve">, and Jason O'Connor canvassed all express congressional responses-and not just overrides-to Supreme Court tax decisions from 1954 to 2005. The authors found that the </w:t>
      </w:r>
      <w:r w:rsidRPr="00C37641">
        <w:rPr>
          <w:rStyle w:val="StyleUnderline"/>
        </w:rPr>
        <w:t>Court-Congress dynamic is not unidimensional but rather nuanced and varied</w:t>
      </w:r>
      <w:r>
        <w:t xml:space="preserve">. The existing literature implies </w:t>
      </w:r>
      <w:r w:rsidRPr="00C37641">
        <w:rPr>
          <w:rStyle w:val="StyleUnderline"/>
        </w:rPr>
        <w:t>when Congress responds to the Court, it does so in a hostile manner</w:t>
      </w:r>
      <w:r>
        <w:t>. To be sure, ju</w:t>
      </w:r>
      <w:r w:rsidRPr="00C37641">
        <w:rPr>
          <w:rStyle w:val="StyleUnderline"/>
        </w:rPr>
        <w:t>dicial decisions often spark a negative response in Congress</w:t>
      </w:r>
      <w:r>
        <w:t>, but nearly as often the cases lead to supportive and positive responses, like codification legislation.50</w:t>
      </w:r>
    </w:p>
    <w:p w14:paraId="03C26028" w14:textId="77777777" w:rsidR="00A95652" w:rsidRPr="00B55AD5" w:rsidRDefault="00A95652" w:rsidP="00B55AD5"/>
    <w:sectPr w:rsidR="00A95652" w:rsidRPr="00B55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DB6D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DAAE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C88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B5A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7568D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D20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E06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76CB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8D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displayBackgroundShape/>
  <w:proofState w:spelling="clean" w:grammar="clean"/>
  <w:attachedTemplate r:id="rId1"/>
  <w:stylePaneFormatFilter w:val="D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ibbonPointer" w:val="150407768"/>
    <w:docVar w:name="VerbatimVersion" w:val="5.1"/>
  </w:docVars>
  <w:rsids>
    <w:rsidRoot w:val="002B0615"/>
    <w:rsid w:val="00013284"/>
    <w:rsid w:val="000139A3"/>
    <w:rsid w:val="00100833"/>
    <w:rsid w:val="00104529"/>
    <w:rsid w:val="00105942"/>
    <w:rsid w:val="00107396"/>
    <w:rsid w:val="00144A4C"/>
    <w:rsid w:val="00154E4B"/>
    <w:rsid w:val="00176AB0"/>
    <w:rsid w:val="00177B7D"/>
    <w:rsid w:val="0018322D"/>
    <w:rsid w:val="001B5776"/>
    <w:rsid w:val="001E527A"/>
    <w:rsid w:val="001F78CE"/>
    <w:rsid w:val="00251FC7"/>
    <w:rsid w:val="002855A7"/>
    <w:rsid w:val="002B0615"/>
    <w:rsid w:val="002B146A"/>
    <w:rsid w:val="002B5E17"/>
    <w:rsid w:val="00315690"/>
    <w:rsid w:val="00316B75"/>
    <w:rsid w:val="00325646"/>
    <w:rsid w:val="003460F2"/>
    <w:rsid w:val="0038158C"/>
    <w:rsid w:val="003902BA"/>
    <w:rsid w:val="003A09E2"/>
    <w:rsid w:val="00407037"/>
    <w:rsid w:val="004605D6"/>
    <w:rsid w:val="004C60E8"/>
    <w:rsid w:val="004E3579"/>
    <w:rsid w:val="004E728B"/>
    <w:rsid w:val="004F39E0"/>
    <w:rsid w:val="00537BD5"/>
    <w:rsid w:val="0057268A"/>
    <w:rsid w:val="005D2912"/>
    <w:rsid w:val="006065BD"/>
    <w:rsid w:val="00645FA9"/>
    <w:rsid w:val="00647866"/>
    <w:rsid w:val="00665003"/>
    <w:rsid w:val="006A2AD0"/>
    <w:rsid w:val="006C2375"/>
    <w:rsid w:val="006D4ECC"/>
    <w:rsid w:val="00722258"/>
    <w:rsid w:val="007243E5"/>
    <w:rsid w:val="00766EA0"/>
    <w:rsid w:val="007A2226"/>
    <w:rsid w:val="007F5B66"/>
    <w:rsid w:val="00823A1C"/>
    <w:rsid w:val="00845B9D"/>
    <w:rsid w:val="00860984"/>
    <w:rsid w:val="008B3ECB"/>
    <w:rsid w:val="008B4E85"/>
    <w:rsid w:val="008C1B2E"/>
    <w:rsid w:val="0091627E"/>
    <w:rsid w:val="0097032B"/>
    <w:rsid w:val="009D2EAD"/>
    <w:rsid w:val="009D54B2"/>
    <w:rsid w:val="009E1922"/>
    <w:rsid w:val="009F7ED2"/>
    <w:rsid w:val="00A93661"/>
    <w:rsid w:val="00A95652"/>
    <w:rsid w:val="00AC0AB8"/>
    <w:rsid w:val="00B33C6D"/>
    <w:rsid w:val="00B4508F"/>
    <w:rsid w:val="00B55AD5"/>
    <w:rsid w:val="00B8057C"/>
    <w:rsid w:val="00BD6238"/>
    <w:rsid w:val="00BF593B"/>
    <w:rsid w:val="00BF773A"/>
    <w:rsid w:val="00BF7E81"/>
    <w:rsid w:val="00C13773"/>
    <w:rsid w:val="00C17CC8"/>
    <w:rsid w:val="00C83417"/>
    <w:rsid w:val="00C9604F"/>
    <w:rsid w:val="00CA19AA"/>
    <w:rsid w:val="00CC5298"/>
    <w:rsid w:val="00CD736E"/>
    <w:rsid w:val="00CD798D"/>
    <w:rsid w:val="00CE161E"/>
    <w:rsid w:val="00CF59A8"/>
    <w:rsid w:val="00D325A9"/>
    <w:rsid w:val="00D36A8A"/>
    <w:rsid w:val="00D61409"/>
    <w:rsid w:val="00D6691E"/>
    <w:rsid w:val="00D71170"/>
    <w:rsid w:val="00DA1C92"/>
    <w:rsid w:val="00DA25D4"/>
    <w:rsid w:val="00DA6538"/>
    <w:rsid w:val="00E15E75"/>
    <w:rsid w:val="00E5262C"/>
    <w:rsid w:val="00EC7DC4"/>
    <w:rsid w:val="00ED30CF"/>
    <w:rsid w:val="00F176EF"/>
    <w:rsid w:val="00F45E10"/>
    <w:rsid w:val="00F6364A"/>
    <w:rsid w:val="00F9113A"/>
    <w:rsid w:val="00FE2546"/>
    <w:rsid w:val="00FF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F84F"/>
  <w15:chartTrackingRefBased/>
  <w15:docId w15:val="{9A39F59C-DF9C-4729-B38F-DB24DB1E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 w:qFormat="1"/>
    <w:lsdException w:name="Quote" w:semiHidden="1" w:unhideWhenUsed="1" w:qFormat="1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4"/>
    <w:qFormat/>
    <w:rsid w:val="002B0615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2B0615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unhideWhenUsed/>
    <w:qFormat/>
    <w:rsid w:val="002B0615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unhideWhenUsed/>
    <w:qFormat/>
    <w:rsid w:val="002B0615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unhideWhenUsed/>
    <w:qFormat/>
    <w:rsid w:val="002B0615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character" w:default="1" w:styleId="DefaultParagraphFont">
    <w:name w:val="Default Paragraph Font"/>
    <w:uiPriority w:val="1"/>
    <w:semiHidden/>
    <w:unhideWhenUsed/>
    <w:rsid w:val="002B061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B0615"/>
  </w:style>
  <w:style w:type="character" w:customStyle="1" w:styleId="Heading1Char">
    <w:name w:val="Heading 1 Char"/>
    <w:aliases w:val="Pocket Char"/>
    <w:basedOn w:val="DefaultParagraphFont"/>
    <w:link w:val="Heading1"/>
    <w:rsid w:val="002B0615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2B0615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2B0615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2B0615"/>
    <w:rPr>
      <w:rFonts w:ascii="Calibri" w:eastAsiaTheme="majorEastAsia" w:hAnsi="Calibri" w:cstheme="majorBidi"/>
      <w:b/>
      <w:iCs/>
      <w:sz w:val="26"/>
    </w:rPr>
  </w:style>
  <w:style w:type="character" w:styleId="Emphasis">
    <w:name w:val="Emphasis"/>
    <w:basedOn w:val="DefaultParagraphFont"/>
    <w:uiPriority w:val="7"/>
    <w:qFormat/>
    <w:rsid w:val="002B0615"/>
    <w:rPr>
      <w:rFonts w:ascii="Calibri" w:hAnsi="Calibri" w:cs="Calibri"/>
      <w:b/>
      <w:i w:val="0"/>
      <w:iCs/>
      <w:sz w:val="24"/>
      <w:u w:val="single"/>
      <w:bdr w:val="single" w:sz="8" w:space="0" w:color="auto"/>
    </w:rPr>
  </w:style>
  <w:style w:type="character" w:customStyle="1" w:styleId="Style13ptBold">
    <w:name w:val="Style 13 pt Bold"/>
    <w:aliases w:val="Cite"/>
    <w:basedOn w:val="DefaultParagraphFont"/>
    <w:uiPriority w:val="5"/>
    <w:qFormat/>
    <w:rsid w:val="002B0615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6"/>
    <w:qFormat/>
    <w:rsid w:val="002B0615"/>
    <w:rPr>
      <w:b w:val="0"/>
      <w:sz w:val="22"/>
      <w:u w:val="single"/>
    </w:rPr>
  </w:style>
  <w:style w:type="character" w:styleId="Hyperlink">
    <w:name w:val="Hyperlink"/>
    <w:basedOn w:val="DefaultParagraphFont"/>
    <w:uiPriority w:val="99"/>
    <w:unhideWhenUsed/>
    <w:rsid w:val="002B0615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B0615"/>
    <w:rPr>
      <w:color w:val="auto"/>
      <w:u w:val="none"/>
    </w:rPr>
  </w:style>
  <w:style w:type="paragraph" w:customStyle="1" w:styleId="Analytics">
    <w:name w:val="Analytics"/>
    <w:link w:val="AnalyticsChar"/>
    <w:uiPriority w:val="4"/>
    <w:qFormat/>
    <w:rsid w:val="002B0615"/>
    <w:pPr>
      <w:spacing w:after="0"/>
      <w:outlineLvl w:val="3"/>
    </w:pPr>
    <w:rPr>
      <w:rFonts w:ascii="Calibri" w:eastAsiaTheme="majorEastAsia" w:hAnsi="Calibri" w:cstheme="majorBidi"/>
      <w:b/>
      <w:iCs/>
      <w:sz w:val="26"/>
      <w:szCs w:val="28"/>
    </w:rPr>
  </w:style>
  <w:style w:type="character" w:customStyle="1" w:styleId="AnalyticsChar">
    <w:name w:val="Analytics Char"/>
    <w:basedOn w:val="DefaultParagraphFont"/>
    <w:link w:val="Analytics"/>
    <w:uiPriority w:val="4"/>
    <w:rsid w:val="002B0615"/>
    <w:rPr>
      <w:rFonts w:ascii="Calibri" w:eastAsiaTheme="majorEastAsia" w:hAnsi="Calibri" w:cstheme="majorBidi"/>
      <w:b/>
      <w:iCs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einonline-org.proxy.lib.umich.edu/HOL/Contents?handle=hein.journals/scal86&amp;id=1&amp;size=2&amp;index=&amp;collection=journal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einonline-org.proxy.lib.umich.edu/HOL/Page?handle=hein.journals/velj29&amp;div=14&amp;g_sent=1&amp;casa_token=&amp;collection=journal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fae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735DD-8199-4E6E-8C76-1621369AF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1</TotalTime>
  <Pages>1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Pierry</dc:creator>
  <cp:keywords>5.1.1</cp:keywords>
  <dc:description/>
  <cp:lastModifiedBy>Rafael Pierry</cp:lastModifiedBy>
  <cp:revision>1</cp:revision>
  <dcterms:created xsi:type="dcterms:W3CDTF">2020-07-27T18:23:00Z</dcterms:created>
  <dcterms:modified xsi:type="dcterms:W3CDTF">2020-07-27T18:24:00Z</dcterms:modified>
</cp:coreProperties>
</file>