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DFC7A4" w14:textId="3E50F145" w:rsidR="00E42E4C" w:rsidRDefault="00F15641" w:rsidP="00F15641">
      <w:pPr>
        <w:pStyle w:val="Heading1"/>
      </w:pPr>
      <w:r>
        <w:t>DNA- addendum</w:t>
      </w:r>
    </w:p>
    <w:p w14:paraId="4244AFD2" w14:textId="500F4B03" w:rsidR="006B3AE2" w:rsidRPr="006B3AE2" w:rsidRDefault="006B3AE2" w:rsidP="006B3AE2">
      <w:pPr>
        <w:pStyle w:val="Heading1"/>
      </w:pPr>
      <w:proofErr w:type="spellStart"/>
      <w:r>
        <w:t>aff</w:t>
      </w:r>
      <w:proofErr w:type="spellEnd"/>
    </w:p>
    <w:p w14:paraId="4A4CDB19" w14:textId="5580217B" w:rsidR="008433D8" w:rsidRDefault="008433D8" w:rsidP="008433D8">
      <w:pPr>
        <w:pStyle w:val="Heading2"/>
      </w:pPr>
      <w:r>
        <w:t>case—circumvention</w:t>
      </w:r>
    </w:p>
    <w:p w14:paraId="667F7A53" w14:textId="3FAC39F6" w:rsidR="008433D8" w:rsidRDefault="008433D8" w:rsidP="008433D8">
      <w:pPr>
        <w:pStyle w:val="Heading3"/>
      </w:pPr>
      <w:r>
        <w:t xml:space="preserve">at: </w:t>
      </w:r>
      <w:proofErr w:type="spellStart"/>
      <w:r>
        <w:t>GEDmatch</w:t>
      </w:r>
      <w:proofErr w:type="spellEnd"/>
      <w:r>
        <w:t>—2ac</w:t>
      </w:r>
    </w:p>
    <w:p w14:paraId="4D386EC1" w14:textId="6F589093" w:rsidR="008433D8" w:rsidRPr="008433D8" w:rsidRDefault="008433D8" w:rsidP="008433D8">
      <w:pPr>
        <w:pStyle w:val="Heading4"/>
      </w:pPr>
      <w:proofErr w:type="spellStart"/>
      <w:r>
        <w:t>GEDmatch</w:t>
      </w:r>
      <w:proofErr w:type="spellEnd"/>
      <w:r>
        <w:t xml:space="preserve"> blocked police access to DNA</w:t>
      </w:r>
    </w:p>
    <w:p w14:paraId="6EFDC22F" w14:textId="4F2E5629" w:rsidR="008433D8" w:rsidRPr="008433D8" w:rsidRDefault="008433D8" w:rsidP="008433D8">
      <w:proofErr w:type="spellStart"/>
      <w:r w:rsidRPr="008433D8">
        <w:rPr>
          <w:rStyle w:val="Style13ptBold"/>
        </w:rPr>
        <w:t>Schuppe</w:t>
      </w:r>
      <w:proofErr w:type="spellEnd"/>
      <w:r w:rsidRPr="008433D8">
        <w:rPr>
          <w:rStyle w:val="Style13ptBold"/>
        </w:rPr>
        <w:t>, 19</w:t>
      </w:r>
      <w:r>
        <w:t xml:space="preserve"> - </w:t>
      </w:r>
      <w:r w:rsidRPr="008433D8">
        <w:t>reporter specializing in criminal justice and urban issues</w:t>
      </w:r>
      <w:r>
        <w:t xml:space="preserve"> for NBC news (Jon, ‘</w:t>
      </w:r>
      <w:r w:rsidRPr="008433D8">
        <w:t>Police were cracking cold cases with a DNA website. Then the fine print changed.</w:t>
      </w:r>
      <w:r>
        <w:t xml:space="preserve">’, October </w:t>
      </w:r>
      <w:proofErr w:type="gramStart"/>
      <w:r>
        <w:t>25</w:t>
      </w:r>
      <w:proofErr w:type="gramEnd"/>
      <w:r>
        <w:t xml:space="preserve"> 2019, </w:t>
      </w:r>
      <w:r w:rsidRPr="008433D8">
        <w:t>https://www.nbcnews.com/news/us-news/police-were-cracking-cold-cases-dna-website-then-fine-print-n1070901</w:t>
      </w:r>
      <w:r>
        <w:t>)//hecht</w:t>
      </w:r>
    </w:p>
    <w:p w14:paraId="1AC07D4B" w14:textId="5AB71626" w:rsidR="008433D8" w:rsidRPr="008433D8" w:rsidRDefault="008433D8" w:rsidP="008433D8">
      <w:pPr>
        <w:rPr>
          <w:sz w:val="16"/>
        </w:rPr>
      </w:pPr>
      <w:r w:rsidRPr="008433D8">
        <w:rPr>
          <w:sz w:val="16"/>
        </w:rPr>
        <w:t>For the first time, police had submitted DNA from a crime scene into a consumer DNA database, where information about distant relatives helped them identify a suspect.</w:t>
      </w:r>
      <w:r>
        <w:rPr>
          <w:sz w:val="16"/>
        </w:rPr>
        <w:t xml:space="preserve"> </w:t>
      </w:r>
      <w:r w:rsidRPr="008433D8">
        <w:rPr>
          <w:sz w:val="16"/>
        </w:rPr>
        <w:t>The announcement kindled a revolution in forensics that has since helped solve more than 50 rapes and homicides in 29 states.</w:t>
      </w:r>
      <w:r>
        <w:rPr>
          <w:sz w:val="16"/>
        </w:rPr>
        <w:t xml:space="preserve"> </w:t>
      </w:r>
      <w:r w:rsidRPr="008433D8">
        <w:rPr>
          <w:sz w:val="16"/>
        </w:rPr>
        <w:t xml:space="preserve">But earlier this year, </w:t>
      </w:r>
      <w:r w:rsidRPr="008433D8">
        <w:rPr>
          <w:rStyle w:val="StyleUnderline"/>
        </w:rPr>
        <w:t xml:space="preserve">that online database </w:t>
      </w:r>
      <w:r w:rsidRPr="008433D8">
        <w:rPr>
          <w:rStyle w:val="Emphasis"/>
        </w:rPr>
        <w:t>changed its privacy policy to restrict law enforcement searches</w:t>
      </w:r>
      <w:r w:rsidRPr="008433D8">
        <w:rPr>
          <w:sz w:val="16"/>
        </w:rPr>
        <w:t>, and since then, these cold cases have become much harder to crack. The change is allowing some criminals who could be identified and caught to remain undetected and unpunished, authorities say.</w:t>
      </w:r>
      <w:r>
        <w:rPr>
          <w:sz w:val="16"/>
        </w:rPr>
        <w:t xml:space="preserve"> </w:t>
      </w:r>
      <w:r w:rsidRPr="008433D8">
        <w:rPr>
          <w:sz w:val="16"/>
        </w:rPr>
        <w:t>“There are cases that won’t get solved or will take longer to solve,” Lori Napolitano, the chief of forensic services at the Florida Department of Law Enforcement, said.</w:t>
      </w:r>
      <w:r>
        <w:rPr>
          <w:sz w:val="16"/>
        </w:rPr>
        <w:t xml:space="preserve"> </w:t>
      </w:r>
      <w:r w:rsidRPr="008433D8">
        <w:rPr>
          <w:rStyle w:val="StyleUnderline"/>
        </w:rPr>
        <w:t xml:space="preserve">The switch was imposed by </w:t>
      </w:r>
      <w:proofErr w:type="spellStart"/>
      <w:r w:rsidRPr="008433D8">
        <w:rPr>
          <w:rStyle w:val="StyleUnderline"/>
        </w:rPr>
        <w:t>GEDmatch</w:t>
      </w:r>
      <w:proofErr w:type="spellEnd"/>
      <w:r w:rsidRPr="008433D8">
        <w:rPr>
          <w:sz w:val="16"/>
        </w:rPr>
        <w:t xml:space="preserve">, a free website where people share their DNA profiles in hopes of finding relatives. </w:t>
      </w:r>
      <w:r w:rsidRPr="008433D8">
        <w:rPr>
          <w:rStyle w:val="StyleUnderline"/>
        </w:rPr>
        <w:t xml:space="preserve">The company had faced criticism for allowing police to search profiles without users’ permission, and decided that it would rather make sure members understood explicitly how investigators were using the site. </w:t>
      </w:r>
      <w:r w:rsidRPr="008433D8">
        <w:rPr>
          <w:sz w:val="16"/>
        </w:rPr>
        <w:t xml:space="preserve">So, it altered its terms of service to </w:t>
      </w:r>
      <w:r w:rsidRPr="008433D8">
        <w:rPr>
          <w:rStyle w:val="Emphasis"/>
        </w:rPr>
        <w:t>automatically exclude all members from law enforcement searches and left it to them to opt in.</w:t>
      </w:r>
      <w:r>
        <w:rPr>
          <w:rStyle w:val="Emphasis"/>
        </w:rPr>
        <w:t xml:space="preserve"> </w:t>
      </w:r>
      <w:r w:rsidRPr="008433D8">
        <w:rPr>
          <w:sz w:val="16"/>
        </w:rPr>
        <w:t xml:space="preserve">Overnight, </w:t>
      </w:r>
      <w:r w:rsidRPr="008433D8">
        <w:rPr>
          <w:rStyle w:val="Emphasis"/>
        </w:rPr>
        <w:t>the number of profiles available to law enforcement dropped from more than 1 million to zero.</w:t>
      </w:r>
      <w:r w:rsidRPr="008433D8">
        <w:rPr>
          <w:sz w:val="16"/>
        </w:rPr>
        <w:t xml:space="preserve"> While the pool has grown slowly since then, as </w:t>
      </w:r>
      <w:r w:rsidRPr="008433D8">
        <w:rPr>
          <w:rStyle w:val="StyleUnderline"/>
        </w:rPr>
        <w:t xml:space="preserve">more people click a police-shield icon on </w:t>
      </w:r>
      <w:proofErr w:type="spellStart"/>
      <w:r w:rsidRPr="008433D8">
        <w:rPr>
          <w:rStyle w:val="StyleUnderline"/>
        </w:rPr>
        <w:t>GEDmatch</w:t>
      </w:r>
      <w:proofErr w:type="spellEnd"/>
      <w:r w:rsidRPr="008433D8">
        <w:rPr>
          <w:rStyle w:val="StyleUnderline"/>
        </w:rPr>
        <w:t xml:space="preserve"> allowing authorities to see their profile</w:t>
      </w:r>
      <w:r w:rsidRPr="008433D8">
        <w:rPr>
          <w:sz w:val="16"/>
        </w:rPr>
        <w:t>, cases remain more difficult to solve, investigators say.</w:t>
      </w:r>
    </w:p>
    <w:p w14:paraId="59446D4E" w14:textId="121F1DFF" w:rsidR="008433D8" w:rsidRDefault="008433D8" w:rsidP="008433D8"/>
    <w:p w14:paraId="4ECE6C98" w14:textId="779A9C14" w:rsidR="00834A32" w:rsidRDefault="00834A32" w:rsidP="00834A32">
      <w:pPr>
        <w:pStyle w:val="Heading3"/>
      </w:pPr>
      <w:r>
        <w:t>at: local databases—2ac</w:t>
      </w:r>
    </w:p>
    <w:p w14:paraId="0162B24A" w14:textId="4FCE0016" w:rsidR="00AC0E74" w:rsidRPr="005D60A6" w:rsidRDefault="00AC0E74" w:rsidP="00AC0E74">
      <w:pPr>
        <w:pStyle w:val="Heading4"/>
        <w:rPr>
          <w:u w:val="single"/>
        </w:rPr>
      </w:pPr>
      <w:r>
        <w:t>Local databases have to comply with CODIS guidelines to find DNA matches outside of their localities—they have to have an audit of compliance, and non-compliance is investigated by the FBI</w:t>
      </w:r>
      <w:r w:rsidR="005D60A6">
        <w:t xml:space="preserve">—any labs found in non-compliance </w:t>
      </w:r>
      <w:r w:rsidR="005D60A6" w:rsidRPr="005D60A6">
        <w:rPr>
          <w:u w:val="single"/>
        </w:rPr>
        <w:t>can’t upload profiles</w:t>
      </w:r>
    </w:p>
    <w:p w14:paraId="65C86BEA" w14:textId="653A7635" w:rsidR="00AC0E74" w:rsidRPr="00AC0E74" w:rsidRDefault="00AC0E74" w:rsidP="00AC0E74">
      <w:pPr>
        <w:rPr>
          <w:rStyle w:val="Style13ptBold"/>
        </w:rPr>
      </w:pPr>
      <w:r>
        <w:rPr>
          <w:rStyle w:val="Style13ptBold"/>
        </w:rPr>
        <w:t xml:space="preserve">OIG, 17 </w:t>
      </w:r>
      <w:r w:rsidRPr="00AC0E74">
        <w:t>– office of the inspector general, U.S. department of justice, (‘a</w:t>
      </w:r>
      <w:r w:rsidRPr="00AC0E74">
        <w:t>udit of Compliance with Standards Governing Combined DNA Index System Activities at the Denver Police Department Crime Laboratory</w:t>
      </w:r>
      <w:r w:rsidRPr="00AC0E74">
        <w:t xml:space="preserve">’, September 2017, </w:t>
      </w:r>
      <w:r w:rsidRPr="00AC0E74">
        <w:t>https://oig.justice.gov/reports/2017/g6017013.pdf</w:t>
      </w:r>
      <w:r w:rsidRPr="00AC0E74">
        <w:t>)//hecht</w:t>
      </w:r>
    </w:p>
    <w:p w14:paraId="3FD36D6D" w14:textId="2E711C64" w:rsidR="00834A32" w:rsidRPr="005D60A6" w:rsidRDefault="00AC0E74" w:rsidP="00AC0E74">
      <w:pPr>
        <w:rPr>
          <w:rStyle w:val="StyleUnderline"/>
        </w:rPr>
      </w:pPr>
      <w:r w:rsidRPr="005D60A6">
        <w:rPr>
          <w:sz w:val="16"/>
        </w:rPr>
        <w:t>T</w:t>
      </w:r>
      <w:r w:rsidR="00834A32" w:rsidRPr="005D60A6">
        <w:rPr>
          <w:sz w:val="16"/>
        </w:rPr>
        <w:t>he Department of Justice Office of the Inspector General (OIG), Audit Division, has completed an audit of compliance with standards governing Combined DNA Index System (CODIS) activities at the Denver Police Department Crime Laboratory (Laboratory) in Denver, Colorado.</w:t>
      </w:r>
      <w:r w:rsidR="005D60A6">
        <w:rPr>
          <w:sz w:val="16"/>
        </w:rPr>
        <w:t xml:space="preserve"> </w:t>
      </w:r>
      <w:r w:rsidR="00834A32" w:rsidRPr="005D60A6">
        <w:rPr>
          <w:rStyle w:val="StyleUnderline"/>
        </w:rPr>
        <w:t>The</w:t>
      </w:r>
      <w:r w:rsidR="00834A32" w:rsidRPr="005D60A6">
        <w:rPr>
          <w:sz w:val="16"/>
        </w:rPr>
        <w:t xml:space="preserve"> Federal Bureau of Investigation’s (FBI) </w:t>
      </w:r>
      <w:r w:rsidR="00834A32" w:rsidRPr="005D60A6">
        <w:rPr>
          <w:rStyle w:val="StyleUnderline"/>
        </w:rPr>
        <w:t xml:space="preserve">CODIS program </w:t>
      </w:r>
      <w:r w:rsidR="00834A32" w:rsidRPr="005D60A6">
        <w:rPr>
          <w:sz w:val="16"/>
        </w:rPr>
        <w:t xml:space="preserve">combines forensic science and computer technology to provide an investigative tool to federal, state, and local crime laboratories in the United States, as well as those from select international law enforcement agencies. The CODIS program </w:t>
      </w:r>
      <w:r w:rsidR="00834A32" w:rsidRPr="005D60A6">
        <w:rPr>
          <w:rStyle w:val="StyleUnderline"/>
        </w:rPr>
        <w:t>allows</w:t>
      </w:r>
      <w:r w:rsidR="00834A32" w:rsidRPr="005D60A6">
        <w:rPr>
          <w:sz w:val="16"/>
        </w:rPr>
        <w:t xml:space="preserve"> these c</w:t>
      </w:r>
      <w:r w:rsidR="00834A32" w:rsidRPr="005D60A6">
        <w:rPr>
          <w:rStyle w:val="StyleUnderline"/>
        </w:rPr>
        <w:t>rime laboratories to compare and match DNA profiles electronically to assist law enforcement in solving crimes and identifying missing or unidentified persons</w:t>
      </w:r>
      <w:r w:rsidR="00834A32" w:rsidRPr="005D60A6">
        <w:rPr>
          <w:sz w:val="16"/>
        </w:rPr>
        <w:t xml:space="preserve">.2 </w:t>
      </w:r>
      <w:r w:rsidR="00834A32" w:rsidRPr="005D60A6">
        <w:rPr>
          <w:rStyle w:val="StyleUnderline"/>
        </w:rPr>
        <w:t>The</w:t>
      </w:r>
      <w:r w:rsidR="00834A32" w:rsidRPr="005D60A6">
        <w:rPr>
          <w:sz w:val="16"/>
        </w:rPr>
        <w:t xml:space="preserve"> FBI’s </w:t>
      </w:r>
      <w:r w:rsidR="00834A32" w:rsidRPr="005D60A6">
        <w:rPr>
          <w:rStyle w:val="StyleUnderline"/>
        </w:rPr>
        <w:t>CODIS Unit</w:t>
      </w:r>
      <w:r w:rsidR="00834A32" w:rsidRPr="005D60A6">
        <w:rPr>
          <w:sz w:val="16"/>
        </w:rPr>
        <w:t xml:space="preserve"> </w:t>
      </w:r>
      <w:r w:rsidR="00834A32" w:rsidRPr="005D60A6">
        <w:rPr>
          <w:rStyle w:val="StyleUnderline"/>
        </w:rPr>
        <w:t>manages CODIS, as well as develops, supports, and provides the program to crime laboratories</w:t>
      </w:r>
      <w:r w:rsidR="00834A32" w:rsidRPr="005D60A6">
        <w:rPr>
          <w:sz w:val="16"/>
        </w:rPr>
        <w:t xml:space="preserve"> to foster the exchange and comparison of forensic DNA evidence.</w:t>
      </w:r>
      <w:r w:rsidR="005D60A6">
        <w:rPr>
          <w:sz w:val="16"/>
        </w:rPr>
        <w:t xml:space="preserve"> </w:t>
      </w:r>
      <w:r w:rsidR="00834A32" w:rsidRPr="005D60A6">
        <w:rPr>
          <w:sz w:val="16"/>
        </w:rPr>
        <w:t xml:space="preserve">The FBI implemented </w:t>
      </w:r>
      <w:r w:rsidR="00834A32" w:rsidRPr="005D60A6">
        <w:rPr>
          <w:rStyle w:val="StyleUnderline"/>
        </w:rPr>
        <w:t>CODIS</w:t>
      </w:r>
      <w:r w:rsidR="00834A32" w:rsidRPr="005D60A6">
        <w:rPr>
          <w:sz w:val="16"/>
        </w:rPr>
        <w:t xml:space="preserve"> as a distributed database with hierarchical levels that </w:t>
      </w:r>
      <w:r w:rsidR="00834A32" w:rsidRPr="005D60A6">
        <w:rPr>
          <w:rStyle w:val="StyleUnderline"/>
        </w:rPr>
        <w:t>enables federal, state, and local crime laboratories to compare DNA profiles electronically.</w:t>
      </w:r>
      <w:r w:rsidR="00834A32" w:rsidRPr="005D60A6">
        <w:rPr>
          <w:sz w:val="16"/>
        </w:rPr>
        <w:t xml:space="preserve"> The hierarchy consists of three distinct levels that flow upward from the local level to the state level and then, if allowable, the national level. </w:t>
      </w:r>
      <w:r w:rsidR="00834A32" w:rsidRPr="005D60A6">
        <w:rPr>
          <w:rStyle w:val="StyleUnderline"/>
        </w:rPr>
        <w:t>The</w:t>
      </w:r>
      <w:r w:rsidR="00834A32" w:rsidRPr="005D60A6">
        <w:rPr>
          <w:sz w:val="16"/>
        </w:rPr>
        <w:t xml:space="preserve"> National DNA Index System (</w:t>
      </w:r>
      <w:r w:rsidR="00834A32" w:rsidRPr="005D60A6">
        <w:rPr>
          <w:rStyle w:val="StyleUnderline"/>
        </w:rPr>
        <w:t>NDIS</w:t>
      </w:r>
      <w:r w:rsidR="00834A32" w:rsidRPr="005D60A6">
        <w:rPr>
          <w:sz w:val="16"/>
        </w:rPr>
        <w:t xml:space="preserve">), the highest level in the hierarchy, </w:t>
      </w:r>
      <w:r w:rsidR="00834A32" w:rsidRPr="005D60A6">
        <w:rPr>
          <w:rStyle w:val="StyleUnderline"/>
        </w:rPr>
        <w:t>contains DNA profiles uploaded by law enforcement agencies across the United States</w:t>
      </w:r>
      <w:r w:rsidR="00834A32" w:rsidRPr="005D60A6">
        <w:rPr>
          <w:sz w:val="16"/>
        </w:rPr>
        <w:t xml:space="preserve"> and is managed by the FBI. </w:t>
      </w:r>
      <w:r w:rsidR="00834A32" w:rsidRPr="005D60A6">
        <w:rPr>
          <w:rStyle w:val="StyleUnderline"/>
        </w:rPr>
        <w:t xml:space="preserve">NDIS enables the </w:t>
      </w:r>
      <w:r w:rsidR="00834A32" w:rsidRPr="005D60A6">
        <w:rPr>
          <w:rStyle w:val="Emphasis"/>
        </w:rPr>
        <w:t>laboratories participating in the CODIS program to electronically compare DNA profiles on a national level</w:t>
      </w:r>
      <w:r w:rsidR="00834A32" w:rsidRPr="005D60A6">
        <w:rPr>
          <w:sz w:val="16"/>
        </w:rPr>
        <w:t xml:space="preserve">. </w:t>
      </w:r>
      <w:r w:rsidR="00834A32" w:rsidRPr="005D60A6">
        <w:rPr>
          <w:rStyle w:val="StyleUnderline"/>
        </w:rPr>
        <w:t>The</w:t>
      </w:r>
      <w:r w:rsidR="00834A32" w:rsidRPr="005D60A6">
        <w:rPr>
          <w:sz w:val="16"/>
        </w:rPr>
        <w:t xml:space="preserve"> State DNA Index System (</w:t>
      </w:r>
      <w:r w:rsidR="00834A32" w:rsidRPr="005D60A6">
        <w:rPr>
          <w:rStyle w:val="StyleUnderline"/>
        </w:rPr>
        <w:t>SDIS) is used at the state level to serve as a state’s DNA database and contains DNA profiles from local laboratories and state offenders</w:t>
      </w:r>
      <w:r w:rsidR="00834A32" w:rsidRPr="005D60A6">
        <w:rPr>
          <w:sz w:val="16"/>
        </w:rPr>
        <w:t>.</w:t>
      </w:r>
      <w:r w:rsidR="005D60A6">
        <w:rPr>
          <w:sz w:val="16"/>
        </w:rPr>
        <w:t xml:space="preserve"> </w:t>
      </w:r>
      <w:r w:rsidR="00834A32" w:rsidRPr="005D60A6">
        <w:rPr>
          <w:sz w:val="16"/>
        </w:rPr>
        <w:t>The Local DNA Index System (LDIS) is used by local laboratories.</w:t>
      </w:r>
      <w:r w:rsidR="005D60A6">
        <w:rPr>
          <w:sz w:val="16"/>
        </w:rPr>
        <w:t xml:space="preserve"> </w:t>
      </w:r>
      <w:r w:rsidRPr="005D60A6">
        <w:rPr>
          <w:sz w:val="16"/>
        </w:rPr>
        <w:t>Our audit generally covered the period from February 2012 through</w:t>
      </w:r>
      <w:r w:rsidR="005D60A6">
        <w:rPr>
          <w:sz w:val="16"/>
        </w:rPr>
        <w:t xml:space="preserve"> </w:t>
      </w:r>
      <w:r w:rsidRPr="005D60A6">
        <w:rPr>
          <w:sz w:val="16"/>
        </w:rPr>
        <w:t xml:space="preserve">March 2017. </w:t>
      </w:r>
      <w:r w:rsidRPr="005D60A6">
        <w:rPr>
          <w:rStyle w:val="StyleUnderline"/>
        </w:rPr>
        <w:t>The objectives of our audit were to determine if: (1) the Laboratory was in compliance with select NDIS Operational Procedures; (2) the Laboratory was in compliance with certain Quality Assurance Standards (QAS) issued by the FBI;</w:t>
      </w:r>
      <w:r w:rsidRPr="005D60A6">
        <w:rPr>
          <w:rStyle w:val="StyleUnderline"/>
        </w:rPr>
        <w:t xml:space="preserve"> </w:t>
      </w:r>
      <w:r w:rsidRPr="005D60A6">
        <w:rPr>
          <w:rStyle w:val="StyleUnderline"/>
        </w:rPr>
        <w:t xml:space="preserve">and (3) the Laboratory’s forensic DNA profiles in CODIS databases were complete, accurate, </w:t>
      </w:r>
      <w:r w:rsidRPr="005D60A6">
        <w:rPr>
          <w:rStyle w:val="Emphasis"/>
        </w:rPr>
        <w:t>and allowable for inclusion in NDIS.</w:t>
      </w:r>
    </w:p>
    <w:p w14:paraId="2FDB43A8" w14:textId="18A39089" w:rsidR="00AC0E74" w:rsidRDefault="00AC0E74" w:rsidP="00AC0E74"/>
    <w:p w14:paraId="55EC8420" w14:textId="5FCB7A35" w:rsidR="00712DCF" w:rsidRDefault="00712DCF" w:rsidP="00712DCF">
      <w:pPr>
        <w:pStyle w:val="Heading3"/>
      </w:pPr>
      <w:r>
        <w:t>at: state databases—2ac</w:t>
      </w:r>
    </w:p>
    <w:p w14:paraId="1C1C3BD1" w14:textId="6151F332" w:rsidR="00712DCF" w:rsidRDefault="00712DCF" w:rsidP="00712DCF">
      <w:pPr>
        <w:pStyle w:val="Heading4"/>
      </w:pPr>
      <w:r>
        <w:t>No state circumvention—once a state uses CODIS, they’ve agreed to external audits that verify compliance in order to stay in the  system</w:t>
      </w:r>
    </w:p>
    <w:p w14:paraId="1FEBB004" w14:textId="45767650" w:rsidR="00712DCF" w:rsidRPr="00712DCF" w:rsidRDefault="00712DCF" w:rsidP="00712DCF">
      <w:r w:rsidRPr="00712DCF">
        <w:rPr>
          <w:rStyle w:val="Style13ptBold"/>
        </w:rPr>
        <w:t>FBI, ND</w:t>
      </w:r>
      <w:r w:rsidRPr="00712DCF">
        <w:t xml:space="preserve"> – Federal Bureau of Investigation (‘Frequently Asked Questions on CODIS and NDIS’, ND, https://www.fbi.gov/services/laboratory/biometric-analysis/codis/codis-and-ndis-fact-sheet)//hecht</w:t>
      </w:r>
    </w:p>
    <w:p w14:paraId="21566529" w14:textId="48D1D3E6" w:rsidR="00712DCF" w:rsidRPr="00712DCF" w:rsidRDefault="00712DCF" w:rsidP="00712DCF">
      <w:pPr>
        <w:rPr>
          <w:rStyle w:val="StyleUnderline"/>
        </w:rPr>
      </w:pPr>
      <w:r w:rsidRPr="00712DCF">
        <w:rPr>
          <w:sz w:val="16"/>
        </w:rPr>
        <w:t xml:space="preserve">11. What are the specific </w:t>
      </w:r>
      <w:r w:rsidRPr="00712DCF">
        <w:rPr>
          <w:rStyle w:val="StyleUnderline"/>
        </w:rPr>
        <w:t>requirements for a state’s participation in the National DNA Index?</w:t>
      </w:r>
      <w:r>
        <w:rPr>
          <w:rStyle w:val="StyleUnderline"/>
        </w:rPr>
        <w:t xml:space="preserve"> </w:t>
      </w:r>
      <w:r w:rsidRPr="00712DCF">
        <w:rPr>
          <w:sz w:val="16"/>
        </w:rPr>
        <w:t>The DNA Identification Act (42 U.S.C. §14132(b)) specifies the requirements for participation in the National DNA Index System (NDIS) and the DNA data that may be maintained at NDIS (convicted offender, arrestees, legal, detainees, forensic [casework], unidentified human remains, missing persons, and relatives of missing persons). The DNA Identification Act requires the following:</w:t>
      </w:r>
      <w:r>
        <w:rPr>
          <w:sz w:val="16"/>
        </w:rPr>
        <w:t xml:space="preserve"> </w:t>
      </w:r>
      <w:r w:rsidRPr="00712DCF">
        <w:rPr>
          <w:sz w:val="16"/>
        </w:rPr>
        <w:t xml:space="preserve">That the </w:t>
      </w:r>
      <w:r w:rsidRPr="00712DCF">
        <w:rPr>
          <w:rStyle w:val="StyleUnderline"/>
        </w:rPr>
        <w:t>laboratories participating in the National DNA Index comply with the Quality Assurance Standards issued by the FBI Director;</w:t>
      </w:r>
      <w:r>
        <w:rPr>
          <w:rStyle w:val="StyleUnderline"/>
        </w:rPr>
        <w:t xml:space="preserve"> </w:t>
      </w:r>
      <w:r w:rsidRPr="00712DCF">
        <w:rPr>
          <w:sz w:val="16"/>
        </w:rPr>
        <w:t>That the laboratories submitting the DNA records are accredited by a nonprofit professional association of persons actively engaged in forensic science that is nationally recognized within the forensic science community;</w:t>
      </w:r>
      <w:r>
        <w:rPr>
          <w:sz w:val="16"/>
        </w:rPr>
        <w:t xml:space="preserve"> </w:t>
      </w:r>
      <w:r w:rsidRPr="00712DCF">
        <w:rPr>
          <w:sz w:val="16"/>
        </w:rPr>
        <w:t xml:space="preserve">That the </w:t>
      </w:r>
      <w:r w:rsidRPr="00712DCF">
        <w:rPr>
          <w:rStyle w:val="StyleUnderline"/>
        </w:rPr>
        <w:t xml:space="preserve">laboratories submitting the DNA records </w:t>
      </w:r>
      <w:r w:rsidRPr="00712DCF">
        <w:rPr>
          <w:rStyle w:val="Emphasis"/>
        </w:rPr>
        <w:t>undergo an external audit every two years</w:t>
      </w:r>
      <w:r w:rsidRPr="00712DCF">
        <w:rPr>
          <w:rStyle w:val="StyleUnderline"/>
        </w:rPr>
        <w:t xml:space="preserve"> to demonstrate compliance with the FBI Director’s Quality Assurance Standards;</w:t>
      </w:r>
      <w:r>
        <w:rPr>
          <w:rStyle w:val="StyleUnderline"/>
        </w:rPr>
        <w:t xml:space="preserve"> </w:t>
      </w:r>
      <w:r w:rsidRPr="00712DCF">
        <w:rPr>
          <w:sz w:val="16"/>
        </w:rPr>
        <w:t>That the laboratories are federal, state, or local criminal justice agencies (“or the Secretary of Defense in accordance with section 1565 of title 10, United States Code”); and</w:t>
      </w:r>
      <w:r>
        <w:rPr>
          <w:sz w:val="16"/>
        </w:rPr>
        <w:t xml:space="preserve"> </w:t>
      </w:r>
      <w:r w:rsidRPr="00712DCF">
        <w:rPr>
          <w:sz w:val="16"/>
        </w:rPr>
        <w:t xml:space="preserve">That </w:t>
      </w:r>
      <w:r w:rsidRPr="00712DCF">
        <w:rPr>
          <w:rStyle w:val="Emphasis"/>
        </w:rPr>
        <w:t>access to the DNA samples and records is limited in accordance with federal law.</w:t>
      </w:r>
      <w:r>
        <w:rPr>
          <w:rStyle w:val="Emphasis"/>
        </w:rPr>
        <w:t xml:space="preserve"> </w:t>
      </w:r>
      <w:r w:rsidRPr="00712DCF">
        <w:rPr>
          <w:rStyle w:val="Emphasis"/>
        </w:rPr>
        <w:t>States seeking to participate in NDIS sign a Memorandum of Understanding with the FBI L</w:t>
      </w:r>
      <w:r w:rsidRPr="00712DCF">
        <w:rPr>
          <w:sz w:val="16"/>
        </w:rPr>
        <w:t xml:space="preserve">aboratory documenting their agreement to abide by the DNA Identification Act requirements </w:t>
      </w:r>
      <w:r w:rsidRPr="00712DCF">
        <w:rPr>
          <w:rStyle w:val="StyleUnderline"/>
        </w:rPr>
        <w:t>as well as record-keeping and other operational procedures governing the uploading of DNA data, expungements, CODIS users, audits, etc.</w:t>
      </w:r>
    </w:p>
    <w:p w14:paraId="4C87E3F3" w14:textId="4615B579" w:rsidR="00F15641" w:rsidRDefault="00F15641" w:rsidP="00F15641">
      <w:pPr>
        <w:pStyle w:val="Heading2"/>
      </w:pPr>
      <w:r>
        <w:t xml:space="preserve">da—crime </w:t>
      </w:r>
    </w:p>
    <w:p w14:paraId="71821AE1" w14:textId="26069C35" w:rsidR="00B3345E" w:rsidRDefault="00B3345E" w:rsidP="00B3345E">
      <w:pPr>
        <w:pStyle w:val="Heading3"/>
      </w:pPr>
      <w:r>
        <w:t>RCT false—</w:t>
      </w:r>
      <w:r w:rsidR="001640B3">
        <w:t>emotions—</w:t>
      </w:r>
      <w:r>
        <w:t>2ac</w:t>
      </w:r>
    </w:p>
    <w:p w14:paraId="290BFAEB" w14:textId="77777777" w:rsidR="00284DB2" w:rsidRDefault="008310F5" w:rsidP="008310F5">
      <w:pPr>
        <w:pStyle w:val="Heading4"/>
      </w:pPr>
      <w:r w:rsidRPr="00E13EF5">
        <w:rPr>
          <w:u w:val="single"/>
        </w:rPr>
        <w:t>rational crime theory is false</w:t>
      </w:r>
    </w:p>
    <w:p w14:paraId="7B1D2130" w14:textId="647FDC27" w:rsidR="00234896" w:rsidRPr="00234896" w:rsidRDefault="007C1105" w:rsidP="00284DB2">
      <w:pPr>
        <w:pStyle w:val="Heading4"/>
        <w:numPr>
          <w:ilvl w:val="0"/>
          <w:numId w:val="15"/>
        </w:numPr>
      </w:pPr>
      <w:r>
        <w:t xml:space="preserve">decision making is emotional, not rational </w:t>
      </w:r>
    </w:p>
    <w:p w14:paraId="26E75C77" w14:textId="3E851D2C" w:rsidR="00B3345E" w:rsidRPr="00B3345E" w:rsidRDefault="00B3345E" w:rsidP="00B3345E">
      <w:pPr>
        <w:rPr>
          <w:rStyle w:val="Style13ptBold"/>
        </w:rPr>
      </w:pPr>
      <w:r>
        <w:rPr>
          <w:rStyle w:val="Style13ptBold"/>
        </w:rPr>
        <w:t xml:space="preserve">Walters, 15 </w:t>
      </w:r>
      <w:r w:rsidRPr="00B3345E">
        <w:t>– American forensic psychologist and Associate Professor of Criminal Justice at Kutztown University in Pennsylvania (Glenn, ‘The Decision to Commit Crime: Rational or Nonrational?’, 2015, https://scholasticahq.com/criminology-criminal-justice-law-society/)//hecht</w:t>
      </w:r>
    </w:p>
    <w:p w14:paraId="4882A781" w14:textId="0E2AA76D" w:rsidR="00B3345E" w:rsidRPr="00B3345E" w:rsidRDefault="00B3345E" w:rsidP="00B3345E">
      <w:pPr>
        <w:rPr>
          <w:sz w:val="16"/>
        </w:rPr>
      </w:pPr>
      <w:r w:rsidRPr="00B3345E">
        <w:rPr>
          <w:rStyle w:val="StyleUnderline"/>
        </w:rPr>
        <w:t xml:space="preserve">There are a number of reasons why </w:t>
      </w:r>
      <w:r w:rsidRPr="004463DF">
        <w:rPr>
          <w:rStyle w:val="StyleUnderline"/>
          <w:highlight w:val="cyan"/>
        </w:rPr>
        <w:t>criminologists have rejected RCT</w:t>
      </w:r>
      <w:r w:rsidRPr="00B3345E">
        <w:rPr>
          <w:rStyle w:val="StyleUnderline"/>
        </w:rPr>
        <w:t xml:space="preserve"> as a complete explanation of crime</w:t>
      </w:r>
      <w:r w:rsidRPr="00B3345E">
        <w:rPr>
          <w:sz w:val="16"/>
        </w:rPr>
        <w:t xml:space="preserve">. One has been </w:t>
      </w:r>
      <w:r w:rsidRPr="004463DF">
        <w:rPr>
          <w:rStyle w:val="StyleUnderline"/>
          <w:highlight w:val="cyan"/>
        </w:rPr>
        <w:t xml:space="preserve">its </w:t>
      </w:r>
      <w:r w:rsidRPr="004463DF">
        <w:rPr>
          <w:rStyle w:val="Emphasis"/>
          <w:highlight w:val="cyan"/>
        </w:rPr>
        <w:t>weak ability to</w:t>
      </w:r>
      <w:r w:rsidRPr="00B3345E">
        <w:rPr>
          <w:rStyle w:val="Emphasis"/>
        </w:rPr>
        <w:t xml:space="preserve"> explain </w:t>
      </w:r>
      <w:r w:rsidRPr="004463DF">
        <w:rPr>
          <w:rStyle w:val="Emphasis"/>
          <w:highlight w:val="cyan"/>
        </w:rPr>
        <w:t>expressive crime and</w:t>
      </w:r>
      <w:r w:rsidRPr="00B3345E">
        <w:rPr>
          <w:rStyle w:val="Emphasis"/>
        </w:rPr>
        <w:t xml:space="preserve"> the </w:t>
      </w:r>
      <w:r w:rsidRPr="004463DF">
        <w:rPr>
          <w:rStyle w:val="Emphasis"/>
          <w:highlight w:val="cyan"/>
        </w:rPr>
        <w:t>role of impulsivity in</w:t>
      </w:r>
      <w:r w:rsidRPr="00B3345E">
        <w:rPr>
          <w:rStyle w:val="Emphasis"/>
        </w:rPr>
        <w:t xml:space="preserve"> the </w:t>
      </w:r>
      <w:r w:rsidRPr="004463DF">
        <w:rPr>
          <w:rStyle w:val="Emphasis"/>
          <w:highlight w:val="cyan"/>
        </w:rPr>
        <w:t>commission</w:t>
      </w:r>
      <w:r w:rsidRPr="00B3345E">
        <w:rPr>
          <w:rStyle w:val="Emphasis"/>
        </w:rPr>
        <w:t xml:space="preserve"> of these type offenses</w:t>
      </w:r>
      <w:r w:rsidRPr="00B3345E">
        <w:rPr>
          <w:sz w:val="16"/>
        </w:rPr>
        <w:t xml:space="preserve">. In an early study on this issue, </w:t>
      </w:r>
      <w:proofErr w:type="spellStart"/>
      <w:r w:rsidRPr="00B3345E">
        <w:rPr>
          <w:sz w:val="16"/>
        </w:rPr>
        <w:t>Forgas</w:t>
      </w:r>
      <w:proofErr w:type="spellEnd"/>
      <w:r w:rsidRPr="00B3345E">
        <w:rPr>
          <w:sz w:val="16"/>
        </w:rPr>
        <w:t xml:space="preserve"> (1991) determined that negative mood states often led to reduced impulsivity and risky decision-making, whereas </w:t>
      </w:r>
      <w:r w:rsidRPr="00B3345E">
        <w:rPr>
          <w:rStyle w:val="StyleUnderline"/>
        </w:rPr>
        <w:t>positive mood states led to increased impulsivity and risky decision-making.</w:t>
      </w:r>
      <w:r w:rsidRPr="00B3345E">
        <w:rPr>
          <w:sz w:val="16"/>
        </w:rPr>
        <w:t xml:space="preserve"> A decade later, Gordon and Arian (2001) ascertained that situational factors played a potentially important role in the relationship between emotions and decision- making. In this study, </w:t>
      </w:r>
      <w:r w:rsidRPr="00B3345E">
        <w:rPr>
          <w:rStyle w:val="StyleUnderline"/>
        </w:rPr>
        <w:t>decision-making was dominated by emotion under conditions of high threat but not under conditions of low threat.</w:t>
      </w:r>
      <w:r w:rsidRPr="00B3345E">
        <w:rPr>
          <w:sz w:val="16"/>
        </w:rPr>
        <w:t xml:space="preserve"> Under conditions of low threat, decision-making was modulated by a blending of emotion and logic. In a third study, cognitive modulation of emotion was found to reduce impulsivity and risky decision- making compared to participants who were instructed not to cognitively regulate their emotions (Martin &amp; Delgado, 2011).</w:t>
      </w:r>
      <w:r>
        <w:rPr>
          <w:sz w:val="16"/>
        </w:rPr>
        <w:t xml:space="preserve"> </w:t>
      </w:r>
      <w:r w:rsidRPr="004463DF">
        <w:rPr>
          <w:rStyle w:val="StyleUnderline"/>
          <w:highlight w:val="cyan"/>
        </w:rPr>
        <w:t>Emotions</w:t>
      </w:r>
      <w:r w:rsidRPr="00B3345E">
        <w:rPr>
          <w:rStyle w:val="StyleUnderline"/>
        </w:rPr>
        <w:t xml:space="preserve"> </w:t>
      </w:r>
      <w:r w:rsidRPr="004463DF">
        <w:rPr>
          <w:rStyle w:val="StyleUnderline"/>
          <w:highlight w:val="cyan"/>
        </w:rPr>
        <w:t>not only interfere with decision- making, they</w:t>
      </w:r>
      <w:r w:rsidRPr="00B3345E">
        <w:rPr>
          <w:rStyle w:val="StyleUnderline"/>
        </w:rPr>
        <w:t xml:space="preserve"> also </w:t>
      </w:r>
      <w:r w:rsidRPr="004463DF">
        <w:rPr>
          <w:rStyle w:val="StyleUnderline"/>
          <w:highlight w:val="cyan"/>
        </w:rPr>
        <w:t>facilitate it.</w:t>
      </w:r>
      <w:r w:rsidRPr="00B3345E">
        <w:rPr>
          <w:sz w:val="16"/>
        </w:rPr>
        <w:t xml:space="preserve"> Damasio (1994) created the somatic marker hypothesis to illustrate how people use emotion to make decisions. The founding premise of the somatic marker hypothesis is that </w:t>
      </w:r>
      <w:r w:rsidRPr="004463DF">
        <w:rPr>
          <w:rStyle w:val="StyleUnderline"/>
          <w:highlight w:val="cyan"/>
        </w:rPr>
        <w:t>in addition to</w:t>
      </w:r>
      <w:r w:rsidRPr="00B3345E">
        <w:rPr>
          <w:rStyle w:val="StyleUnderline"/>
        </w:rPr>
        <w:t xml:space="preserve"> weighing the perceived </w:t>
      </w:r>
      <w:r w:rsidRPr="004463DF">
        <w:rPr>
          <w:rStyle w:val="StyleUnderline"/>
          <w:highlight w:val="cyan"/>
        </w:rPr>
        <w:t>costs and benefits</w:t>
      </w:r>
      <w:r w:rsidRPr="00B3345E">
        <w:rPr>
          <w:rStyle w:val="StyleUnderline"/>
        </w:rPr>
        <w:t xml:space="preserve"> of alternate courses of action, </w:t>
      </w:r>
      <w:r w:rsidRPr="004463DF">
        <w:rPr>
          <w:rStyle w:val="StyleUnderline"/>
          <w:highlight w:val="cyan"/>
        </w:rPr>
        <w:t>people</w:t>
      </w:r>
      <w:r w:rsidRPr="00B3345E">
        <w:rPr>
          <w:rStyle w:val="StyleUnderline"/>
        </w:rPr>
        <w:t xml:space="preserve"> also </w:t>
      </w:r>
      <w:r w:rsidRPr="004463DF">
        <w:rPr>
          <w:rStyle w:val="StyleUnderline"/>
          <w:highlight w:val="cyan"/>
        </w:rPr>
        <w:t>weigh</w:t>
      </w:r>
      <w:r w:rsidRPr="00B3345E">
        <w:rPr>
          <w:rStyle w:val="StyleUnderline"/>
        </w:rPr>
        <w:t xml:space="preserve"> the </w:t>
      </w:r>
      <w:r w:rsidRPr="004463DF">
        <w:rPr>
          <w:rStyle w:val="StyleUnderline"/>
          <w:highlight w:val="cyan"/>
        </w:rPr>
        <w:t>emotional quality</w:t>
      </w:r>
      <w:r w:rsidRPr="00B3345E">
        <w:rPr>
          <w:rStyle w:val="StyleUnderline"/>
        </w:rPr>
        <w:t xml:space="preserve"> of each potential outcome</w:t>
      </w:r>
      <w:r w:rsidRPr="00B3345E">
        <w:rPr>
          <w:sz w:val="16"/>
        </w:rPr>
        <w:t xml:space="preserve">. Damasio (1994) defines somatic markers as associations between reinforcing stimuli and physiological responses (specific emotions plus their allied bodily reactions). These </w:t>
      </w:r>
      <w:r w:rsidRPr="004463DF">
        <w:rPr>
          <w:rStyle w:val="Emphasis"/>
          <w:highlight w:val="cyan"/>
        </w:rPr>
        <w:t>physiological reactions bias</w:t>
      </w:r>
      <w:r w:rsidRPr="00B3345E">
        <w:rPr>
          <w:rStyle w:val="Emphasis"/>
        </w:rPr>
        <w:t xml:space="preserve"> the </w:t>
      </w:r>
      <w:r w:rsidRPr="004463DF">
        <w:rPr>
          <w:rStyle w:val="Emphasis"/>
          <w:highlight w:val="cyan"/>
        </w:rPr>
        <w:t>individual toward certain options</w:t>
      </w:r>
      <w:r w:rsidRPr="00B3345E">
        <w:rPr>
          <w:sz w:val="16"/>
        </w:rPr>
        <w:t xml:space="preserve"> (“feels right”) and away from other options (“feels wrong”). In essence, </w:t>
      </w:r>
      <w:r w:rsidRPr="004463DF">
        <w:rPr>
          <w:rStyle w:val="StyleUnderline"/>
          <w:highlight w:val="cyan"/>
        </w:rPr>
        <w:t>somatic markers simplify and speed up</w:t>
      </w:r>
      <w:r w:rsidRPr="00B3345E">
        <w:rPr>
          <w:rStyle w:val="StyleUnderline"/>
        </w:rPr>
        <w:t xml:space="preserve"> the </w:t>
      </w:r>
      <w:r w:rsidRPr="004463DF">
        <w:rPr>
          <w:rStyle w:val="StyleUnderline"/>
          <w:highlight w:val="cyan"/>
        </w:rPr>
        <w:t>decision-making process</w:t>
      </w:r>
      <w:r w:rsidRPr="00B3345E">
        <w:rPr>
          <w:sz w:val="16"/>
        </w:rPr>
        <w:t>. According to Damasio (1994), bodily change and affect interact in two principal ways: Bodily or somatic change projects directly to the brain where it evokes an emotion (“body loop”: e.g., seeing a snake on the trail in front of one elicits a fear response) or a cognitive representation of the emotion evokes the emotion and brings about a corresponding change in the body or soma (“as if body loop”: e.g., thinking about the possibility of seeing a snake on the trail up ahead elicits a fear response).</w:t>
      </w:r>
      <w:r>
        <w:rPr>
          <w:sz w:val="16"/>
        </w:rPr>
        <w:t xml:space="preserve"> </w:t>
      </w:r>
      <w:r w:rsidRPr="00B3345E">
        <w:rPr>
          <w:sz w:val="16"/>
        </w:rPr>
        <w:t>Neuroanatomical Underpinnings</w:t>
      </w:r>
      <w:r>
        <w:rPr>
          <w:sz w:val="16"/>
        </w:rPr>
        <w:t xml:space="preserve"> </w:t>
      </w:r>
      <w:r w:rsidRPr="00B3345E">
        <w:rPr>
          <w:sz w:val="16"/>
        </w:rPr>
        <w:t xml:space="preserve">Damasio’s (1994) somatic marker hypothesis implies that </w:t>
      </w:r>
      <w:r w:rsidRPr="00B3345E">
        <w:rPr>
          <w:rStyle w:val="StyleUnderline"/>
        </w:rPr>
        <w:t>emotions impact decision-making through specific brain structures and pathways</w:t>
      </w:r>
      <w:r w:rsidRPr="00B3345E">
        <w:rPr>
          <w:sz w:val="16"/>
        </w:rPr>
        <w:t xml:space="preserve">. One theory holds that the orbitofrontal cortex is the site where emotions interface with bodily signals to affect the decisions we make. Lesions in this area of the brain have been found to interfere with the processing of somatic and emotional responses and have been linked </w:t>
      </w:r>
      <w:r w:rsidRPr="00B3345E">
        <w:rPr>
          <w:sz w:val="13"/>
          <w:szCs w:val="13"/>
        </w:rPr>
        <w:t xml:space="preserve">to a range of antisocial behaviors (Bechara, Damasio, &amp; Damasio, 2000). Consistent with the somatic marker hypothesis, activity in the lateral orbitofrontal cortex has been shown to guide decision-making. In fact, neural activity in this area can both inhibit emotional information that is not contextually relevant to a decision and highlight emotional information that is contextually relevant to a decision (Beer, Knight, &amp; </w:t>
      </w:r>
      <w:proofErr w:type="spellStart"/>
      <w:r w:rsidRPr="00B3345E">
        <w:rPr>
          <w:sz w:val="13"/>
          <w:szCs w:val="13"/>
        </w:rPr>
        <w:t>D’Esposito</w:t>
      </w:r>
      <w:proofErr w:type="spellEnd"/>
      <w:r w:rsidRPr="00B3345E">
        <w:rPr>
          <w:sz w:val="13"/>
          <w:szCs w:val="13"/>
        </w:rPr>
        <w:t>, 2006). The orbitofrontal cortex may also be involved in the development of the complex emotional-perceptual process of empathy (</w:t>
      </w:r>
      <w:proofErr w:type="spellStart"/>
      <w:r w:rsidRPr="00B3345E">
        <w:rPr>
          <w:sz w:val="13"/>
          <w:szCs w:val="13"/>
        </w:rPr>
        <w:t>Shamay-Tsoory</w:t>
      </w:r>
      <w:proofErr w:type="spellEnd"/>
      <w:r w:rsidRPr="00B3345E">
        <w:rPr>
          <w:sz w:val="13"/>
          <w:szCs w:val="13"/>
        </w:rPr>
        <w:t xml:space="preserve">, Harari, </w:t>
      </w:r>
      <w:proofErr w:type="spellStart"/>
      <w:r w:rsidRPr="00B3345E">
        <w:rPr>
          <w:sz w:val="13"/>
          <w:szCs w:val="13"/>
        </w:rPr>
        <w:t>Aharon</w:t>
      </w:r>
      <w:proofErr w:type="spellEnd"/>
      <w:r w:rsidRPr="00B3345E">
        <w:rPr>
          <w:sz w:val="13"/>
          <w:szCs w:val="13"/>
        </w:rPr>
        <w:t xml:space="preserve">-Perez, &amp; </w:t>
      </w:r>
      <w:proofErr w:type="spellStart"/>
      <w:r w:rsidRPr="00B3345E">
        <w:rPr>
          <w:sz w:val="13"/>
          <w:szCs w:val="13"/>
        </w:rPr>
        <w:t>Levkovitz</w:t>
      </w:r>
      <w:proofErr w:type="spellEnd"/>
      <w:r w:rsidRPr="00B3345E">
        <w:rPr>
          <w:sz w:val="13"/>
          <w:szCs w:val="13"/>
        </w:rPr>
        <w:t>, 2010). The orbitofrontal cortex is part of the paralimbic system. A core limbic structure, the amygdala, may also play a leading role in the decision-making process via its effect on emotion. It has been speculated that the amygdala creates an emotional response that mediates the relationship between a decision and its outcome, reward versus punishment (</w:t>
      </w:r>
      <w:proofErr w:type="spellStart"/>
      <w:r w:rsidRPr="00B3345E">
        <w:rPr>
          <w:sz w:val="13"/>
          <w:szCs w:val="13"/>
        </w:rPr>
        <w:t>Everitt</w:t>
      </w:r>
      <w:proofErr w:type="spellEnd"/>
      <w:r w:rsidRPr="00B3345E">
        <w:rPr>
          <w:sz w:val="13"/>
          <w:szCs w:val="13"/>
        </w:rPr>
        <w:t xml:space="preserve">, Cardinal, Parkinson, &amp; Robbins, 2003). Individuals with damage to the amygdala lack this vital feedback loop (Gupta, </w:t>
      </w:r>
      <w:proofErr w:type="spellStart"/>
      <w:r w:rsidRPr="00B3345E">
        <w:rPr>
          <w:sz w:val="13"/>
          <w:szCs w:val="13"/>
        </w:rPr>
        <w:t>Koscik</w:t>
      </w:r>
      <w:proofErr w:type="spellEnd"/>
      <w:r w:rsidRPr="00B3345E">
        <w:rPr>
          <w:sz w:val="13"/>
          <w:szCs w:val="13"/>
        </w:rPr>
        <w:t xml:space="preserve">, Bechara, &amp; </w:t>
      </w:r>
      <w:proofErr w:type="spellStart"/>
      <w:r w:rsidRPr="00B3345E">
        <w:rPr>
          <w:sz w:val="13"/>
          <w:szCs w:val="13"/>
        </w:rPr>
        <w:t>Tranel</w:t>
      </w:r>
      <w:proofErr w:type="spellEnd"/>
      <w:r w:rsidRPr="00B3345E">
        <w:rPr>
          <w:sz w:val="13"/>
          <w:szCs w:val="13"/>
        </w:rPr>
        <w:t>, 2011). According to the results of a recent study, the amygdala is involved in cognitive modulation of emotion during the process of decision-making (Sokol-</w:t>
      </w:r>
      <w:proofErr w:type="spellStart"/>
      <w:r w:rsidRPr="00B3345E">
        <w:rPr>
          <w:sz w:val="13"/>
          <w:szCs w:val="13"/>
        </w:rPr>
        <w:t>Hessner</w:t>
      </w:r>
      <w:proofErr w:type="spellEnd"/>
      <w:r w:rsidRPr="00B3345E">
        <w:rPr>
          <w:sz w:val="13"/>
          <w:szCs w:val="13"/>
        </w:rPr>
        <w:t xml:space="preserve">, Camerer, &amp; Phelps, 2013). The dopamine-rich striatum (caudate nucleus and putamen) is another brain region that has been implicated as a possible mediator of the emotion- decision-making relationship. A recent review showed that in antisocial individuals, the striatum may not be properly processing the absence of reward; consequently, the organism continues to respond to a non-rewarding stimulus as if it were receiving reinforcement (Glenn &amp; Yang, 2012). Developmental Context The decision-making process can also be viewed within a developmental context. After all, we would not expect an 8-year old child to display the same level of decision-making ability as an 18-year old young adult. Eighteen-year </w:t>
      </w:r>
      <w:proofErr w:type="spellStart"/>
      <w:r w:rsidRPr="00B3345E">
        <w:rPr>
          <w:sz w:val="13"/>
          <w:szCs w:val="13"/>
        </w:rPr>
        <w:t>olds</w:t>
      </w:r>
      <w:proofErr w:type="spellEnd"/>
      <w:r w:rsidRPr="00B3345E">
        <w:rPr>
          <w:sz w:val="13"/>
          <w:szCs w:val="13"/>
        </w:rPr>
        <w:t xml:space="preserve"> have more life experience and more efficient brains and are therefore more</w:t>
      </w:r>
      <w:r w:rsidRPr="00B3345E">
        <w:rPr>
          <w:sz w:val="16"/>
        </w:rPr>
        <w:t xml:space="preserve"> capable of making informed decisions than 8-year </w:t>
      </w:r>
      <w:proofErr w:type="spellStart"/>
      <w:r w:rsidRPr="00B3345E">
        <w:rPr>
          <w:sz w:val="16"/>
        </w:rPr>
        <w:t>olds</w:t>
      </w:r>
      <w:proofErr w:type="spellEnd"/>
      <w:r w:rsidRPr="00B3345E">
        <w:rPr>
          <w:sz w:val="16"/>
        </w:rPr>
        <w:t xml:space="preserve">. The individual roles of emotion, situational factors, and limbic and striatal brain structures in the decision-making process also vary as a function of age. Blakemore and Robbins (2012), for instance, note that adolescents are more likely to engage in risky decision-making than either children or adults, especially when emotions are high, peers are present, and self-esteem is at stake. These </w:t>
      </w:r>
      <w:r w:rsidRPr="00B3345E">
        <w:rPr>
          <w:rStyle w:val="Emphasis"/>
        </w:rPr>
        <w:t>“</w:t>
      </w:r>
      <w:r w:rsidRPr="004463DF">
        <w:rPr>
          <w:rStyle w:val="Emphasis"/>
          <w:highlight w:val="cyan"/>
        </w:rPr>
        <w:t xml:space="preserve">hot” situations </w:t>
      </w:r>
      <w:r w:rsidRPr="004463DF">
        <w:rPr>
          <w:rStyle w:val="Emphasis"/>
        </w:rPr>
        <w:t>appear</w:t>
      </w:r>
      <w:r w:rsidRPr="00B3345E">
        <w:rPr>
          <w:rStyle w:val="Emphasis"/>
        </w:rPr>
        <w:t xml:space="preserve"> to </w:t>
      </w:r>
      <w:r w:rsidRPr="004463DF">
        <w:rPr>
          <w:rStyle w:val="Emphasis"/>
          <w:highlight w:val="cyan"/>
        </w:rPr>
        <w:t>interfere with</w:t>
      </w:r>
      <w:r w:rsidRPr="00B3345E">
        <w:rPr>
          <w:rStyle w:val="Emphasis"/>
        </w:rPr>
        <w:t xml:space="preserve"> the </w:t>
      </w:r>
      <w:r w:rsidRPr="004463DF">
        <w:rPr>
          <w:rStyle w:val="Emphasis"/>
          <w:highlight w:val="cyan"/>
        </w:rPr>
        <w:t>rational choice process and increase</w:t>
      </w:r>
      <w:r w:rsidRPr="00B3345E">
        <w:rPr>
          <w:rStyle w:val="Emphasis"/>
        </w:rPr>
        <w:t xml:space="preserve"> the </w:t>
      </w:r>
      <w:r w:rsidRPr="004463DF">
        <w:rPr>
          <w:rStyle w:val="Emphasis"/>
          <w:highlight w:val="cyan"/>
        </w:rPr>
        <w:t>individual’s chances of making a risky decision</w:t>
      </w:r>
      <w:r w:rsidRPr="00B3345E">
        <w:rPr>
          <w:sz w:val="16"/>
        </w:rPr>
        <w:t>.</w:t>
      </w:r>
    </w:p>
    <w:p w14:paraId="5B39DD52" w14:textId="0AF43E25" w:rsidR="00B3345E" w:rsidRDefault="00B3345E" w:rsidP="00B3345E"/>
    <w:p w14:paraId="5700BE2C" w14:textId="45F47185" w:rsidR="00284DB2" w:rsidRDefault="00284DB2" w:rsidP="00284DB2">
      <w:pPr>
        <w:pStyle w:val="Heading4"/>
        <w:numPr>
          <w:ilvl w:val="0"/>
          <w:numId w:val="15"/>
        </w:numPr>
      </w:pPr>
      <w:r>
        <w:t>active offenders in high-crime areas are influenced by external factors, not deterrence mechanisms</w:t>
      </w:r>
    </w:p>
    <w:p w14:paraId="72974349" w14:textId="211D2852" w:rsidR="007F2985" w:rsidRPr="007F2985" w:rsidRDefault="007F2985" w:rsidP="007F2985">
      <w:pPr>
        <w:rPr>
          <w:b/>
          <w:sz w:val="26"/>
        </w:rPr>
      </w:pPr>
      <w:r>
        <w:rPr>
          <w:rStyle w:val="Style13ptBold"/>
        </w:rPr>
        <w:t xml:space="preserve">Fagan* and </w:t>
      </w:r>
      <w:r w:rsidRPr="00293068">
        <w:rPr>
          <w:rStyle w:val="Style13ptBold"/>
        </w:rPr>
        <w:t>Piquero*</w:t>
      </w:r>
      <w:r>
        <w:rPr>
          <w:rStyle w:val="Style13ptBold"/>
        </w:rPr>
        <w:t xml:space="preserve">*, 07 </w:t>
      </w:r>
      <w:r w:rsidRPr="007F2985">
        <w:t xml:space="preserve">- Isidor and Seville </w:t>
      </w:r>
      <w:proofErr w:type="spellStart"/>
      <w:r w:rsidRPr="007F2985">
        <w:t>Sulzbacher</w:t>
      </w:r>
      <w:proofErr w:type="spellEnd"/>
      <w:r w:rsidRPr="007F2985">
        <w:t xml:space="preserve"> Professor of Law at Columbia Law School, director of that institution's Center for Crime, Community and Law, and a professor of epidemiology at the Mailman School of Public Health*, Professor of Criminology and Associate Dean for Graduate Programs in the School of Economic, Political, and Policy Sciences at the University of Texas at Dallas, also Associate Dean for Graduate Programs in the School of Economic, Political, and Policy Sciences at the same school** (Jeffrey* and Alex**, ‘Rational Choice and Developmental Influences on Recidivism Among Adolescent Felony Offenders’, December 2007, https://www.ncbi.nlm.nih.gov/pmc/articles/PMC2818334/)//hecht</w:t>
      </w:r>
    </w:p>
    <w:p w14:paraId="508609B2" w14:textId="3ED25D88" w:rsidR="001640B3" w:rsidRPr="009569E3" w:rsidRDefault="001640B3" w:rsidP="001640B3">
      <w:pPr>
        <w:rPr>
          <w:sz w:val="16"/>
        </w:rPr>
      </w:pPr>
      <w:r w:rsidRPr="00284DB2">
        <w:rPr>
          <w:sz w:val="16"/>
        </w:rPr>
        <w:t xml:space="preserve">However, there also are several reasons </w:t>
      </w:r>
      <w:r w:rsidRPr="001B4C07">
        <w:rPr>
          <w:rStyle w:val="StyleUnderline"/>
          <w:highlight w:val="cyan"/>
        </w:rPr>
        <w:t>active offenders</w:t>
      </w:r>
      <w:r w:rsidRPr="001640B3">
        <w:rPr>
          <w:rStyle w:val="StyleUnderline"/>
        </w:rPr>
        <w:t>, whether adolescents or adults</w:t>
      </w:r>
      <w:r w:rsidRPr="00284DB2">
        <w:rPr>
          <w:sz w:val="16"/>
        </w:rPr>
        <w:t xml:space="preserve">, may </w:t>
      </w:r>
      <w:r w:rsidRPr="001B4C07">
        <w:rPr>
          <w:rStyle w:val="StyleUnderline"/>
          <w:highlight w:val="cyan"/>
        </w:rPr>
        <w:t>evidence lower</w:t>
      </w:r>
      <w:r w:rsidRPr="001640B3">
        <w:rPr>
          <w:rStyle w:val="StyleUnderline"/>
        </w:rPr>
        <w:t xml:space="preserve"> </w:t>
      </w:r>
      <w:r w:rsidRPr="00E76AF0">
        <w:rPr>
          <w:rStyle w:val="StyleUnderline"/>
          <w:highlight w:val="cyan"/>
        </w:rPr>
        <w:t>sensitivity to</w:t>
      </w:r>
      <w:r w:rsidRPr="001640B3">
        <w:rPr>
          <w:rStyle w:val="StyleUnderline"/>
        </w:rPr>
        <w:t xml:space="preserve"> sanction </w:t>
      </w:r>
      <w:r w:rsidRPr="00E76AF0">
        <w:rPr>
          <w:rStyle w:val="StyleUnderline"/>
          <w:highlight w:val="cyan"/>
        </w:rPr>
        <w:t>threats</w:t>
      </w:r>
      <w:r w:rsidRPr="00284DB2">
        <w:rPr>
          <w:sz w:val="16"/>
        </w:rPr>
        <w:t xml:space="preserve">. First, their immaturity alone may attenuate their perceptions of risk and their evaluations of the consequences of criminal behavior. Second, </w:t>
      </w:r>
      <w:r w:rsidRPr="00E76AF0">
        <w:rPr>
          <w:rStyle w:val="StyleUnderline"/>
          <w:highlight w:val="cyan"/>
        </w:rPr>
        <w:t>they</w:t>
      </w:r>
      <w:r w:rsidRPr="001640B3">
        <w:rPr>
          <w:rStyle w:val="StyleUnderline"/>
        </w:rPr>
        <w:t xml:space="preserve"> may </w:t>
      </w:r>
      <w:r w:rsidRPr="00E76AF0">
        <w:rPr>
          <w:rStyle w:val="StyleUnderline"/>
          <w:highlight w:val="cyan"/>
        </w:rPr>
        <w:t>discount, or deliberately devalue</w:t>
      </w:r>
      <w:r w:rsidRPr="001640B3">
        <w:rPr>
          <w:rStyle w:val="StyleUnderline"/>
        </w:rPr>
        <w:t xml:space="preserve">, sanction </w:t>
      </w:r>
      <w:r w:rsidRPr="00E76AF0">
        <w:rPr>
          <w:rStyle w:val="StyleUnderline"/>
          <w:highlight w:val="cyan"/>
        </w:rPr>
        <w:t>threats that tend to be</w:t>
      </w:r>
      <w:r w:rsidRPr="001640B3">
        <w:rPr>
          <w:rStyle w:val="StyleUnderline"/>
        </w:rPr>
        <w:t xml:space="preserve"> more </w:t>
      </w:r>
      <w:r w:rsidRPr="00E76AF0">
        <w:rPr>
          <w:rStyle w:val="StyleUnderline"/>
          <w:highlight w:val="cyan"/>
        </w:rPr>
        <w:t>future</w:t>
      </w:r>
      <w:r w:rsidRPr="001640B3">
        <w:rPr>
          <w:rStyle w:val="StyleUnderline"/>
        </w:rPr>
        <w:t xml:space="preserve"> than present </w:t>
      </w:r>
      <w:r w:rsidRPr="00E76AF0">
        <w:rPr>
          <w:rStyle w:val="StyleUnderline"/>
          <w:highlight w:val="cyan"/>
        </w:rPr>
        <w:t>oriented</w:t>
      </w:r>
      <w:r w:rsidRPr="00284DB2">
        <w:rPr>
          <w:sz w:val="16"/>
        </w:rPr>
        <w:t xml:space="preserve">. For example, </w:t>
      </w:r>
      <w:r w:rsidRPr="001640B3">
        <w:rPr>
          <w:rStyle w:val="StyleUnderline"/>
        </w:rPr>
        <w:t xml:space="preserve">Nagin and </w:t>
      </w:r>
      <w:proofErr w:type="spellStart"/>
      <w:r w:rsidRPr="001640B3">
        <w:rPr>
          <w:rStyle w:val="StyleUnderline"/>
        </w:rPr>
        <w:t>Pogarsky</w:t>
      </w:r>
      <w:proofErr w:type="spellEnd"/>
      <w:r w:rsidRPr="001640B3">
        <w:rPr>
          <w:rStyle w:val="StyleUnderline"/>
        </w:rPr>
        <w:t xml:space="preserve"> have linked discounting to various deterrence concepts</w:t>
      </w:r>
      <w:r w:rsidRPr="00284DB2">
        <w:rPr>
          <w:sz w:val="16"/>
        </w:rPr>
        <w:t xml:space="preserve"> (Nagin &amp; </w:t>
      </w:r>
      <w:proofErr w:type="spellStart"/>
      <w:r w:rsidRPr="00284DB2">
        <w:rPr>
          <w:sz w:val="16"/>
        </w:rPr>
        <w:t>Pogarsky</w:t>
      </w:r>
      <w:proofErr w:type="spellEnd"/>
      <w:r w:rsidRPr="00284DB2">
        <w:rPr>
          <w:sz w:val="16"/>
        </w:rPr>
        <w:t xml:space="preserve"> 2001, 2003) </w:t>
      </w:r>
      <w:r w:rsidRPr="001640B3">
        <w:rPr>
          <w:rStyle w:val="StyleUnderline"/>
        </w:rPr>
        <w:t>as well as future-related problem behavior</w:t>
      </w:r>
      <w:r w:rsidRPr="00284DB2">
        <w:rPr>
          <w:sz w:val="16"/>
        </w:rPr>
        <w:t xml:space="preserve"> (Nagin &amp; </w:t>
      </w:r>
      <w:proofErr w:type="spellStart"/>
      <w:r w:rsidRPr="00284DB2">
        <w:rPr>
          <w:sz w:val="16"/>
        </w:rPr>
        <w:t>Pogarsky</w:t>
      </w:r>
      <w:proofErr w:type="spellEnd"/>
      <w:r w:rsidRPr="00284DB2">
        <w:rPr>
          <w:sz w:val="16"/>
        </w:rPr>
        <w:t xml:space="preserve"> 2004), while </w:t>
      </w:r>
      <w:proofErr w:type="spellStart"/>
      <w:r w:rsidRPr="00284DB2">
        <w:rPr>
          <w:sz w:val="16"/>
        </w:rPr>
        <w:t>Pogarsky</w:t>
      </w:r>
      <w:proofErr w:type="spellEnd"/>
      <w:r w:rsidRPr="00284DB2">
        <w:rPr>
          <w:sz w:val="16"/>
        </w:rPr>
        <w:t xml:space="preserve"> and Piquero (2003) found that the presence of the gambler's bias1 corresponded with lower sanction certainty estimates. Third</w:t>
      </w:r>
      <w:r w:rsidRPr="001640B3">
        <w:rPr>
          <w:rStyle w:val="StyleUnderline"/>
        </w:rPr>
        <w:t xml:space="preserve">, the </w:t>
      </w:r>
      <w:r w:rsidRPr="00E76AF0">
        <w:rPr>
          <w:rStyle w:val="StyleUnderline"/>
          <w:highlight w:val="cyan"/>
        </w:rPr>
        <w:t>spatial concentration of</w:t>
      </w:r>
      <w:r w:rsidRPr="001640B3">
        <w:rPr>
          <w:rStyle w:val="StyleUnderline"/>
        </w:rPr>
        <w:t xml:space="preserve"> serious youth </w:t>
      </w:r>
      <w:r w:rsidRPr="00E76AF0">
        <w:rPr>
          <w:rStyle w:val="StyleUnderline"/>
          <w:highlight w:val="cyan"/>
        </w:rPr>
        <w:t>crime in disadvantaged</w:t>
      </w:r>
      <w:r w:rsidRPr="001640B3">
        <w:rPr>
          <w:rStyle w:val="StyleUnderline"/>
        </w:rPr>
        <w:t xml:space="preserve"> </w:t>
      </w:r>
      <w:r w:rsidRPr="00E76AF0">
        <w:rPr>
          <w:rStyle w:val="StyleUnderline"/>
          <w:highlight w:val="cyan"/>
        </w:rPr>
        <w:t>neighborhoods</w:t>
      </w:r>
      <w:r w:rsidRPr="001640B3">
        <w:rPr>
          <w:rStyle w:val="StyleUnderline"/>
        </w:rPr>
        <w:t xml:space="preserve"> may lower the perceived costs of punishment while </w:t>
      </w:r>
      <w:r w:rsidRPr="00E76AF0">
        <w:rPr>
          <w:rStyle w:val="StyleUnderline"/>
          <w:highlight w:val="cyan"/>
        </w:rPr>
        <w:t>inflating</w:t>
      </w:r>
      <w:r w:rsidRPr="001640B3">
        <w:rPr>
          <w:rStyle w:val="StyleUnderline"/>
        </w:rPr>
        <w:t xml:space="preserve"> its </w:t>
      </w:r>
      <w:r w:rsidRPr="00E76AF0">
        <w:rPr>
          <w:rStyle w:val="StyleUnderline"/>
          <w:highlight w:val="cyan"/>
        </w:rPr>
        <w:t>social rewards</w:t>
      </w:r>
      <w:r w:rsidRPr="001640B3">
        <w:rPr>
          <w:rStyle w:val="StyleUnderline"/>
        </w:rPr>
        <w:t xml:space="preserve"> of status </w:t>
      </w:r>
      <w:r w:rsidRPr="00E76AF0">
        <w:rPr>
          <w:rStyle w:val="StyleUnderline"/>
          <w:highlight w:val="cyan"/>
        </w:rPr>
        <w:t>and material</w:t>
      </w:r>
      <w:r w:rsidRPr="001640B3">
        <w:rPr>
          <w:rStyle w:val="StyleUnderline"/>
        </w:rPr>
        <w:t xml:space="preserve"> </w:t>
      </w:r>
      <w:r w:rsidRPr="00E76AF0">
        <w:rPr>
          <w:rStyle w:val="StyleUnderline"/>
          <w:highlight w:val="cyan"/>
        </w:rPr>
        <w:t>gains</w:t>
      </w:r>
      <w:r w:rsidRPr="00284DB2">
        <w:rPr>
          <w:sz w:val="16"/>
        </w:rPr>
        <w:t xml:space="preserve"> (Fagan &amp; Wilkinson 1998a, 1998b; Anderson 1999). </w:t>
      </w:r>
      <w:r w:rsidRPr="00E76AF0">
        <w:rPr>
          <w:rStyle w:val="StyleUnderline"/>
          <w:highlight w:val="cyan"/>
        </w:rPr>
        <w:t>High-crime neighborhoods</w:t>
      </w:r>
      <w:r w:rsidRPr="001640B3">
        <w:rPr>
          <w:rStyle w:val="StyleUnderline"/>
        </w:rPr>
        <w:t xml:space="preserve"> often </w:t>
      </w:r>
      <w:r w:rsidRPr="00E76AF0">
        <w:rPr>
          <w:rStyle w:val="StyleUnderline"/>
          <w:highlight w:val="cyan"/>
        </w:rPr>
        <w:t>have high</w:t>
      </w:r>
      <w:r w:rsidRPr="001640B3">
        <w:rPr>
          <w:rStyle w:val="StyleUnderline"/>
        </w:rPr>
        <w:t xml:space="preserve"> </w:t>
      </w:r>
      <w:r w:rsidRPr="00E76AF0">
        <w:rPr>
          <w:rStyle w:val="StyleUnderline"/>
          <w:highlight w:val="cyan"/>
        </w:rPr>
        <w:t>unemployment</w:t>
      </w:r>
      <w:r w:rsidRPr="001640B3">
        <w:rPr>
          <w:rStyle w:val="StyleUnderline"/>
        </w:rPr>
        <w:t xml:space="preserve"> rates, </w:t>
      </w:r>
      <w:r w:rsidRPr="00E76AF0">
        <w:rPr>
          <w:rStyle w:val="StyleUnderline"/>
          <w:highlight w:val="cyan"/>
        </w:rPr>
        <w:t>lower human capital</w:t>
      </w:r>
      <w:r w:rsidRPr="001640B3">
        <w:rPr>
          <w:rStyle w:val="StyleUnderline"/>
        </w:rPr>
        <w:t xml:space="preserve">, and lower </w:t>
      </w:r>
      <w:r w:rsidRPr="00E76AF0">
        <w:rPr>
          <w:rStyle w:val="StyleUnderline"/>
          <w:highlight w:val="cyan"/>
        </w:rPr>
        <w:t>wages</w:t>
      </w:r>
      <w:r w:rsidRPr="001640B3">
        <w:rPr>
          <w:rStyle w:val="StyleUnderline"/>
        </w:rPr>
        <w:t xml:space="preserve">, </w:t>
      </w:r>
      <w:r w:rsidRPr="00E76AF0">
        <w:rPr>
          <w:rStyle w:val="StyleUnderline"/>
          <w:highlight w:val="cyan"/>
        </w:rPr>
        <w:t>economic barriers</w:t>
      </w:r>
      <w:r w:rsidRPr="001640B3">
        <w:rPr>
          <w:rStyle w:val="StyleUnderline"/>
        </w:rPr>
        <w:t xml:space="preserve"> that </w:t>
      </w:r>
      <w:r w:rsidRPr="001640B3">
        <w:rPr>
          <w:rStyle w:val="Emphasis"/>
        </w:rPr>
        <w:t xml:space="preserve">may </w:t>
      </w:r>
      <w:r w:rsidRPr="00E76AF0">
        <w:rPr>
          <w:rStyle w:val="Emphasis"/>
          <w:highlight w:val="cyan"/>
        </w:rPr>
        <w:t>influence how young</w:t>
      </w:r>
      <w:r w:rsidRPr="001640B3">
        <w:rPr>
          <w:rStyle w:val="Emphasis"/>
        </w:rPr>
        <w:t xml:space="preserve"> </w:t>
      </w:r>
      <w:r w:rsidRPr="00E76AF0">
        <w:rPr>
          <w:rStyle w:val="Emphasis"/>
          <w:highlight w:val="cyan"/>
        </w:rPr>
        <w:t>offenders evaluate</w:t>
      </w:r>
      <w:r w:rsidRPr="001640B3">
        <w:rPr>
          <w:rStyle w:val="Emphasis"/>
        </w:rPr>
        <w:t xml:space="preserve"> the </w:t>
      </w:r>
      <w:r w:rsidRPr="00E76AF0">
        <w:rPr>
          <w:rStyle w:val="Emphasis"/>
          <w:highlight w:val="cyan"/>
        </w:rPr>
        <w:t xml:space="preserve">returns from </w:t>
      </w:r>
      <w:r w:rsidRPr="00E76AF0">
        <w:rPr>
          <w:rStyle w:val="Emphasis"/>
        </w:rPr>
        <w:t xml:space="preserve">conforming </w:t>
      </w:r>
      <w:r w:rsidRPr="00E76AF0">
        <w:rPr>
          <w:rStyle w:val="Emphasis"/>
          <w:highlight w:val="cyan"/>
        </w:rPr>
        <w:t>behavior</w:t>
      </w:r>
      <w:r w:rsidRPr="00284DB2">
        <w:rPr>
          <w:sz w:val="16"/>
        </w:rPr>
        <w:t xml:space="preserve"> (Fagan &amp; Freeman 1999). Accordingly, if punishment is discounted by perceptions that compliance may not “pay,” then incentives to avoid crime are compromised. Fourth, </w:t>
      </w:r>
      <w:r w:rsidRPr="001640B3">
        <w:rPr>
          <w:rStyle w:val="StyleUnderline"/>
        </w:rPr>
        <w:t>the contingent effect of sanction threats may be reduced by the high rates of punishment in these neighborhoods</w:t>
      </w:r>
      <w:r w:rsidRPr="00284DB2">
        <w:rPr>
          <w:sz w:val="16"/>
        </w:rPr>
        <w:t>. Stigma costs are reduced, as is its contingent probability, when would-be teenage offenders perceive sanctions as inevitable, widespread, and not stochastically tied to criminal activity (Nagin 1998; Fagan &amp; Freeman 1999).</w:t>
      </w:r>
    </w:p>
    <w:p w14:paraId="28D7C75B" w14:textId="6C6BB697" w:rsidR="00F15641" w:rsidRDefault="00F15641" w:rsidP="00F15641">
      <w:pPr>
        <w:pStyle w:val="Heading2"/>
      </w:pPr>
      <w:r>
        <w:t>cp—universal database</w:t>
      </w:r>
    </w:p>
    <w:p w14:paraId="7B48AA00" w14:textId="77D5FEBA" w:rsidR="00983CCE" w:rsidRPr="00983CCE" w:rsidRDefault="00983CCE" w:rsidP="00983CCE">
      <w:pPr>
        <w:pStyle w:val="Heading3"/>
      </w:pPr>
      <w:proofErr w:type="spellStart"/>
      <w:proofErr w:type="gramStart"/>
      <w:r>
        <w:t>cant</w:t>
      </w:r>
      <w:proofErr w:type="spellEnd"/>
      <w:proofErr w:type="gramEnd"/>
      <w:r>
        <w:t xml:space="preserve"> solve deterrence—2ac</w:t>
      </w:r>
    </w:p>
    <w:p w14:paraId="285EA79B" w14:textId="2EA87D7D" w:rsidR="00F15641" w:rsidRDefault="00F15641" w:rsidP="00F15641">
      <w:pPr>
        <w:pStyle w:val="Heading4"/>
      </w:pPr>
      <w:r>
        <w:t>The counterplan causes increased error and ruins public confidence in DNA—</w:t>
      </w:r>
      <w:r w:rsidRPr="00F15641">
        <w:rPr>
          <w:u w:val="single"/>
        </w:rPr>
        <w:t>wrecks</w:t>
      </w:r>
      <w:r>
        <w:t xml:space="preserve"> the deterrent effect, even if they’re right it exists now</w:t>
      </w:r>
    </w:p>
    <w:p w14:paraId="17CA7BA2" w14:textId="7E05CEFE" w:rsidR="00F15641" w:rsidRPr="00F15641" w:rsidRDefault="00F15641" w:rsidP="00F15641">
      <w:r w:rsidRPr="00F15641">
        <w:t>Schwartz</w:t>
      </w:r>
      <w:r>
        <w:t xml:space="preserve">, 19 - </w:t>
      </w:r>
      <w:r w:rsidRPr="00F15641">
        <w:t>writer based in New York City</w:t>
      </w:r>
      <w:r>
        <w:t xml:space="preserve">, writes for </w:t>
      </w:r>
      <w:r w:rsidRPr="00F15641">
        <w:t>The Guardian, The Atlantic, and The Baffler</w:t>
      </w:r>
      <w:r>
        <w:t xml:space="preserve"> (Oscar, ‘</w:t>
      </w:r>
      <w:r w:rsidRPr="00F15641">
        <w:t>Do DNA Databases Make Would-Be Criminals Think Twice</w:t>
      </w:r>
      <w:r>
        <w:t xml:space="preserve">?’, </w:t>
      </w:r>
      <w:proofErr w:type="spellStart"/>
      <w:r>
        <w:t>semptember</w:t>
      </w:r>
      <w:proofErr w:type="spellEnd"/>
      <w:r>
        <w:t xml:space="preserve"> 23 2019, </w:t>
      </w:r>
      <w:r w:rsidRPr="00F15641">
        <w:t>https://undark.org/2019/09/23/dna-database-deter-crime/</w:t>
      </w:r>
      <w:r>
        <w:t>)//hecht</w:t>
      </w:r>
    </w:p>
    <w:p w14:paraId="6CC5B369" w14:textId="17B255A2" w:rsidR="00F15641" w:rsidRPr="00F15641" w:rsidRDefault="00F15641" w:rsidP="00F15641">
      <w:pPr>
        <w:rPr>
          <w:rStyle w:val="Emphasis"/>
        </w:rPr>
      </w:pPr>
      <w:r w:rsidRPr="00F15641">
        <w:rPr>
          <w:sz w:val="16"/>
        </w:rPr>
        <w:t xml:space="preserve">Similar effects hold across Europe and the U.S., where </w:t>
      </w:r>
      <w:r w:rsidRPr="00EF19D6">
        <w:rPr>
          <w:rStyle w:val="Emphasis"/>
          <w:highlight w:val="cyan"/>
        </w:rPr>
        <w:t>larger databases do not correlate to</w:t>
      </w:r>
      <w:r w:rsidRPr="00F15641">
        <w:rPr>
          <w:rStyle w:val="Emphasis"/>
        </w:rPr>
        <w:t xml:space="preserve"> a </w:t>
      </w:r>
      <w:r w:rsidRPr="00EF19D6">
        <w:rPr>
          <w:rStyle w:val="Emphasis"/>
          <w:highlight w:val="cyan"/>
        </w:rPr>
        <w:t>more efficient crime fighting</w:t>
      </w:r>
      <w:r w:rsidRPr="00F15641">
        <w:rPr>
          <w:rStyle w:val="Emphasis"/>
        </w:rPr>
        <w:t xml:space="preserve"> tool, </w:t>
      </w:r>
      <w:r w:rsidRPr="00EF19D6">
        <w:rPr>
          <w:rStyle w:val="Emphasis"/>
          <w:highlight w:val="cyan"/>
        </w:rPr>
        <w:t>and</w:t>
      </w:r>
      <w:r w:rsidRPr="00F15641">
        <w:rPr>
          <w:rStyle w:val="Emphasis"/>
        </w:rPr>
        <w:t xml:space="preserve"> can even lead to </w:t>
      </w:r>
      <w:r w:rsidRPr="00EF19D6">
        <w:rPr>
          <w:rStyle w:val="Emphasis"/>
          <w:highlight w:val="cyan"/>
        </w:rPr>
        <w:t>increase</w:t>
      </w:r>
      <w:r w:rsidRPr="00F15641">
        <w:rPr>
          <w:rStyle w:val="Emphasis"/>
        </w:rPr>
        <w:t xml:space="preserve">d </w:t>
      </w:r>
      <w:r w:rsidRPr="00EF19D6">
        <w:rPr>
          <w:rStyle w:val="Emphasis"/>
          <w:highlight w:val="cyan"/>
        </w:rPr>
        <w:t>margins of error</w:t>
      </w:r>
      <w:r w:rsidRPr="00F15641">
        <w:rPr>
          <w:sz w:val="16"/>
        </w:rPr>
        <w:t xml:space="preserve">. </w:t>
      </w:r>
      <w:r w:rsidRPr="00F15641">
        <w:rPr>
          <w:rStyle w:val="StyleUnderline"/>
        </w:rPr>
        <w:t xml:space="preserve">Some have suggested that this reduction in efficiency occurs in part </w:t>
      </w:r>
      <w:r w:rsidRPr="00EF19D6">
        <w:rPr>
          <w:rStyle w:val="StyleUnderline"/>
          <w:highlight w:val="cyan"/>
        </w:rPr>
        <w:t>because</w:t>
      </w:r>
      <w:r w:rsidRPr="00F15641">
        <w:rPr>
          <w:rStyle w:val="StyleUnderline"/>
        </w:rPr>
        <w:t xml:space="preserve"> forensic </w:t>
      </w:r>
      <w:r w:rsidRPr="00EF19D6">
        <w:rPr>
          <w:rStyle w:val="StyleUnderline"/>
          <w:highlight w:val="cyan"/>
        </w:rPr>
        <w:t>labs become overburdened with new samples</w:t>
      </w:r>
      <w:r w:rsidRPr="00F15641">
        <w:rPr>
          <w:rStyle w:val="StyleUnderline"/>
        </w:rPr>
        <w:t xml:space="preserve">, creating a backlog of unanalyzed genetic data, </w:t>
      </w:r>
      <w:r w:rsidRPr="00EF19D6">
        <w:rPr>
          <w:rStyle w:val="StyleUnderline"/>
        </w:rPr>
        <w:t>rendering the bigger database less efficient</w:t>
      </w:r>
      <w:r w:rsidRPr="00F15641">
        <w:rPr>
          <w:rStyle w:val="StyleUnderline"/>
        </w:rPr>
        <w:t xml:space="preserve"> in finding matches</w:t>
      </w:r>
      <w:r w:rsidRPr="00F15641">
        <w:rPr>
          <w:sz w:val="16"/>
        </w:rPr>
        <w:t xml:space="preserve">. Moreover, </w:t>
      </w:r>
      <w:r w:rsidRPr="00EF19D6">
        <w:rPr>
          <w:rStyle w:val="StyleUnderline"/>
          <w:highlight w:val="cyan"/>
        </w:rPr>
        <w:t>as databases grow</w:t>
      </w:r>
      <w:r w:rsidRPr="00F15641">
        <w:rPr>
          <w:rStyle w:val="StyleUnderline"/>
        </w:rPr>
        <w:t xml:space="preserve"> and labs become overburdened, </w:t>
      </w:r>
      <w:r w:rsidRPr="00EF19D6">
        <w:rPr>
          <w:rStyle w:val="StyleUnderline"/>
          <w:highlight w:val="cyan"/>
        </w:rPr>
        <w:t>so do</w:t>
      </w:r>
      <w:r w:rsidRPr="00F15641">
        <w:rPr>
          <w:rStyle w:val="StyleUnderline"/>
        </w:rPr>
        <w:t xml:space="preserve"> the </w:t>
      </w:r>
      <w:r w:rsidRPr="00EF19D6">
        <w:rPr>
          <w:rStyle w:val="Emphasis"/>
          <w:highlight w:val="cyan"/>
        </w:rPr>
        <w:t>chances of</w:t>
      </w:r>
      <w:r w:rsidRPr="00F15641">
        <w:rPr>
          <w:rStyle w:val="Emphasis"/>
        </w:rPr>
        <w:t xml:space="preserve"> inaccuracies and </w:t>
      </w:r>
      <w:r w:rsidRPr="00EF19D6">
        <w:rPr>
          <w:rStyle w:val="Emphasis"/>
          <w:highlight w:val="cyan"/>
        </w:rPr>
        <w:t>false positive</w:t>
      </w:r>
      <w:r w:rsidRPr="00F15641">
        <w:rPr>
          <w:rStyle w:val="Emphasis"/>
        </w:rPr>
        <w:t xml:space="preserve"> matches</w:t>
      </w:r>
      <w:r w:rsidRPr="00F15641">
        <w:rPr>
          <w:rStyle w:val="StyleUnderline"/>
        </w:rPr>
        <w:t>.</w:t>
      </w:r>
      <w:r>
        <w:rPr>
          <w:sz w:val="16"/>
        </w:rPr>
        <w:t xml:space="preserve"> </w:t>
      </w:r>
      <w:r w:rsidRPr="00F15641">
        <w:rPr>
          <w:sz w:val="16"/>
        </w:rPr>
        <w:t xml:space="preserve">But for McCartney, this </w:t>
      </w:r>
      <w:r w:rsidRPr="00EF19D6">
        <w:rPr>
          <w:rStyle w:val="StyleUnderline"/>
          <w:highlight w:val="cyan"/>
        </w:rPr>
        <w:t>reduced</w:t>
      </w:r>
      <w:r w:rsidRPr="00F15641">
        <w:rPr>
          <w:rStyle w:val="StyleUnderline"/>
        </w:rPr>
        <w:t xml:space="preserve"> </w:t>
      </w:r>
      <w:r w:rsidRPr="00EF19D6">
        <w:rPr>
          <w:rStyle w:val="StyleUnderline"/>
          <w:highlight w:val="cyan"/>
        </w:rPr>
        <w:t>efficiency</w:t>
      </w:r>
      <w:r w:rsidRPr="00F15641">
        <w:rPr>
          <w:rStyle w:val="StyleUnderline"/>
        </w:rPr>
        <w:t xml:space="preserve"> is </w:t>
      </w:r>
      <w:r w:rsidRPr="00EF19D6">
        <w:rPr>
          <w:rStyle w:val="StyleUnderline"/>
          <w:highlight w:val="cyan"/>
        </w:rPr>
        <w:t>intimately connected with</w:t>
      </w:r>
      <w:r w:rsidRPr="00F15641">
        <w:rPr>
          <w:rStyle w:val="StyleUnderline"/>
        </w:rPr>
        <w:t xml:space="preserve"> the database’s </w:t>
      </w:r>
      <w:r w:rsidRPr="00EF19D6">
        <w:rPr>
          <w:rStyle w:val="StyleUnderline"/>
          <w:highlight w:val="cyan"/>
        </w:rPr>
        <w:t>capacity to work as</w:t>
      </w:r>
      <w:r w:rsidRPr="00F15641">
        <w:rPr>
          <w:rStyle w:val="StyleUnderline"/>
        </w:rPr>
        <w:t xml:space="preserve"> a crime </w:t>
      </w:r>
      <w:r w:rsidRPr="00EF19D6">
        <w:rPr>
          <w:rStyle w:val="StyleUnderline"/>
          <w:highlight w:val="cyan"/>
        </w:rPr>
        <w:t>deterrence tool</w:t>
      </w:r>
      <w:r w:rsidRPr="00F15641">
        <w:rPr>
          <w:rStyle w:val="StyleUnderline"/>
        </w:rPr>
        <w:t>.</w:t>
      </w:r>
      <w:r w:rsidRPr="00F15641">
        <w:rPr>
          <w:sz w:val="16"/>
        </w:rPr>
        <w:t xml:space="preserve"> </w:t>
      </w:r>
      <w:r w:rsidRPr="00F15641">
        <w:rPr>
          <w:rStyle w:val="StyleUnderline"/>
        </w:rPr>
        <w:t xml:space="preserve">“There’s a risk that </w:t>
      </w:r>
      <w:r w:rsidRPr="00EF19D6">
        <w:rPr>
          <w:rStyle w:val="StyleUnderline"/>
          <w:highlight w:val="cyan"/>
        </w:rPr>
        <w:t>people will</w:t>
      </w:r>
      <w:r w:rsidRPr="00F15641">
        <w:rPr>
          <w:rStyle w:val="StyleUnderline"/>
        </w:rPr>
        <w:t xml:space="preserve"> just </w:t>
      </w:r>
      <w:r w:rsidRPr="00EF19D6">
        <w:rPr>
          <w:rStyle w:val="StyleUnderline"/>
          <w:highlight w:val="cyan"/>
        </w:rPr>
        <w:t>say</w:t>
      </w:r>
      <w:r w:rsidRPr="00F15641">
        <w:rPr>
          <w:rStyle w:val="StyleUnderline"/>
        </w:rPr>
        <w:t xml:space="preserve">, oh well </w:t>
      </w:r>
      <w:r w:rsidRPr="00EF19D6">
        <w:rPr>
          <w:rStyle w:val="StyleUnderline"/>
          <w:highlight w:val="cyan"/>
        </w:rPr>
        <w:t>if we</w:t>
      </w:r>
      <w:r w:rsidRPr="00F15641">
        <w:rPr>
          <w:rStyle w:val="StyleUnderline"/>
        </w:rPr>
        <w:t xml:space="preserve"> now </w:t>
      </w:r>
      <w:r w:rsidRPr="00EF19D6">
        <w:rPr>
          <w:rStyle w:val="StyleUnderline"/>
          <w:highlight w:val="cyan"/>
        </w:rPr>
        <w:t>have 9 million [people</w:t>
      </w:r>
      <w:r w:rsidRPr="00F15641">
        <w:rPr>
          <w:rStyle w:val="StyleUnderline"/>
        </w:rPr>
        <w:t xml:space="preserve">] on the DNA database, </w:t>
      </w:r>
      <w:r w:rsidRPr="00EF19D6">
        <w:rPr>
          <w:rStyle w:val="StyleUnderline"/>
          <w:highlight w:val="cyan"/>
        </w:rPr>
        <w:t>how come we haven’t solved</w:t>
      </w:r>
      <w:r w:rsidRPr="00F15641">
        <w:rPr>
          <w:rStyle w:val="StyleUnderline"/>
        </w:rPr>
        <w:t xml:space="preserve"> </w:t>
      </w:r>
      <w:r w:rsidRPr="00EF19D6">
        <w:rPr>
          <w:rStyle w:val="StyleUnderline"/>
          <w:highlight w:val="cyan"/>
        </w:rPr>
        <w:t>crime</w:t>
      </w:r>
      <w:r w:rsidRPr="00F15641">
        <w:rPr>
          <w:rStyle w:val="StyleUnderline"/>
        </w:rPr>
        <w:t xml:space="preserve"> yet?</w:t>
      </w:r>
      <w:r w:rsidRPr="00F15641">
        <w:rPr>
          <w:sz w:val="16"/>
        </w:rPr>
        <w:t xml:space="preserve"> </w:t>
      </w:r>
      <w:r w:rsidRPr="00EF19D6">
        <w:rPr>
          <w:rStyle w:val="Emphasis"/>
          <w:highlight w:val="cyan"/>
        </w:rPr>
        <w:t>This</w:t>
      </w:r>
      <w:r w:rsidRPr="00F15641">
        <w:rPr>
          <w:rStyle w:val="Emphasis"/>
        </w:rPr>
        <w:t xml:space="preserve"> will </w:t>
      </w:r>
      <w:r w:rsidRPr="00EF19D6">
        <w:rPr>
          <w:rStyle w:val="Emphasis"/>
          <w:highlight w:val="cyan"/>
        </w:rPr>
        <w:t>reduce public confidence in</w:t>
      </w:r>
      <w:r w:rsidRPr="00F15641">
        <w:rPr>
          <w:rStyle w:val="Emphasis"/>
        </w:rPr>
        <w:t xml:space="preserve"> the </w:t>
      </w:r>
      <w:r w:rsidRPr="00EF19D6">
        <w:rPr>
          <w:rStyle w:val="Emphasis"/>
          <w:highlight w:val="cyan"/>
        </w:rPr>
        <w:t xml:space="preserve">DNA </w:t>
      </w:r>
      <w:r w:rsidRPr="00EF19D6">
        <w:rPr>
          <w:rStyle w:val="Emphasis"/>
        </w:rPr>
        <w:t>database</w:t>
      </w:r>
      <w:r w:rsidRPr="00F15641">
        <w:rPr>
          <w:sz w:val="16"/>
        </w:rPr>
        <w:t xml:space="preserve"> as this silver bullet in finding a criminal,” McCartney said. “</w:t>
      </w:r>
      <w:r w:rsidRPr="00F15641">
        <w:rPr>
          <w:rStyle w:val="Emphasis"/>
        </w:rPr>
        <w:t xml:space="preserve">You lose public confidence, </w:t>
      </w:r>
      <w:r w:rsidRPr="00EF19D6">
        <w:rPr>
          <w:rStyle w:val="Emphasis"/>
          <w:highlight w:val="cyan"/>
        </w:rPr>
        <w:t xml:space="preserve">which </w:t>
      </w:r>
      <w:r w:rsidRPr="00EF19D6">
        <w:rPr>
          <w:rStyle w:val="Emphasis"/>
        </w:rPr>
        <w:t>in</w:t>
      </w:r>
      <w:r w:rsidRPr="00F15641">
        <w:rPr>
          <w:rStyle w:val="Emphasis"/>
        </w:rPr>
        <w:t xml:space="preserve"> turn </w:t>
      </w:r>
      <w:r w:rsidRPr="00EF19D6">
        <w:rPr>
          <w:rStyle w:val="Emphasis"/>
          <w:highlight w:val="cyan"/>
        </w:rPr>
        <w:t>will reduce its</w:t>
      </w:r>
      <w:r w:rsidRPr="00F15641">
        <w:rPr>
          <w:rStyle w:val="Emphasis"/>
        </w:rPr>
        <w:t xml:space="preserve"> so-called </w:t>
      </w:r>
      <w:r w:rsidRPr="00EF19D6">
        <w:rPr>
          <w:rStyle w:val="Emphasis"/>
          <w:highlight w:val="cyan"/>
        </w:rPr>
        <w:t xml:space="preserve">effectiveness as </w:t>
      </w:r>
      <w:r w:rsidRPr="00EF19D6">
        <w:rPr>
          <w:rStyle w:val="Emphasis"/>
        </w:rPr>
        <w:t xml:space="preserve">a </w:t>
      </w:r>
      <w:r w:rsidRPr="00EF19D6">
        <w:rPr>
          <w:rStyle w:val="Emphasis"/>
          <w:highlight w:val="cyan"/>
        </w:rPr>
        <w:t>deterrence measure</w:t>
      </w:r>
      <w:r w:rsidRPr="00F15641">
        <w:rPr>
          <w:rStyle w:val="Emphasis"/>
        </w:rPr>
        <w:t>.”</w:t>
      </w:r>
    </w:p>
    <w:p w14:paraId="74FB42C7" w14:textId="7CB11BA2" w:rsidR="00F15641" w:rsidRDefault="006B3AE2" w:rsidP="006B3AE2">
      <w:pPr>
        <w:pStyle w:val="Heading1"/>
      </w:pPr>
      <w:r>
        <w:t>neg</w:t>
      </w:r>
    </w:p>
    <w:p w14:paraId="317E1C20" w14:textId="717B92BE" w:rsidR="006B3AE2" w:rsidRDefault="006B3AE2" w:rsidP="006B3AE2">
      <w:pPr>
        <w:pStyle w:val="Heading2"/>
      </w:pPr>
      <w:r>
        <w:t>framing</w:t>
      </w:r>
    </w:p>
    <w:p w14:paraId="2CB9833A" w14:textId="0EC6AE93" w:rsidR="006B3AE2" w:rsidRDefault="006B3AE2" w:rsidP="006B3AE2">
      <w:pPr>
        <w:pStyle w:val="Heading3"/>
      </w:pPr>
      <w:proofErr w:type="spellStart"/>
      <w:r>
        <w:t>simpson</w:t>
      </w:r>
      <w:proofErr w:type="spellEnd"/>
      <w:r>
        <w:t xml:space="preserve"> </w:t>
      </w:r>
      <w:proofErr w:type="spellStart"/>
      <w:r>
        <w:t>rehighlight</w:t>
      </w:r>
      <w:proofErr w:type="spellEnd"/>
      <w:r>
        <w:t>—1nc</w:t>
      </w:r>
    </w:p>
    <w:p w14:paraId="3B385E41" w14:textId="77777777" w:rsidR="006B3AE2" w:rsidRPr="000C08D7" w:rsidRDefault="006B3AE2" w:rsidP="006B3AE2">
      <w:pPr>
        <w:pStyle w:val="Heading4"/>
        <w:rPr>
          <w:u w:val="single"/>
        </w:rPr>
      </w:pPr>
      <w:r>
        <w:t xml:space="preserve">Simpson concludes neg – it’s still worth it to prevent extinction – this is the </w:t>
      </w:r>
      <w:r>
        <w:rPr>
          <w:u w:val="single"/>
        </w:rPr>
        <w:t>conclusion of HIS article</w:t>
      </w:r>
    </w:p>
    <w:p w14:paraId="7C84A792" w14:textId="77777777" w:rsidR="006B3AE2" w:rsidRDefault="006B3AE2" w:rsidP="006B3AE2">
      <w:r w:rsidRPr="00A3060B">
        <w:rPr>
          <w:rStyle w:val="Style13ptBold"/>
        </w:rPr>
        <w:t>Simpson 16</w:t>
      </w:r>
      <w:r>
        <w:t xml:space="preserve"> – (Fergus Simpson, Mathematician at the University of Barcelona, “Apocalypse Now? Reviving the Doomsday Argument,” https://arxiv.org/abs/1611.03072)kb</w:t>
      </w:r>
    </w:p>
    <w:p w14:paraId="081D8294" w14:textId="77777777" w:rsidR="006B3AE2" w:rsidRPr="00B10DB6" w:rsidRDefault="006B3AE2" w:rsidP="006B3AE2">
      <w:pPr>
        <w:rPr>
          <w:rStyle w:val="StyleUnderline"/>
        </w:rPr>
      </w:pPr>
      <w:r w:rsidRPr="00F160D9">
        <w:rPr>
          <w:rStyle w:val="Emphasis"/>
          <w:highlight w:val="cyan"/>
        </w:rPr>
        <w:t>Irrespective of the aforementioned statistical inferences,</w:t>
      </w:r>
      <w:r w:rsidRPr="00E51FC3">
        <w:rPr>
          <w:sz w:val="16"/>
        </w:rPr>
        <w:t xml:space="preserve"> </w:t>
      </w:r>
      <w:r w:rsidRPr="008A72F6">
        <w:rPr>
          <w:rStyle w:val="Emphasis"/>
          <w:highlight w:val="cyan"/>
        </w:rPr>
        <w:t>it would be naive</w:t>
      </w:r>
      <w:r w:rsidRPr="00AE0DB4">
        <w:rPr>
          <w:rStyle w:val="StyleUnderline"/>
        </w:rPr>
        <w:t xml:space="preserve"> in the extreme </w:t>
      </w:r>
      <w:r w:rsidRPr="008A72F6">
        <w:rPr>
          <w:rStyle w:val="Emphasis"/>
          <w:highlight w:val="cyan"/>
        </w:rPr>
        <w:t>to believe that the</w:t>
      </w:r>
      <w:r w:rsidRPr="00C66003">
        <w:rPr>
          <w:rStyle w:val="Emphasis"/>
        </w:rPr>
        <w:t xml:space="preserve"> annual </w:t>
      </w:r>
      <w:r w:rsidRPr="008A72F6">
        <w:rPr>
          <w:rStyle w:val="Emphasis"/>
          <w:highlight w:val="cyan"/>
        </w:rPr>
        <w:t>risk of global catastrophe is vanishingly small</w:t>
      </w:r>
      <w:r w:rsidRPr="00E51FC3">
        <w:rPr>
          <w:sz w:val="16"/>
        </w:rPr>
        <w:t xml:space="preserve">. </w:t>
      </w:r>
      <w:r w:rsidRPr="00CC0131">
        <w:rPr>
          <w:rStyle w:val="StyleUnderline"/>
        </w:rPr>
        <w:t xml:space="preserve">At a time when at least </w:t>
      </w:r>
      <w:r w:rsidRPr="008A72F6">
        <w:rPr>
          <w:rStyle w:val="Emphasis"/>
          <w:highlight w:val="cyan"/>
        </w:rPr>
        <w:t>eight sovereign states</w:t>
      </w:r>
      <w:r w:rsidRPr="008A72F6">
        <w:rPr>
          <w:rStyle w:val="StyleUnderline"/>
          <w:highlight w:val="cyan"/>
        </w:rPr>
        <w:t xml:space="preserve"> are in possession of </w:t>
      </w:r>
      <w:r w:rsidRPr="008A72F6">
        <w:rPr>
          <w:rStyle w:val="Emphasis"/>
          <w:highlight w:val="cyan"/>
        </w:rPr>
        <w:t>nuc</w:t>
      </w:r>
      <w:r w:rsidRPr="00CC0131">
        <w:rPr>
          <w:rStyle w:val="StyleUnderline"/>
        </w:rPr>
        <w:t>lear weapon</w:t>
      </w:r>
      <w:r w:rsidRPr="008A72F6">
        <w:rPr>
          <w:rStyle w:val="Emphasis"/>
          <w:highlight w:val="cyan"/>
        </w:rPr>
        <w:t>s</w:t>
      </w:r>
      <w:r w:rsidRPr="00E51FC3">
        <w:rPr>
          <w:sz w:val="16"/>
        </w:rPr>
        <w:t xml:space="preserve"> (including one whose leader has executed members of his own family), </w:t>
      </w:r>
      <w:r w:rsidRPr="00C94DEC">
        <w:rPr>
          <w:rStyle w:val="Emphasis"/>
          <w:highlight w:val="cyan"/>
        </w:rPr>
        <w:t>a head-in-the-sand approach</w:t>
      </w:r>
      <w:r w:rsidRPr="00C94DEC">
        <w:rPr>
          <w:rStyle w:val="StyleUnderline"/>
          <w:highlight w:val="cyan"/>
        </w:rPr>
        <w:t xml:space="preserve"> appears both </w:t>
      </w:r>
      <w:r w:rsidRPr="00C94DEC">
        <w:rPr>
          <w:rStyle w:val="Emphasis"/>
          <w:highlight w:val="cyan"/>
        </w:rPr>
        <w:t>dangerous</w:t>
      </w:r>
      <w:r w:rsidRPr="00C94DEC">
        <w:rPr>
          <w:rStyle w:val="StyleUnderline"/>
          <w:highlight w:val="cyan"/>
        </w:rPr>
        <w:t xml:space="preserve"> and </w:t>
      </w:r>
      <w:r w:rsidRPr="00C94DEC">
        <w:rPr>
          <w:rStyle w:val="Emphasis"/>
          <w:highlight w:val="cyan"/>
        </w:rPr>
        <w:t>irresponsible</w:t>
      </w:r>
      <w:r w:rsidRPr="00F2024C">
        <w:rPr>
          <w:rStyle w:val="StyleUnderline"/>
        </w:rPr>
        <w:t xml:space="preserve">. </w:t>
      </w:r>
      <w:r w:rsidRPr="00C94DEC">
        <w:rPr>
          <w:rStyle w:val="Emphasis"/>
          <w:highlight w:val="cyan"/>
        </w:rPr>
        <w:t>Investigations towards the mitigation of</w:t>
      </w:r>
      <w:r w:rsidRPr="00F2024C">
        <w:rPr>
          <w:rStyle w:val="StyleUnderline"/>
        </w:rPr>
        <w:t xml:space="preserve"> various </w:t>
      </w:r>
      <w:r w:rsidRPr="00C94DEC">
        <w:rPr>
          <w:rStyle w:val="Emphasis"/>
          <w:highlight w:val="cyan"/>
        </w:rPr>
        <w:t>global risks</w:t>
      </w:r>
      <w:r w:rsidRPr="00F2024C">
        <w:rPr>
          <w:rStyle w:val="StyleUnderline"/>
        </w:rPr>
        <w:t>,</w:t>
      </w:r>
      <w:r w:rsidRPr="00E51FC3">
        <w:rPr>
          <w:sz w:val="16"/>
        </w:rPr>
        <w:t xml:space="preserve"> such as those discussed by Rees [14], </w:t>
      </w:r>
      <w:r w:rsidRPr="00C94DEC">
        <w:rPr>
          <w:rStyle w:val="Emphasis"/>
          <w:highlight w:val="cyan"/>
        </w:rPr>
        <w:t>ought to be pursued with urgency</w:t>
      </w:r>
      <w:r w:rsidRPr="00B10DB6">
        <w:rPr>
          <w:rStyle w:val="StyleUnderline"/>
        </w:rPr>
        <w:t xml:space="preserve">. </w:t>
      </w:r>
      <w:r w:rsidRPr="00C94DEC">
        <w:rPr>
          <w:rStyle w:val="StyleUnderline"/>
          <w:highlight w:val="cyan"/>
        </w:rPr>
        <w:t>We may not be able to evade the inevitable</w:t>
      </w:r>
      <w:r w:rsidRPr="00B10DB6">
        <w:rPr>
          <w:rStyle w:val="StyleUnderline"/>
        </w:rPr>
        <w:t xml:space="preserve"> altogether, </w:t>
      </w:r>
      <w:r w:rsidRPr="00C94DEC">
        <w:rPr>
          <w:rStyle w:val="StyleUnderline"/>
          <w:highlight w:val="cyan"/>
        </w:rPr>
        <w:t>but</w:t>
      </w:r>
      <w:r w:rsidRPr="00B10DB6">
        <w:rPr>
          <w:rStyle w:val="StyleUnderline"/>
        </w:rPr>
        <w:t xml:space="preserve"> as with our personal life expectancy, </w:t>
      </w:r>
      <w:r w:rsidRPr="00C94DEC">
        <w:rPr>
          <w:rStyle w:val="Emphasis"/>
          <w:highlight w:val="cyan"/>
        </w:rPr>
        <w:t>it is within our power to delay it</w:t>
      </w:r>
      <w:r w:rsidRPr="00B10DB6">
        <w:rPr>
          <w:rStyle w:val="StyleUnderline"/>
        </w:rPr>
        <w:t>.</w:t>
      </w:r>
    </w:p>
    <w:p w14:paraId="7724009C" w14:textId="77777777" w:rsidR="006B3AE2" w:rsidRPr="006B3AE2" w:rsidRDefault="006B3AE2" w:rsidP="006B3AE2"/>
    <w:sectPr w:rsidR="006B3AE2" w:rsidRPr="006B3AE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742A89"/>
    <w:multiLevelType w:val="hybridMultilevel"/>
    <w:tmpl w:val="C32629A6"/>
    <w:lvl w:ilvl="0" w:tplc="F23A31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EF68B1"/>
    <w:multiLevelType w:val="multilevel"/>
    <w:tmpl w:val="272286FA"/>
    <w:lvl w:ilvl="0">
      <w:start w:val="1"/>
      <w:numFmt w:val="decimal"/>
      <w:pStyle w:val="Analyt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D2E17EE"/>
    <w:multiLevelType w:val="hybridMultilevel"/>
    <w:tmpl w:val="CF5A25DC"/>
    <w:lvl w:ilvl="0" w:tplc="F1F62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3"/>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4555B"/>
    <w:rsid w:val="000029E3"/>
    <w:rsid w:val="000029E8"/>
    <w:rsid w:val="00004225"/>
    <w:rsid w:val="000066CA"/>
    <w:rsid w:val="00007264"/>
    <w:rsid w:val="000076A9"/>
    <w:rsid w:val="00014FAD"/>
    <w:rsid w:val="00015D2A"/>
    <w:rsid w:val="0002490B"/>
    <w:rsid w:val="00026465"/>
    <w:rsid w:val="00030204"/>
    <w:rsid w:val="00030BB5"/>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40B3"/>
    <w:rsid w:val="001761FC"/>
    <w:rsid w:val="00182655"/>
    <w:rsid w:val="001840F2"/>
    <w:rsid w:val="00185134"/>
    <w:rsid w:val="001856C6"/>
    <w:rsid w:val="0019150A"/>
    <w:rsid w:val="00191B5F"/>
    <w:rsid w:val="00192487"/>
    <w:rsid w:val="00193416"/>
    <w:rsid w:val="00195073"/>
    <w:rsid w:val="0019668D"/>
    <w:rsid w:val="001A25FD"/>
    <w:rsid w:val="001A5371"/>
    <w:rsid w:val="001A72C7"/>
    <w:rsid w:val="001B4C0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4896"/>
    <w:rsid w:val="00235F7B"/>
    <w:rsid w:val="00245091"/>
    <w:rsid w:val="002502CF"/>
    <w:rsid w:val="00267EBB"/>
    <w:rsid w:val="0027023B"/>
    <w:rsid w:val="00272F3F"/>
    <w:rsid w:val="00274EDB"/>
    <w:rsid w:val="0027729E"/>
    <w:rsid w:val="002843B2"/>
    <w:rsid w:val="00284DB2"/>
    <w:rsid w:val="00284ED6"/>
    <w:rsid w:val="00290C5A"/>
    <w:rsid w:val="00290C92"/>
    <w:rsid w:val="00293068"/>
    <w:rsid w:val="0029647A"/>
    <w:rsid w:val="00296504"/>
    <w:rsid w:val="002A6918"/>
    <w:rsid w:val="002B5511"/>
    <w:rsid w:val="002B7ACF"/>
    <w:rsid w:val="002E059D"/>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97B7B"/>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3DF"/>
    <w:rsid w:val="00446567"/>
    <w:rsid w:val="00447B10"/>
    <w:rsid w:val="00452EE4"/>
    <w:rsid w:val="00452F0B"/>
    <w:rsid w:val="004536D6"/>
    <w:rsid w:val="00457224"/>
    <w:rsid w:val="0047482C"/>
    <w:rsid w:val="00475436"/>
    <w:rsid w:val="0048047E"/>
    <w:rsid w:val="00482AF9"/>
    <w:rsid w:val="00496BB2"/>
    <w:rsid w:val="004A2862"/>
    <w:rsid w:val="004B37B4"/>
    <w:rsid w:val="004B3DF7"/>
    <w:rsid w:val="004B72B4"/>
    <w:rsid w:val="004C0314"/>
    <w:rsid w:val="004C0D3D"/>
    <w:rsid w:val="004C213E"/>
    <w:rsid w:val="004C376C"/>
    <w:rsid w:val="004C4422"/>
    <w:rsid w:val="004C657F"/>
    <w:rsid w:val="004D17D8"/>
    <w:rsid w:val="004D52D8"/>
    <w:rsid w:val="004E2CD7"/>
    <w:rsid w:val="004E355B"/>
    <w:rsid w:val="005028E5"/>
    <w:rsid w:val="00503735"/>
    <w:rsid w:val="00516A88"/>
    <w:rsid w:val="00522065"/>
    <w:rsid w:val="0052246F"/>
    <w:rsid w:val="005224F2"/>
    <w:rsid w:val="00530457"/>
    <w:rsid w:val="00533F1C"/>
    <w:rsid w:val="00536D8B"/>
    <w:rsid w:val="005379C3"/>
    <w:rsid w:val="0054555B"/>
    <w:rsid w:val="005519C2"/>
    <w:rsid w:val="005523E0"/>
    <w:rsid w:val="0055320F"/>
    <w:rsid w:val="005540C4"/>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0A6"/>
    <w:rsid w:val="005D615C"/>
    <w:rsid w:val="005D6B76"/>
    <w:rsid w:val="005E1860"/>
    <w:rsid w:val="005F063B"/>
    <w:rsid w:val="005F192D"/>
    <w:rsid w:val="005F24C8"/>
    <w:rsid w:val="005F26AF"/>
    <w:rsid w:val="005F74CE"/>
    <w:rsid w:val="00607D6C"/>
    <w:rsid w:val="0061383D"/>
    <w:rsid w:val="00614D69"/>
    <w:rsid w:val="00617030"/>
    <w:rsid w:val="006177FB"/>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3AE2"/>
    <w:rsid w:val="006C3A56"/>
    <w:rsid w:val="006D13F4"/>
    <w:rsid w:val="006D6AED"/>
    <w:rsid w:val="006E6D0B"/>
    <w:rsid w:val="006F126E"/>
    <w:rsid w:val="006F32C9"/>
    <w:rsid w:val="006F3834"/>
    <w:rsid w:val="006F5693"/>
    <w:rsid w:val="006F5D4C"/>
    <w:rsid w:val="00712DCF"/>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1105"/>
    <w:rsid w:val="007C22C5"/>
    <w:rsid w:val="007C57E1"/>
    <w:rsid w:val="007C5811"/>
    <w:rsid w:val="007D2DF5"/>
    <w:rsid w:val="007D451A"/>
    <w:rsid w:val="007D5E3E"/>
    <w:rsid w:val="007D7596"/>
    <w:rsid w:val="007E242C"/>
    <w:rsid w:val="007E6631"/>
    <w:rsid w:val="007F2985"/>
    <w:rsid w:val="00803A12"/>
    <w:rsid w:val="00805417"/>
    <w:rsid w:val="008266F9"/>
    <w:rsid w:val="008267E2"/>
    <w:rsid w:val="00826A9B"/>
    <w:rsid w:val="008310F5"/>
    <w:rsid w:val="00834842"/>
    <w:rsid w:val="00834A32"/>
    <w:rsid w:val="00840E7B"/>
    <w:rsid w:val="008433D8"/>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69E3"/>
    <w:rsid w:val="00957187"/>
    <w:rsid w:val="00960255"/>
    <w:rsid w:val="009603E1"/>
    <w:rsid w:val="00961C9D"/>
    <w:rsid w:val="00963065"/>
    <w:rsid w:val="0097151F"/>
    <w:rsid w:val="00973777"/>
    <w:rsid w:val="00976E78"/>
    <w:rsid w:val="009775C0"/>
    <w:rsid w:val="00981F23"/>
    <w:rsid w:val="00983CCE"/>
    <w:rsid w:val="00990634"/>
    <w:rsid w:val="00991733"/>
    <w:rsid w:val="00992078"/>
    <w:rsid w:val="00992BE3"/>
    <w:rsid w:val="009931D5"/>
    <w:rsid w:val="009A1467"/>
    <w:rsid w:val="009A6464"/>
    <w:rsid w:val="009B69F5"/>
    <w:rsid w:val="009C5FF7"/>
    <w:rsid w:val="009C6292"/>
    <w:rsid w:val="009D15DB"/>
    <w:rsid w:val="009D3133"/>
    <w:rsid w:val="009E160D"/>
    <w:rsid w:val="009F1CBB"/>
    <w:rsid w:val="009F2EB1"/>
    <w:rsid w:val="009F3305"/>
    <w:rsid w:val="009F6FB2"/>
    <w:rsid w:val="00A071C0"/>
    <w:rsid w:val="00A22670"/>
    <w:rsid w:val="00A24B35"/>
    <w:rsid w:val="00A271BA"/>
    <w:rsid w:val="00A27F86"/>
    <w:rsid w:val="00A431C6"/>
    <w:rsid w:val="00A53ECC"/>
    <w:rsid w:val="00A54315"/>
    <w:rsid w:val="00A60FBC"/>
    <w:rsid w:val="00A65856"/>
    <w:rsid w:val="00A65C0B"/>
    <w:rsid w:val="00A776BA"/>
    <w:rsid w:val="00A81FD2"/>
    <w:rsid w:val="00A8441A"/>
    <w:rsid w:val="00A8674A"/>
    <w:rsid w:val="00A96E24"/>
    <w:rsid w:val="00AA6F6E"/>
    <w:rsid w:val="00AB122B"/>
    <w:rsid w:val="00AB21B0"/>
    <w:rsid w:val="00AB48D3"/>
    <w:rsid w:val="00AB622B"/>
    <w:rsid w:val="00AC0E74"/>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345E"/>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0E1"/>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0C14"/>
    <w:rsid w:val="00C72AFE"/>
    <w:rsid w:val="00C81619"/>
    <w:rsid w:val="00CA013C"/>
    <w:rsid w:val="00CA6D6D"/>
    <w:rsid w:val="00CC3E90"/>
    <w:rsid w:val="00CC7A4E"/>
    <w:rsid w:val="00CD1359"/>
    <w:rsid w:val="00CD4417"/>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2172"/>
    <w:rsid w:val="00D92077"/>
    <w:rsid w:val="00D951E2"/>
    <w:rsid w:val="00D9565A"/>
    <w:rsid w:val="00DB2337"/>
    <w:rsid w:val="00DB5F87"/>
    <w:rsid w:val="00DB699B"/>
    <w:rsid w:val="00DC0376"/>
    <w:rsid w:val="00DC099B"/>
    <w:rsid w:val="00DC2BE5"/>
    <w:rsid w:val="00DD0822"/>
    <w:rsid w:val="00DD4CD4"/>
    <w:rsid w:val="00DD65A2"/>
    <w:rsid w:val="00DD6770"/>
    <w:rsid w:val="00DE0749"/>
    <w:rsid w:val="00DE1CE2"/>
    <w:rsid w:val="00DF1210"/>
    <w:rsid w:val="00DF31E9"/>
    <w:rsid w:val="00DF400D"/>
    <w:rsid w:val="00DF5C23"/>
    <w:rsid w:val="00E01DAD"/>
    <w:rsid w:val="00E021DC"/>
    <w:rsid w:val="00E03F91"/>
    <w:rsid w:val="00E04494"/>
    <w:rsid w:val="00E064EF"/>
    <w:rsid w:val="00E064F2"/>
    <w:rsid w:val="00E0717B"/>
    <w:rsid w:val="00E10223"/>
    <w:rsid w:val="00E13EF5"/>
    <w:rsid w:val="00E15598"/>
    <w:rsid w:val="00E20D65"/>
    <w:rsid w:val="00E353A2"/>
    <w:rsid w:val="00E36881"/>
    <w:rsid w:val="00E42E4C"/>
    <w:rsid w:val="00E47013"/>
    <w:rsid w:val="00E541F9"/>
    <w:rsid w:val="00E57B79"/>
    <w:rsid w:val="00E63419"/>
    <w:rsid w:val="00E64496"/>
    <w:rsid w:val="00E72115"/>
    <w:rsid w:val="00E76AF0"/>
    <w:rsid w:val="00E8322E"/>
    <w:rsid w:val="00E8480C"/>
    <w:rsid w:val="00E903E0"/>
    <w:rsid w:val="00EA1115"/>
    <w:rsid w:val="00EA39EB"/>
    <w:rsid w:val="00EA58CE"/>
    <w:rsid w:val="00EB33FF"/>
    <w:rsid w:val="00EB3D1A"/>
    <w:rsid w:val="00EC2759"/>
    <w:rsid w:val="00EC7106"/>
    <w:rsid w:val="00ED0120"/>
    <w:rsid w:val="00ED3BBA"/>
    <w:rsid w:val="00ED4E12"/>
    <w:rsid w:val="00EE051B"/>
    <w:rsid w:val="00EE54B4"/>
    <w:rsid w:val="00EF19D6"/>
    <w:rsid w:val="00EF1AD8"/>
    <w:rsid w:val="00EF2B5C"/>
    <w:rsid w:val="00EF7794"/>
    <w:rsid w:val="00F014D9"/>
    <w:rsid w:val="00F02046"/>
    <w:rsid w:val="00F053D8"/>
    <w:rsid w:val="00F05F2D"/>
    <w:rsid w:val="00F07888"/>
    <w:rsid w:val="00F1313D"/>
    <w:rsid w:val="00F15641"/>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53A4D"/>
  <w14:defaultImageDpi w14:val="300"/>
  <w15:docId w15:val="{36C50C6A-2F94-794B-B4BD-284CC7F0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433D8"/>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8433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433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433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433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433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3D8"/>
  </w:style>
  <w:style w:type="character" w:customStyle="1" w:styleId="Heading1Char">
    <w:name w:val="Heading 1 Char"/>
    <w:aliases w:val="Pocket Char"/>
    <w:basedOn w:val="DefaultParagraphFont"/>
    <w:link w:val="Heading1"/>
    <w:uiPriority w:val="9"/>
    <w:rsid w:val="008433D8"/>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8433D8"/>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8433D8"/>
    <w:rPr>
      <w:rFonts w:ascii="Arial" w:eastAsiaTheme="majorEastAsia" w:hAnsi="Arial" w:cstheme="majorBidi"/>
      <w:b/>
      <w:bCs/>
      <w:sz w:val="32"/>
      <w:szCs w:val="32"/>
      <w:u w:val="single"/>
    </w:rPr>
  </w:style>
  <w:style w:type="character" w:customStyle="1" w:styleId="Heading4Char">
    <w:name w:val="Heading 4 Char"/>
    <w:aliases w:val="Tag Char"/>
    <w:basedOn w:val="DefaultParagraphFont"/>
    <w:link w:val="Heading4"/>
    <w:uiPriority w:val="9"/>
    <w:rsid w:val="008433D8"/>
    <w:rPr>
      <w:rFonts w:ascii="Arial" w:eastAsiaTheme="majorEastAsia" w:hAnsi="Arial"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8433D8"/>
    <w:rPr>
      <w:b/>
      <w:sz w:val="26"/>
      <w:u w:val="none"/>
    </w:rPr>
  </w:style>
  <w:style w:type="character" w:customStyle="1" w:styleId="StyleUnderline">
    <w:name w:val="Style Underline"/>
    <w:aliases w:val="Underline"/>
    <w:basedOn w:val="DefaultParagraphFont"/>
    <w:uiPriority w:val="1"/>
    <w:qFormat/>
    <w:rsid w:val="008433D8"/>
    <w:rPr>
      <w:b w:val="0"/>
      <w:sz w:val="22"/>
      <w:u w:val="single"/>
    </w:rPr>
  </w:style>
  <w:style w:type="character" w:styleId="Emphasis">
    <w:name w:val="Emphasis"/>
    <w:basedOn w:val="DefaultParagraphFont"/>
    <w:uiPriority w:val="20"/>
    <w:qFormat/>
    <w:rsid w:val="008433D8"/>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8433D8"/>
    <w:rPr>
      <w:color w:val="auto"/>
      <w:u w:val="none"/>
    </w:rPr>
  </w:style>
  <w:style w:type="character" w:styleId="Hyperlink">
    <w:name w:val="Hyperlink"/>
    <w:basedOn w:val="DefaultParagraphFont"/>
    <w:uiPriority w:val="99"/>
    <w:semiHidden/>
    <w:unhideWhenUsed/>
    <w:rsid w:val="008433D8"/>
    <w:rPr>
      <w:color w:val="auto"/>
      <w:u w:val="none"/>
    </w:rPr>
  </w:style>
  <w:style w:type="paragraph" w:styleId="DocumentMap">
    <w:name w:val="Document Map"/>
    <w:basedOn w:val="Normal"/>
    <w:link w:val="DocumentMapChar"/>
    <w:uiPriority w:val="99"/>
    <w:semiHidden/>
    <w:unhideWhenUsed/>
    <w:rsid w:val="008433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433D8"/>
    <w:rPr>
      <w:rFonts w:ascii="Lucida Grande" w:hAnsi="Lucida Grande" w:cs="Lucida Grande"/>
    </w:rPr>
  </w:style>
  <w:style w:type="paragraph" w:customStyle="1" w:styleId="analytic0">
    <w:name w:val="analytic"/>
    <w:basedOn w:val="Heading4"/>
    <w:next w:val="Normal"/>
    <w:autoRedefine/>
    <w:uiPriority w:val="4"/>
    <w:qFormat/>
    <w:rsid w:val="008433D8"/>
    <w:rPr>
      <w:color w:val="1F497D" w:themeColor="text2"/>
    </w:rPr>
  </w:style>
  <w:style w:type="paragraph" w:customStyle="1" w:styleId="Analytic">
    <w:name w:val="Analytic"/>
    <w:basedOn w:val="Heading4"/>
    <w:next w:val="Normal"/>
    <w:link w:val="AnalyticChar"/>
    <w:autoRedefine/>
    <w:uiPriority w:val="4"/>
    <w:qFormat/>
    <w:rsid w:val="008433D8"/>
    <w:pPr>
      <w:numPr>
        <w:numId w:val="14"/>
      </w:numPr>
      <w:spacing w:before="0"/>
      <w:ind w:hanging="360"/>
    </w:pPr>
    <w:rPr>
      <w:bCs w:val="0"/>
      <w:iCs/>
      <w:color w:val="1F497D" w:themeColor="text2"/>
    </w:rPr>
  </w:style>
  <w:style w:type="character" w:customStyle="1" w:styleId="AnalyticChar">
    <w:name w:val="Analytic Char"/>
    <w:basedOn w:val="DefaultParagraphFont"/>
    <w:link w:val="Analytic"/>
    <w:uiPriority w:val="4"/>
    <w:rsid w:val="008433D8"/>
    <w:rPr>
      <w:rFonts w:ascii="Arial" w:eastAsiaTheme="majorEastAsia" w:hAnsi="Arial" w:cstheme="majorBidi"/>
      <w:b/>
      <w:iCs/>
      <w:color w:val="1F497D" w:themeColor="text2"/>
      <w:sz w:val="26"/>
      <w:szCs w:val="26"/>
    </w:rPr>
  </w:style>
  <w:style w:type="paragraph" w:customStyle="1" w:styleId="analyticpeg">
    <w:name w:val="analytic peg"/>
    <w:basedOn w:val="Heading4"/>
    <w:next w:val="Normal"/>
    <w:autoRedefine/>
    <w:uiPriority w:val="4"/>
    <w:qFormat/>
    <w:rsid w:val="008433D8"/>
    <w:rPr>
      <w:color w:val="C7336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garethech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D81E8D24-3C6B-0640-BF99-144D9DC1C718}">
  <ds:schemaRefs>
    <ds:schemaRef ds:uri="http://schemas.openxmlformats.org/officeDocument/2006/bibliography"/>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39</TotalTime>
  <Pages>1</Pages>
  <Words>2601</Words>
  <Characters>14828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margaret hecht</cp:lastModifiedBy>
  <cp:revision>457</cp:revision>
  <dcterms:created xsi:type="dcterms:W3CDTF">2020-07-15T19:47:00Z</dcterms:created>
  <dcterms:modified xsi:type="dcterms:W3CDTF">2020-07-15T23:09:00Z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