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491F30" w14:textId="79105E99" w:rsidR="00A95652" w:rsidRDefault="008E349B" w:rsidP="008E349B">
      <w:pPr>
        <w:pStyle w:val="Heading1"/>
      </w:pPr>
      <w:r>
        <w:t>Collateral Consequences Affirmative</w:t>
      </w:r>
      <w:r w:rsidR="00A6625D">
        <w:t xml:space="preserve"> – BFHPR</w:t>
      </w:r>
    </w:p>
    <w:p w14:paraId="0FEDC528" w14:textId="2FB14003" w:rsidR="008E349B" w:rsidRDefault="008E349B" w:rsidP="008E349B"/>
    <w:p w14:paraId="3DF17A92" w14:textId="5228A555" w:rsidR="008E349B" w:rsidRDefault="008E349B" w:rsidP="008E349B">
      <w:pPr>
        <w:pStyle w:val="Heading3"/>
      </w:pPr>
      <w:r>
        <w:t>Student</w:t>
      </w:r>
      <w:r w:rsidR="00CA5915">
        <w:t xml:space="preserve"> Thank you</w:t>
      </w:r>
    </w:p>
    <w:p w14:paraId="1F0D0904" w14:textId="521F9F44" w:rsidR="008E349B" w:rsidRDefault="008E349B" w:rsidP="008E349B"/>
    <w:p w14:paraId="222DD21D" w14:textId="3BE9DDD5" w:rsidR="008E349B" w:rsidRDefault="00CA5915" w:rsidP="008E349B">
      <w:r>
        <w:t>Thank you to the follow students for their work, this was a confusing and difficult literature base to read through and I appreciate their efforts and the directions they pushed the research.</w:t>
      </w:r>
    </w:p>
    <w:p w14:paraId="5506C957" w14:textId="3783AE47" w:rsidR="008E349B" w:rsidRDefault="008E349B" w:rsidP="008E349B">
      <w:r>
        <w:t>Eden</w:t>
      </w:r>
    </w:p>
    <w:p w14:paraId="51C19C54" w14:textId="40E44242" w:rsidR="008E349B" w:rsidRDefault="008E349B" w:rsidP="008E349B">
      <w:r>
        <w:t>Allyson</w:t>
      </w:r>
    </w:p>
    <w:p w14:paraId="0FCEB2CC" w14:textId="01838163" w:rsidR="008E349B" w:rsidRDefault="008E349B" w:rsidP="008E349B">
      <w:proofErr w:type="spellStart"/>
      <w:r>
        <w:t>Mohul</w:t>
      </w:r>
      <w:proofErr w:type="spellEnd"/>
    </w:p>
    <w:p w14:paraId="2D075E93" w14:textId="2B3A4382" w:rsidR="008E349B" w:rsidRDefault="008E349B" w:rsidP="008E349B">
      <w:r>
        <w:t>Austin</w:t>
      </w:r>
    </w:p>
    <w:p w14:paraId="753C961C" w14:textId="229F0D0E" w:rsidR="003939D4" w:rsidRDefault="003939D4" w:rsidP="008E349B">
      <w:r>
        <w:t>Hanna</w:t>
      </w:r>
      <w:r w:rsidR="00664B3C">
        <w:t>h</w:t>
      </w:r>
    </w:p>
    <w:p w14:paraId="51F8E23D" w14:textId="77777777" w:rsidR="003939D4" w:rsidRDefault="003939D4" w:rsidP="008E349B"/>
    <w:p w14:paraId="579B5853" w14:textId="77777777" w:rsidR="008E349B" w:rsidRPr="008E349B" w:rsidRDefault="008E349B" w:rsidP="008E349B"/>
    <w:p w14:paraId="0FB69288" w14:textId="73AA656A" w:rsidR="008E349B" w:rsidRDefault="008E349B" w:rsidP="008E349B">
      <w:pPr>
        <w:pStyle w:val="Heading3"/>
      </w:pPr>
      <w:r>
        <w:t>Notes</w:t>
      </w:r>
    </w:p>
    <w:p w14:paraId="01E12BEE" w14:textId="6B017A4F" w:rsidR="008E349B" w:rsidRDefault="008E349B" w:rsidP="008E349B"/>
    <w:p w14:paraId="32BE0AA2" w14:textId="7F4C4A11" w:rsidR="008E349B" w:rsidRDefault="008E349B" w:rsidP="008E349B"/>
    <w:p w14:paraId="2CC278F2" w14:textId="608A4775" w:rsidR="00315069" w:rsidRDefault="00315069" w:rsidP="008E349B">
      <w:r>
        <w:t xml:space="preserve">Articles </w:t>
      </w:r>
      <w:proofErr w:type="gramStart"/>
      <w:r>
        <w:t>To</w:t>
      </w:r>
      <w:proofErr w:type="gramEnd"/>
      <w:r>
        <w:t xml:space="preserve"> Cut:</w:t>
      </w:r>
    </w:p>
    <w:p w14:paraId="33E430F1" w14:textId="4834C4F9" w:rsidR="00315069" w:rsidRDefault="00E52103" w:rsidP="008E349B">
      <w:r>
        <w:t>Horn (Advantage and Solvency Advocate Stuff)</w:t>
      </w:r>
    </w:p>
    <w:p w14:paraId="2B755D66" w14:textId="6970CA1B" w:rsidR="00E52103" w:rsidRDefault="00E52103" w:rsidP="008E349B">
      <w:r>
        <w:t>Mayson (1AC solvency advocate/mechanism/cp stuff)</w:t>
      </w:r>
    </w:p>
    <w:p w14:paraId="270668FE" w14:textId="08914CAD" w:rsidR="00E52103" w:rsidRDefault="00E52103" w:rsidP="008E349B">
      <w:r>
        <w:t xml:space="preserve">Chin – </w:t>
      </w:r>
      <w:r w:rsidR="00913192">
        <w:t>12</w:t>
      </w:r>
    </w:p>
    <w:p w14:paraId="5ADA52EF" w14:textId="688D7CC0" w:rsidR="00E52103" w:rsidRDefault="00E52103" w:rsidP="008E349B">
      <w:r>
        <w:t xml:space="preserve">Chin – </w:t>
      </w:r>
      <w:r w:rsidR="00913192">
        <w:t>2</w:t>
      </w:r>
    </w:p>
    <w:p w14:paraId="16F7CA9D" w14:textId="0636026C" w:rsidR="00913192" w:rsidRDefault="00913192" w:rsidP="008E349B">
      <w:r>
        <w:t>Chin – 18</w:t>
      </w:r>
    </w:p>
    <w:p w14:paraId="31DC7A8D" w14:textId="09DE7F08" w:rsidR="00913192" w:rsidRDefault="00913192" w:rsidP="008E349B">
      <w:r>
        <w:t>Chin – 19</w:t>
      </w:r>
    </w:p>
    <w:p w14:paraId="49AEC821" w14:textId="2043E761" w:rsidR="00E52103" w:rsidRDefault="00FC29CB" w:rsidP="008E349B">
      <w:r>
        <w:t xml:space="preserve">MacDowell – Circuit Split, General Solvency, Original Article </w:t>
      </w:r>
    </w:p>
    <w:p w14:paraId="68104AEE" w14:textId="268F6CCA" w:rsidR="00FC29CB" w:rsidRDefault="00743B2A" w:rsidP="008E349B">
      <w:r>
        <w:t>Kaiser – Hidden Consequences, Word PIC, Advantage Work</w:t>
      </w:r>
    </w:p>
    <w:p w14:paraId="456A3322" w14:textId="2ADAE852" w:rsidR="00913192" w:rsidRDefault="002F227F" w:rsidP="008E349B">
      <w:proofErr w:type="spellStart"/>
      <w:r>
        <w:t>Pinard</w:t>
      </w:r>
      <w:proofErr w:type="spellEnd"/>
      <w:r>
        <w:t xml:space="preserve"> </w:t>
      </w:r>
      <w:r w:rsidR="00913192">
        <w:t>–</w:t>
      </w:r>
      <w:r>
        <w:t xml:space="preserve"> </w:t>
      </w:r>
    </w:p>
    <w:p w14:paraId="0222269F" w14:textId="5A830A78" w:rsidR="00315069" w:rsidRDefault="00315069" w:rsidP="008E349B"/>
    <w:p w14:paraId="70357E79" w14:textId="4F41E2D7" w:rsidR="0022239B" w:rsidRDefault="0022239B" w:rsidP="008E349B"/>
    <w:p w14:paraId="2DA827C0" w14:textId="22BF6A41" w:rsidR="0022239B" w:rsidRDefault="0022239B" w:rsidP="0086151B">
      <w:pPr>
        <w:pStyle w:val="ListParagraph"/>
        <w:numPr>
          <w:ilvl w:val="0"/>
          <w:numId w:val="11"/>
        </w:numPr>
      </w:pPr>
      <w:r>
        <w:t xml:space="preserve">You should know/understand the </w:t>
      </w:r>
      <w:r w:rsidRPr="00EC70B2">
        <w:rPr>
          <w:b/>
          <w:bCs/>
          <w:i/>
          <w:iCs/>
          <w:u w:val="single"/>
        </w:rPr>
        <w:t>Sixth Amendment</w:t>
      </w:r>
      <w:r>
        <w:t xml:space="preserve"> as it applies to this </w:t>
      </w:r>
      <w:proofErr w:type="spellStart"/>
      <w:r>
        <w:t>aff</w:t>
      </w:r>
      <w:proofErr w:type="spellEnd"/>
      <w:proofErr w:type="gramStart"/>
      <w:r>
        <w:t>…..</w:t>
      </w:r>
      <w:proofErr w:type="gramEnd"/>
    </w:p>
    <w:p w14:paraId="29EC1049" w14:textId="1A2FA128" w:rsidR="0022239B" w:rsidRDefault="0022239B" w:rsidP="008E349B">
      <w:r>
        <w:t xml:space="preserve">The Sixth Amendment guarantees the rights of criminal defendants, including the right to a public trial without unnecessary delay, the right to a lawyer, the right to an impartial jury, and the right to know who your accusers are and </w:t>
      </w:r>
      <w:r w:rsidRPr="00EC70B2">
        <w:rPr>
          <w:b/>
          <w:bCs/>
        </w:rPr>
        <w:t>the nature of the charges and evidence against you.</w:t>
      </w:r>
    </w:p>
    <w:p w14:paraId="69A35328" w14:textId="30463FDE" w:rsidR="0022239B" w:rsidRDefault="0022239B" w:rsidP="008E349B"/>
    <w:p w14:paraId="120CF44E" w14:textId="1628C385" w:rsidR="0022239B" w:rsidRDefault="0022239B" w:rsidP="0086151B">
      <w:pPr>
        <w:pStyle w:val="ListParagraph"/>
        <w:numPr>
          <w:ilvl w:val="0"/>
          <w:numId w:val="11"/>
        </w:numPr>
      </w:pPr>
      <w:r>
        <w:t>You should know the following court cases and the reasons why they apply to this case:</w:t>
      </w:r>
    </w:p>
    <w:p w14:paraId="281A3816" w14:textId="10E679CA" w:rsidR="0022239B" w:rsidRDefault="0022239B" w:rsidP="008E349B"/>
    <w:p w14:paraId="74DAED08" w14:textId="45C7E584" w:rsidR="0022239B" w:rsidRDefault="0022239B" w:rsidP="008E349B">
      <w:r w:rsidRPr="002E531A">
        <w:rPr>
          <w:b/>
          <w:bCs/>
        </w:rPr>
        <w:t>Padilla v. Kentucky</w:t>
      </w:r>
      <w:r>
        <w:t xml:space="preserve"> (Supreme Court Case)</w:t>
      </w:r>
    </w:p>
    <w:p w14:paraId="20BCD4F8" w14:textId="0F82FCE2" w:rsidR="00F12CBF" w:rsidRDefault="00F12CBF" w:rsidP="008E349B">
      <w:r>
        <w:t>Padilla decision was a 7-2 with Alito, Kagan, Roberts, Kennedy,</w:t>
      </w:r>
      <w:r w:rsidR="00CC4EF2">
        <w:t xml:space="preserve"> Breyer</w:t>
      </w:r>
      <w:r>
        <w:t xml:space="preserve"> on top, RBG and Sotomayor on the bottom. </w:t>
      </w:r>
      <w:r w:rsidR="00CC4EF2">
        <w:t>Thomas did his own thing.</w:t>
      </w:r>
      <w:r>
        <w:t xml:space="preserve"> </w:t>
      </w:r>
    </w:p>
    <w:p w14:paraId="641A87BB" w14:textId="059F79AB" w:rsidR="008C0DAB" w:rsidRPr="009B2379" w:rsidRDefault="008C0DAB" w:rsidP="008E349B">
      <w:pPr>
        <w:rPr>
          <w:b/>
          <w:bCs/>
        </w:rPr>
      </w:pPr>
      <w:r w:rsidRPr="008C0DAB">
        <w:rPr>
          <w:b/>
          <w:bCs/>
        </w:rPr>
        <w:t xml:space="preserve">Strickland v. Washington </w:t>
      </w:r>
    </w:p>
    <w:p w14:paraId="74CCDADF" w14:textId="291D260A" w:rsidR="008C0DAB" w:rsidRDefault="008C0DAB" w:rsidP="00004184">
      <w:pPr>
        <w:pStyle w:val="Heading4"/>
        <w:ind w:left="720"/>
      </w:pPr>
    </w:p>
    <w:p w14:paraId="6E5DDB8C" w14:textId="25DC20E2" w:rsidR="00004184" w:rsidRDefault="00004184" w:rsidP="0086151B">
      <w:pPr>
        <w:pStyle w:val="ListParagraph"/>
        <w:numPr>
          <w:ilvl w:val="0"/>
          <w:numId w:val="11"/>
        </w:numPr>
      </w:pPr>
      <w:r>
        <w:t>You should know the following vocabulary and concepts:</w:t>
      </w:r>
    </w:p>
    <w:p w14:paraId="08E64477" w14:textId="6CE7469F" w:rsidR="00004184" w:rsidRDefault="00004184" w:rsidP="00004184"/>
    <w:p w14:paraId="7F8D232A" w14:textId="236BE6AD" w:rsidR="00004184" w:rsidRDefault="00004184" w:rsidP="00004184">
      <w:r>
        <w:t>Heightened Scrutiny</w:t>
      </w:r>
      <w:r w:rsidR="0012498D">
        <w:t xml:space="preserve"> (including the three levels)</w:t>
      </w:r>
    </w:p>
    <w:p w14:paraId="14F7D0C3" w14:textId="35B54557" w:rsidR="00004184" w:rsidRDefault="00E634ED" w:rsidP="00004184">
      <w:r>
        <w:t xml:space="preserve">Due Process </w:t>
      </w:r>
    </w:p>
    <w:p w14:paraId="0631EFF4" w14:textId="35420E58" w:rsidR="00E634ED" w:rsidRDefault="00E634ED" w:rsidP="00004184">
      <w:r>
        <w:t>Equal Protection Clause</w:t>
      </w:r>
    </w:p>
    <w:p w14:paraId="422D1997" w14:textId="29673DC0" w:rsidR="00EC70B2" w:rsidRDefault="00EC70B2" w:rsidP="00004184">
      <w:r>
        <w:t>Suspect Classes</w:t>
      </w:r>
    </w:p>
    <w:p w14:paraId="7F43BDD8" w14:textId="53B965B4" w:rsidR="00004184" w:rsidRDefault="00004184" w:rsidP="003147A1"/>
    <w:p w14:paraId="53A3CAA3" w14:textId="77777777" w:rsidR="003147A1" w:rsidRDefault="003147A1" w:rsidP="003147A1">
      <w:pPr>
        <w:pStyle w:val="ListParagraph"/>
        <w:numPr>
          <w:ilvl w:val="0"/>
          <w:numId w:val="11"/>
        </w:numPr>
      </w:pPr>
      <w:r>
        <w:t>You should know what the following federal programs are and what they do:</w:t>
      </w:r>
    </w:p>
    <w:p w14:paraId="0A7F8F79" w14:textId="3FF92240" w:rsidR="003147A1" w:rsidRDefault="003147A1" w:rsidP="003147A1">
      <w:r>
        <w:t>TANF</w:t>
      </w:r>
    </w:p>
    <w:p w14:paraId="29AFB367" w14:textId="104C51EB" w:rsidR="00004184" w:rsidRDefault="003147A1" w:rsidP="00EC70B2">
      <w:r>
        <w:t>Food Stamps</w:t>
      </w:r>
      <w:r w:rsidR="0062277B">
        <w:t>/</w:t>
      </w:r>
      <w:r>
        <w:t>SNAP</w:t>
      </w:r>
    </w:p>
    <w:p w14:paraId="5AEF6688" w14:textId="77777777" w:rsidR="0062277B" w:rsidRDefault="0062277B" w:rsidP="00EC70B2"/>
    <w:p w14:paraId="215A1EAF" w14:textId="77777777" w:rsidR="00004184" w:rsidRDefault="00004184" w:rsidP="00004184">
      <w:pPr>
        <w:pStyle w:val="ListParagraph"/>
      </w:pPr>
    </w:p>
    <w:p w14:paraId="17B853D4" w14:textId="34F64B0B" w:rsidR="0086151B" w:rsidRDefault="00663FA7" w:rsidP="0086151B">
      <w:pPr>
        <w:pStyle w:val="ListParagraph"/>
        <w:numPr>
          <w:ilvl w:val="0"/>
          <w:numId w:val="11"/>
        </w:numPr>
      </w:pPr>
      <w:r>
        <w:t>“</w:t>
      </w:r>
      <w:r w:rsidR="0086151B">
        <w:t>CC’s</w:t>
      </w:r>
      <w:r>
        <w:t>”</w:t>
      </w:r>
      <w:r w:rsidR="0086151B">
        <w:t xml:space="preserve"> in </w:t>
      </w:r>
      <w:r>
        <w:t xml:space="preserve">tags in </w:t>
      </w:r>
      <w:r w:rsidR="0086151B">
        <w:t>the file stand</w:t>
      </w:r>
      <w:r>
        <w:t>s</w:t>
      </w:r>
      <w:r w:rsidR="0086151B">
        <w:t xml:space="preserve"> for “collateral consequences” or “collateral sentencing”</w:t>
      </w:r>
      <w:r w:rsidR="004E307A">
        <w:t xml:space="preserve"> or “collateral sanctions” – they are all 3 referring to the same thing. </w:t>
      </w:r>
    </w:p>
    <w:p w14:paraId="422DE33A" w14:textId="475357AE" w:rsidR="00EC70B2" w:rsidRDefault="00EC70B2" w:rsidP="00EC70B2"/>
    <w:p w14:paraId="635795FC" w14:textId="02C735B8" w:rsidR="00EC70B2" w:rsidRDefault="00EC70B2" w:rsidP="00EC70B2">
      <w:pPr>
        <w:pStyle w:val="ListParagraph"/>
        <w:numPr>
          <w:ilvl w:val="0"/>
          <w:numId w:val="11"/>
        </w:numPr>
      </w:pPr>
      <w:r>
        <w:t>DA’s about expanding the definition/who is included as a suspect class</w:t>
      </w:r>
      <w:proofErr w:type="gramStart"/>
      <w:r>
        <w:t>…..</w:t>
      </w:r>
      <w:proofErr w:type="gramEnd"/>
    </w:p>
    <w:p w14:paraId="2A07A79C" w14:textId="77777777" w:rsidR="0086151B" w:rsidRDefault="0086151B" w:rsidP="0086151B">
      <w:pPr>
        <w:pStyle w:val="ListParagraph"/>
      </w:pPr>
    </w:p>
    <w:p w14:paraId="64560451" w14:textId="7C31DE6F" w:rsidR="00036A6F" w:rsidRDefault="00036A6F" w:rsidP="008E349B"/>
    <w:p w14:paraId="202F2FCD" w14:textId="4D499F77" w:rsidR="00DE37A9" w:rsidRDefault="00DE37A9" w:rsidP="008E349B"/>
    <w:p w14:paraId="22FC2B59" w14:textId="77777777" w:rsidR="00463DCC" w:rsidRDefault="00463DCC" w:rsidP="00463DCC">
      <w:pPr>
        <w:pStyle w:val="Heading3"/>
      </w:pPr>
      <w:r>
        <w:t xml:space="preserve">Relevant to understanding the </w:t>
      </w:r>
      <w:proofErr w:type="spellStart"/>
      <w:r>
        <w:t>aff</w:t>
      </w:r>
      <w:proofErr w:type="spellEnd"/>
      <w:r>
        <w:t>/neg</w:t>
      </w:r>
    </w:p>
    <w:p w14:paraId="3F17AD3B" w14:textId="77777777" w:rsidR="00463DCC" w:rsidRDefault="00463DCC" w:rsidP="00463DCC"/>
    <w:p w14:paraId="0A5D773F" w14:textId="77777777" w:rsidR="00463DCC" w:rsidRDefault="00463DCC" w:rsidP="00463DCC"/>
    <w:p w14:paraId="3EB451F3" w14:textId="77777777" w:rsidR="00463DCC" w:rsidRPr="00F4622F" w:rsidRDefault="00463DCC" w:rsidP="00463DCC">
      <w:r>
        <w:t>Despite the inferior status of former offenders, courts have consistently refused to find that people with criminal records are a suspect class.2 Indeed, it is a throwaway line in many judicial opinions that record-based laws are subject only to rational basis review, a standard which, as typically applied, is highly deferential to legislative judgments.3 Since rational basis review merely requires that laws be rationally related to a legitimate government purpose,4 laws will be upheld under this standard unless “a classification rests on grounds wholly irrelevant to the achievement of the State’s objective.”5 It is only when a suspect class is involved and there is a danger that the law will reflect animus, that a closer fit between the law and the governmental interest is required.</w:t>
      </w:r>
    </w:p>
    <w:p w14:paraId="26B8BB9C" w14:textId="77777777" w:rsidR="00463DCC" w:rsidRPr="008E349B" w:rsidRDefault="00463DCC" w:rsidP="00463DCC"/>
    <w:p w14:paraId="1C7789D3" w14:textId="4243ED5F" w:rsidR="00DE37A9" w:rsidRDefault="00DE37A9" w:rsidP="00DE37A9">
      <w:pPr>
        <w:pStyle w:val="Heading3"/>
      </w:pPr>
      <w:r>
        <w:t>Neg Articles to</w:t>
      </w:r>
      <w:r w:rsidR="00463DCC">
        <w:t xml:space="preserve"> still</w:t>
      </w:r>
      <w:r>
        <w:t xml:space="preserve"> cut?</w:t>
      </w:r>
    </w:p>
    <w:p w14:paraId="7F02A4B3" w14:textId="23756330" w:rsidR="00DE37A9" w:rsidRDefault="00DE37A9" w:rsidP="00DE37A9"/>
    <w:p w14:paraId="55ECD6B1" w14:textId="77777777" w:rsidR="00DE37A9" w:rsidRDefault="00DE37A9" w:rsidP="00DE37A9">
      <w:r>
        <w:t>See Joshua Kaiser, We Know It When We See It: The Tenuous Line</w:t>
      </w:r>
    </w:p>
    <w:p w14:paraId="696ADB29" w14:textId="4F04950C" w:rsidR="00DE37A9" w:rsidRDefault="00DE37A9" w:rsidP="00DE37A9">
      <w:r>
        <w:t>Between “Direct Punishment” and “Collateral Consequences,” 59 HOW. L.J. 341, 343 (2016)</w:t>
      </w:r>
    </w:p>
    <w:p w14:paraId="7DD6C7A5" w14:textId="33B6006D" w:rsidR="00DE37A9" w:rsidRDefault="00DE37A9" w:rsidP="00DE37A9"/>
    <w:p w14:paraId="683B1642" w14:textId="4A19766F" w:rsidR="00DE37A9" w:rsidRPr="00DE37A9" w:rsidRDefault="00205AE2" w:rsidP="00DE37A9">
      <w:hyperlink r:id="rId8" w:history="1">
        <w:r w:rsidR="00DE37A9">
          <w:rPr>
            <w:rStyle w:val="Hyperlink"/>
          </w:rPr>
          <w:t>https://poseidon01.ssrn.com/delivery.php?ID=149097083081121109113088111125125091104014059082060018071002088023117017118117004064117119051059021051011087108015112000095016020070011051015027000000075021111096010062078052086013096096123086022085094124067126097026125010118009006064116120125121094087&amp;EXT=pdf</w:t>
        </w:r>
      </w:hyperlink>
    </w:p>
    <w:p w14:paraId="3061275B" w14:textId="6610E91E" w:rsidR="0022239B" w:rsidRDefault="0022239B" w:rsidP="008E349B"/>
    <w:p w14:paraId="21481D25" w14:textId="77777777" w:rsidR="00B02075" w:rsidRDefault="00B02075" w:rsidP="008E349B">
      <w:r>
        <w:t xml:space="preserve">See Milena </w:t>
      </w:r>
      <w:proofErr w:type="spellStart"/>
      <w:r>
        <w:t>Tripkovic</w:t>
      </w:r>
      <w:proofErr w:type="spellEnd"/>
      <w:r>
        <w:t>,</w:t>
      </w:r>
    </w:p>
    <w:p w14:paraId="29AA416C" w14:textId="77777777" w:rsidR="00B02075" w:rsidRDefault="00B02075" w:rsidP="008E349B">
      <w:r>
        <w:t>Collateral Consequences of Conviction: Limits and Justifications, CRIMINOLOGY CRIM. JUST. L. &amp;</w:t>
      </w:r>
    </w:p>
    <w:p w14:paraId="31CC193D" w14:textId="039C93A5" w:rsidR="00B02075" w:rsidRDefault="00B02075" w:rsidP="008E349B">
      <w:r>
        <w:t>SOC’Y, Dec. 2017, at 18</w:t>
      </w:r>
    </w:p>
    <w:p w14:paraId="1191F94A" w14:textId="02643B01" w:rsidR="008E349B" w:rsidRDefault="008E349B" w:rsidP="008E349B"/>
    <w:p w14:paraId="6F0E0199" w14:textId="4CD02717" w:rsidR="008E349B" w:rsidRDefault="00371F90" w:rsidP="00371F90">
      <w:pPr>
        <w:pStyle w:val="Heading1"/>
      </w:pPr>
      <w:r>
        <w:t xml:space="preserve">Mayson </w:t>
      </w:r>
      <w:r w:rsidR="00A6625D">
        <w:t>CC’s Version</w:t>
      </w:r>
    </w:p>
    <w:p w14:paraId="67C31CBF" w14:textId="56D63314" w:rsidR="0031702E" w:rsidRDefault="0031702E" w:rsidP="0031702E">
      <w:pPr>
        <w:pStyle w:val="Heading2"/>
      </w:pPr>
      <w:r>
        <w:t>1AC</w:t>
      </w:r>
    </w:p>
    <w:p w14:paraId="4F1480F6" w14:textId="77777777" w:rsidR="0031702E" w:rsidRDefault="0031702E" w:rsidP="0031702E"/>
    <w:p w14:paraId="60A441B2" w14:textId="74EC0B59" w:rsidR="0031702E" w:rsidRPr="00741BAD" w:rsidRDefault="00F575DA" w:rsidP="0031702E">
      <w:pPr>
        <w:pStyle w:val="Heading3"/>
      </w:pPr>
      <w:r>
        <w:t>Advantage</w:t>
      </w:r>
    </w:p>
    <w:p w14:paraId="18792BD3" w14:textId="77777777" w:rsidR="0031702E" w:rsidRDefault="0031702E" w:rsidP="0031702E">
      <w:pPr>
        <w:pStyle w:val="Heading4"/>
      </w:pPr>
      <w:r>
        <w:t>Contention One: Civil Death</w:t>
      </w:r>
    </w:p>
    <w:p w14:paraId="7B92EF2D" w14:textId="77777777" w:rsidR="0031702E" w:rsidRPr="00386C6C" w:rsidRDefault="0031702E" w:rsidP="0031702E"/>
    <w:p w14:paraId="4EEE9406" w14:textId="77777777" w:rsidR="0031702E" w:rsidRDefault="0031702E" w:rsidP="0031702E">
      <w:pPr>
        <w:pStyle w:val="Heading4"/>
      </w:pPr>
      <w:r>
        <w:t xml:space="preserve">U.S. mass incarceration in the 80’s and 90’s has caused massive impact to communities as people are released from prison --- criminal records come attached with severe </w:t>
      </w:r>
      <w:r w:rsidRPr="00F633C8">
        <w:rPr>
          <w:i/>
          <w:iCs w:val="0"/>
          <w:u w:val="single"/>
        </w:rPr>
        <w:t>collateral consequences</w:t>
      </w:r>
    </w:p>
    <w:p w14:paraId="31B17BA1" w14:textId="77777777" w:rsidR="0031702E" w:rsidRDefault="0031702E" w:rsidP="0031702E"/>
    <w:p w14:paraId="00E093FA" w14:textId="77777777" w:rsidR="0031702E" w:rsidRDefault="0031702E" w:rsidP="0031702E">
      <w:pPr>
        <w:rPr>
          <w:rStyle w:val="Style13ptBold"/>
        </w:rPr>
      </w:pPr>
      <w:proofErr w:type="spellStart"/>
      <w:r>
        <w:rPr>
          <w:rStyle w:val="Style13ptBold"/>
        </w:rPr>
        <w:t>Pinard</w:t>
      </w:r>
      <w:proofErr w:type="spellEnd"/>
      <w:r>
        <w:rPr>
          <w:rStyle w:val="Style13ptBold"/>
        </w:rPr>
        <w:t xml:space="preserve"> ‘10</w:t>
      </w:r>
    </w:p>
    <w:p w14:paraId="4299920C" w14:textId="77777777" w:rsidR="0031702E" w:rsidRPr="00361D7A" w:rsidRDefault="0031702E" w:rsidP="0031702E">
      <w:r w:rsidRPr="00361D7A">
        <w:t xml:space="preserve">(Michael, Professor, University of Maryland School of Law, “COLLATERAL CONSEQUENCES OF CRIMINAL CONVICTIONS: CONFRONTING ISSUES OF RACE AND DIGNITY, 85 N.Y.U.L. Rev. 457,” </w:t>
      </w:r>
      <w:proofErr w:type="spellStart"/>
      <w:r w:rsidRPr="00361D7A">
        <w:t>pg</w:t>
      </w:r>
      <w:proofErr w:type="spellEnd"/>
      <w:r w:rsidRPr="00361D7A">
        <w:t xml:space="preserve"> lexis//um-</w:t>
      </w:r>
      <w:proofErr w:type="spellStart"/>
      <w:r w:rsidRPr="00361D7A">
        <w:t>ef</w:t>
      </w:r>
      <w:proofErr w:type="spellEnd"/>
      <w:r w:rsidRPr="00361D7A">
        <w:t>)</w:t>
      </w:r>
    </w:p>
    <w:p w14:paraId="1884A0FE" w14:textId="77777777" w:rsidR="0031702E" w:rsidRDefault="0031702E" w:rsidP="0031702E">
      <w:pPr>
        <w:rPr>
          <w:sz w:val="12"/>
        </w:rPr>
      </w:pPr>
      <w:r w:rsidRPr="00EF54E1">
        <w:rPr>
          <w:rStyle w:val="StyleUnderline"/>
        </w:rPr>
        <w:t>The United States has the world's highest incarceration rate</w:t>
      </w:r>
      <w:r w:rsidRPr="00EF54E1">
        <w:rPr>
          <w:sz w:val="12"/>
        </w:rPr>
        <w:t xml:space="preserve">. While the United States has five percent of the world's population, nearly twenty-five percent of the world's prisoners are behind the bars of its prisons and jails. 2Link to the text of the note The road to this astonishing incarceration rate began nearly three decades ago with the "war on drugs" and "tough on crime" movements of the 1980s and 1990s. 3Link to the text of the note These movements led to dramatically increased incarceration of individuals for nonviolent offenses - especially nonviolent drug offenses - and longer sentences. 4Link to the text of the note Three decades after its incarceration explosion began, </w:t>
      </w:r>
      <w:r w:rsidRPr="00EF54E1">
        <w:rPr>
          <w:rStyle w:val="StyleUnderline"/>
        </w:rPr>
        <w:t>the United States is now experiencing a post-incarceration crisis: Record numbers of individuals</w:t>
      </w:r>
      <w:r w:rsidRPr="00EF54E1">
        <w:rPr>
          <w:sz w:val="12"/>
        </w:rPr>
        <w:t xml:space="preserve"> - recently eclipsing </w:t>
      </w:r>
      <w:r w:rsidRPr="00EF54E1">
        <w:rPr>
          <w:rStyle w:val="Emphasis"/>
        </w:rPr>
        <w:t>700,000 per year - are now exiting U.S. correctional facilities and returning to communities across the country</w:t>
      </w:r>
      <w:r w:rsidRPr="00EF54E1">
        <w:rPr>
          <w:sz w:val="12"/>
        </w:rPr>
        <w:t xml:space="preserve">. </w:t>
      </w:r>
      <w:r w:rsidRPr="00EF54E1">
        <w:rPr>
          <w:rStyle w:val="StyleUnderline"/>
        </w:rPr>
        <w:t>These individuals must confront a wide range of collateral consequences stemming from their convictions</w:t>
      </w:r>
      <w:r w:rsidRPr="00EF54E1">
        <w:rPr>
          <w:sz w:val="12"/>
        </w:rPr>
        <w:t xml:space="preserve">, including </w:t>
      </w:r>
      <w:r w:rsidRPr="00EF54E1">
        <w:rPr>
          <w:rStyle w:val="StyleUnderline"/>
        </w:rPr>
        <w:t>ineligibility for federal welfare benefits, public housing, student loans, and employment opportunities, as well as various forms of civic exclusion, such as</w:t>
      </w:r>
      <w:r w:rsidRPr="00EF54E1">
        <w:rPr>
          <w:sz w:val="12"/>
        </w:rPr>
        <w:t xml:space="preserve"> ineligibility for jury service and </w:t>
      </w:r>
      <w:r w:rsidRPr="00EF54E1">
        <w:rPr>
          <w:rStyle w:val="StyleUnderline"/>
        </w:rPr>
        <w:t>felon disenfranchisement</w:t>
      </w:r>
      <w:r w:rsidRPr="00EF54E1">
        <w:rPr>
          <w:sz w:val="12"/>
        </w:rPr>
        <w:t xml:space="preserve">. 6Link to the text of the note As [*460] a result, "with a criminal record comes official state certification of an individual's criminal transgressions; a wide range of social, economic, and political privileges become off-limits." 7Link to the text of the note Scholars from several fields have explored the contours of these consequences. Criminal justice actors, bar associations, and law school programs have all sought to understand the full extent and scope of these consequences; attorneys in some jurisdictions have addressed the possibility that these consequences will attach by informing clients about them and negotiating plea agreements that take such consequences into consideration; 9Link to the text of the note and lawmakers have recently called for the examination of these consequences. 10Link to the text of the note [*461] These actors generally recognize that </w:t>
      </w:r>
      <w:r w:rsidRPr="00EF54E1">
        <w:rPr>
          <w:rStyle w:val="StyleUnderline"/>
        </w:rPr>
        <w:t>the problem of postconviction collateral consequences is rapidly becoming more severe for three interrelated reasons</w:t>
      </w:r>
      <w:r w:rsidRPr="00EF54E1">
        <w:rPr>
          <w:sz w:val="12"/>
        </w:rPr>
        <w:t xml:space="preserve">. First, </w:t>
      </w:r>
      <w:r w:rsidRPr="00EF54E1">
        <w:rPr>
          <w:rStyle w:val="StyleUnderline"/>
        </w:rPr>
        <w:t>collateral consequences have increased in number, scope, and severity</w:t>
      </w:r>
      <w:r w:rsidRPr="00EF54E1">
        <w:rPr>
          <w:sz w:val="12"/>
        </w:rPr>
        <w:t xml:space="preserve"> since the 1980s. Second, </w:t>
      </w:r>
      <w:r w:rsidRPr="00EF54E1">
        <w:rPr>
          <w:rStyle w:val="StyleUnderline"/>
        </w:rPr>
        <w:t>record numbers of individuals are now exiting U.S. correctional facilities</w:t>
      </w:r>
      <w:r w:rsidRPr="00EF54E1">
        <w:rPr>
          <w:sz w:val="12"/>
        </w:rPr>
        <w:t xml:space="preserve">. 12Link to the text of the note Finally, </w:t>
      </w:r>
      <w:r w:rsidRPr="00EF54E1">
        <w:rPr>
          <w:rStyle w:val="StyleUnderline"/>
        </w:rPr>
        <w:t>collateral consequences hinder reentry and exacerbate the risks of recidivism</w:t>
      </w:r>
      <w:r w:rsidRPr="00EF54E1">
        <w:rPr>
          <w:sz w:val="12"/>
        </w:rPr>
        <w:t>; in fact, most individuals will be rearrested within three years of release. 13Link to the text of the note</w:t>
      </w:r>
      <w:r>
        <w:rPr>
          <w:sz w:val="12"/>
        </w:rPr>
        <w:t>.</w:t>
      </w:r>
    </w:p>
    <w:p w14:paraId="3320EBEB" w14:textId="13F7F4E3" w:rsidR="0031702E" w:rsidRDefault="0031702E" w:rsidP="0031702E">
      <w:pPr>
        <w:pStyle w:val="Heading4"/>
      </w:pPr>
      <w:r>
        <w:t xml:space="preserve">Courts are </w:t>
      </w:r>
      <w:r w:rsidRPr="00A50906">
        <w:rPr>
          <w:i/>
          <w:iCs w:val="0"/>
          <w:u w:val="single"/>
        </w:rPr>
        <w:t>split</w:t>
      </w:r>
      <w:r>
        <w:t xml:space="preserve"> ove</w:t>
      </w:r>
      <w:r w:rsidR="00F633C8">
        <w:t>r how to classify those</w:t>
      </w:r>
      <w:r>
        <w:t xml:space="preserve"> collateral consequences </w:t>
      </w:r>
      <w:r w:rsidR="00746754">
        <w:t>creating a confusing patchwork of decisions</w:t>
      </w:r>
      <w:r>
        <w:t xml:space="preserve"> – that decks uniqueness for </w:t>
      </w:r>
      <w:proofErr w:type="gramStart"/>
      <w:r>
        <w:t>all of</w:t>
      </w:r>
      <w:proofErr w:type="gramEnd"/>
      <w:r>
        <w:t xml:space="preserve"> their disadvantages</w:t>
      </w:r>
    </w:p>
    <w:p w14:paraId="11076054" w14:textId="77777777" w:rsidR="0031702E" w:rsidRDefault="0031702E" w:rsidP="0031702E"/>
    <w:p w14:paraId="630734B4" w14:textId="77777777" w:rsidR="0031702E" w:rsidRPr="007E39D1" w:rsidRDefault="0031702E" w:rsidP="0031702E">
      <w:r w:rsidRPr="007E39D1">
        <w:rPr>
          <w:rStyle w:val="Style13ptBold"/>
        </w:rPr>
        <w:t>CRS Report and Analysis ’16</w:t>
      </w:r>
      <w:r>
        <w:t xml:space="preserve"> (CRS Report and Analysis; Congressional Research Service Investigations; 10/19/2016; “Collateral Consequences: What Role, if any, Should They Play in Crafting Sentences?”; </w:t>
      </w:r>
      <w:hyperlink r:id="rId9" w:history="1">
        <w:r w:rsidRPr="00D2075E">
          <w:rPr>
            <w:rStyle w:val="Hyperlink"/>
          </w:rPr>
          <w:t>https://fas.org/sgp/crs/misc/collateral.pdf</w:t>
        </w:r>
      </w:hyperlink>
      <w:r>
        <w:t xml:space="preserve">; </w:t>
      </w:r>
      <w:r>
        <w:rPr>
          <w:i/>
        </w:rPr>
        <w:t>Legal Sidebar</w:t>
      </w:r>
      <w:r>
        <w:t xml:space="preserve">; accessed: 06/21/2020; </w:t>
      </w:r>
      <w:proofErr w:type="spellStart"/>
      <w:r>
        <w:t>MohulA</w:t>
      </w:r>
      <w:proofErr w:type="spellEnd"/>
      <w:r>
        <w:t>)</w:t>
      </w:r>
    </w:p>
    <w:p w14:paraId="267DD474" w14:textId="77777777" w:rsidR="0031702E" w:rsidRPr="00746754" w:rsidRDefault="0031702E" w:rsidP="0031702E">
      <w:pPr>
        <w:rPr>
          <w:sz w:val="8"/>
        </w:rPr>
      </w:pPr>
      <w:r w:rsidRPr="00746754">
        <w:rPr>
          <w:sz w:val="8"/>
        </w:rPr>
        <w:t xml:space="preserve">In recent years, sentencing courts have acknowledged the long-term effects of federal criminal convictions in matters involving employment, licensure, immigration status, and public benefits. </w:t>
      </w:r>
      <w:r w:rsidRPr="00525CF7">
        <w:rPr>
          <w:rStyle w:val="Emphasis"/>
          <w:highlight w:val="cyan"/>
        </w:rPr>
        <w:t>Courts are divided as to what</w:t>
      </w:r>
      <w:r w:rsidRPr="002821FA">
        <w:rPr>
          <w:rStyle w:val="Emphasis"/>
        </w:rPr>
        <w:t xml:space="preserve">, if any, </w:t>
      </w:r>
      <w:r w:rsidRPr="00525CF7">
        <w:rPr>
          <w:rStyle w:val="Emphasis"/>
          <w:highlight w:val="cyan"/>
        </w:rPr>
        <w:t xml:space="preserve">role collateral consequences should play in sentencing </w:t>
      </w:r>
      <w:r w:rsidRPr="00525CF7">
        <w:rPr>
          <w:rStyle w:val="Emphasis"/>
        </w:rPr>
        <w:t>a criminal defendant</w:t>
      </w:r>
      <w:r w:rsidRPr="00746754">
        <w:rPr>
          <w:sz w:val="8"/>
        </w:rPr>
        <w:t xml:space="preserve">. </w:t>
      </w:r>
      <w:r w:rsidRPr="002821FA">
        <w:rPr>
          <w:rStyle w:val="StyleUnderline"/>
        </w:rPr>
        <w:t>Can a judge impose a just and reasonable</w:t>
      </w:r>
      <w:r>
        <w:rPr>
          <w:rStyle w:val="StyleUnderline"/>
        </w:rPr>
        <w:t xml:space="preserve"> </w:t>
      </w:r>
      <w:r w:rsidRPr="002821FA">
        <w:rPr>
          <w:rStyle w:val="StyleUnderline"/>
        </w:rPr>
        <w:t>sentence without considering the collateral consequences of a criminal conviction</w:t>
      </w:r>
      <w:r w:rsidRPr="00746754">
        <w:rPr>
          <w:sz w:val="8"/>
        </w:rPr>
        <w:t xml:space="preserve">? </w:t>
      </w:r>
      <w:r w:rsidRPr="002821FA">
        <w:rPr>
          <w:rStyle w:val="StyleUnderline"/>
        </w:rPr>
        <w:t xml:space="preserve">Recently, </w:t>
      </w:r>
      <w:r w:rsidRPr="00525CF7">
        <w:rPr>
          <w:rStyle w:val="StyleUnderline"/>
          <w:highlight w:val="cyan"/>
        </w:rPr>
        <w:t xml:space="preserve">a federal district court </w:t>
      </w:r>
      <w:r w:rsidRPr="00525CF7">
        <w:rPr>
          <w:rStyle w:val="StyleUnderline"/>
        </w:rPr>
        <w:t>in New York</w:t>
      </w:r>
      <w:r w:rsidRPr="002821FA">
        <w:rPr>
          <w:rStyle w:val="StyleUnderline"/>
        </w:rPr>
        <w:t xml:space="preserve"> answered that question in the negative when it </w:t>
      </w:r>
      <w:r w:rsidRPr="00525CF7">
        <w:rPr>
          <w:rStyle w:val="StyleUnderline"/>
          <w:highlight w:val="cyan"/>
        </w:rPr>
        <w:t xml:space="preserve">imposed a non-imprisonment sentence for a </w:t>
      </w:r>
      <w:r w:rsidRPr="00746754">
        <w:rPr>
          <w:rStyle w:val="StyleUnderline"/>
        </w:rPr>
        <w:t xml:space="preserve">criminal </w:t>
      </w:r>
      <w:r w:rsidRPr="00525CF7">
        <w:rPr>
          <w:rStyle w:val="StyleUnderline"/>
          <w:highlight w:val="cyan"/>
        </w:rPr>
        <w:t>defendant convicted of drug offenses</w:t>
      </w:r>
      <w:r w:rsidRPr="00746754">
        <w:rPr>
          <w:sz w:val="8"/>
        </w:rPr>
        <w:t xml:space="preserve">. </w:t>
      </w:r>
      <w:r w:rsidRPr="00525CF7">
        <w:rPr>
          <w:rStyle w:val="StyleUnderline"/>
          <w:highlight w:val="cyan"/>
        </w:rPr>
        <w:t xml:space="preserve">This decision is </w:t>
      </w:r>
      <w:r w:rsidRPr="00525CF7">
        <w:rPr>
          <w:rStyle w:val="Emphasis"/>
          <w:highlight w:val="cyan"/>
        </w:rPr>
        <w:t xml:space="preserve">contrary to decisions in other circuits, </w:t>
      </w:r>
      <w:r w:rsidRPr="00525CF7">
        <w:rPr>
          <w:rStyle w:val="Emphasis"/>
        </w:rPr>
        <w:t xml:space="preserve">namely </w:t>
      </w:r>
      <w:r w:rsidRPr="00525CF7">
        <w:rPr>
          <w:rStyle w:val="Emphasis"/>
          <w:highlight w:val="cyan"/>
        </w:rPr>
        <w:t>the Sixth, Seventh, Tenth, and Eleventh</w:t>
      </w:r>
      <w:r w:rsidRPr="00746754">
        <w:rPr>
          <w:sz w:val="8"/>
          <w:highlight w:val="cyan"/>
        </w:rPr>
        <w:t>.</w:t>
      </w:r>
      <w:r w:rsidRPr="00746754">
        <w:rPr>
          <w:sz w:val="8"/>
        </w:rPr>
        <w:t xml:space="preserve"> </w:t>
      </w:r>
      <w:r w:rsidRPr="00525CF7">
        <w:rPr>
          <w:rStyle w:val="Emphasis"/>
          <w:highlight w:val="cyan"/>
        </w:rPr>
        <w:t>The</w:t>
      </w:r>
      <w:r w:rsidRPr="002821FA">
        <w:rPr>
          <w:rStyle w:val="Emphasis"/>
        </w:rPr>
        <w:t xml:space="preserve"> Supreme </w:t>
      </w:r>
      <w:r w:rsidRPr="00525CF7">
        <w:rPr>
          <w:rStyle w:val="Emphasis"/>
          <w:highlight w:val="cyan"/>
        </w:rPr>
        <w:t>Court has yet to address whether it is permissible to consider collateral consequences when crafting sentences</w:t>
      </w:r>
      <w:r w:rsidRPr="002821FA">
        <w:rPr>
          <w:rStyle w:val="Emphasis"/>
        </w:rPr>
        <w:t xml:space="preserve"> for criminal defendants</w:t>
      </w:r>
      <w:r w:rsidRPr="00746754">
        <w:rPr>
          <w:sz w:val="8"/>
        </w:rPr>
        <w:t xml:space="preserve"> (</w:t>
      </w:r>
      <w:r w:rsidRPr="00525CF7">
        <w:rPr>
          <w:rStyle w:val="StyleUnderline"/>
          <w:highlight w:val="cyan"/>
        </w:rPr>
        <w:t>however, the Court found</w:t>
      </w:r>
      <w:r w:rsidRPr="002821FA">
        <w:rPr>
          <w:rStyle w:val="StyleUnderline"/>
        </w:rPr>
        <w:t xml:space="preserve"> that an attorney’s failure to warn a defendant</w:t>
      </w:r>
      <w:r>
        <w:rPr>
          <w:rStyle w:val="StyleUnderline"/>
        </w:rPr>
        <w:t xml:space="preserve"> </w:t>
      </w:r>
      <w:r w:rsidRPr="002821FA">
        <w:rPr>
          <w:rStyle w:val="StyleUnderline"/>
        </w:rPr>
        <w:t xml:space="preserve">of the </w:t>
      </w:r>
      <w:r w:rsidRPr="00525CF7">
        <w:rPr>
          <w:rStyle w:val="StyleUnderline"/>
          <w:highlight w:val="cyan"/>
        </w:rPr>
        <w:t>immigration-related consequences of a plea deal might form a basis for a</w:t>
      </w:r>
      <w:r w:rsidRPr="002821FA">
        <w:rPr>
          <w:rStyle w:val="StyleUnderline"/>
        </w:rPr>
        <w:t>n ineffective assistance of counsel</w:t>
      </w:r>
      <w:r>
        <w:rPr>
          <w:rStyle w:val="StyleUnderline"/>
        </w:rPr>
        <w:t xml:space="preserve"> </w:t>
      </w:r>
      <w:r w:rsidRPr="00525CF7">
        <w:rPr>
          <w:rStyle w:val="StyleUnderline"/>
          <w:highlight w:val="cyan"/>
        </w:rPr>
        <w:t>claim).</w:t>
      </w:r>
      <w:r>
        <w:rPr>
          <w:rStyle w:val="StyleUnderline"/>
        </w:rPr>
        <w:t xml:space="preserve"> </w:t>
      </w:r>
      <w:r w:rsidRPr="002821FA">
        <w:rPr>
          <w:rStyle w:val="StyleUnderline"/>
        </w:rPr>
        <w:t>Collateral consequences</w:t>
      </w:r>
      <w:r w:rsidRPr="00746754">
        <w:rPr>
          <w:sz w:val="8"/>
        </w:rPr>
        <w:t xml:space="preserve"> of a criminal conviction </w:t>
      </w:r>
      <w:r w:rsidRPr="002821FA">
        <w:rPr>
          <w:rStyle w:val="StyleUnderline"/>
        </w:rPr>
        <w:t>are the additional civil penalties and restrictions mandated by statute or</w:t>
      </w:r>
      <w:r>
        <w:rPr>
          <w:rStyle w:val="StyleUnderline"/>
        </w:rPr>
        <w:t xml:space="preserve"> </w:t>
      </w:r>
      <w:r w:rsidRPr="002821FA">
        <w:rPr>
          <w:rStyle w:val="StyleUnderline"/>
        </w:rPr>
        <w:t>regulation because of the criminal conviction</w:t>
      </w:r>
      <w:r w:rsidRPr="00746754">
        <w:rPr>
          <w:sz w:val="8"/>
        </w:rPr>
        <w:t xml:space="preserve">. They differ from direct consequences which are part of the court record and include a fine, imprisonment, or post-conviction control. </w:t>
      </w:r>
      <w:r w:rsidRPr="002821FA">
        <w:rPr>
          <w:rStyle w:val="StyleUnderline"/>
        </w:rPr>
        <w:t>Some collateral consequences are narrow</w:t>
      </w:r>
      <w:r w:rsidRPr="00746754">
        <w:rPr>
          <w:sz w:val="8"/>
        </w:rPr>
        <w:t xml:space="preserve"> and serve an important public safety or regulatory function, </w:t>
      </w:r>
      <w:r w:rsidRPr="002821FA">
        <w:rPr>
          <w:rStyle w:val="StyleUnderline"/>
        </w:rPr>
        <w:t>such as denying felons the right to purchase or possess firearms,</w:t>
      </w:r>
      <w:r>
        <w:rPr>
          <w:rStyle w:val="StyleUnderline"/>
        </w:rPr>
        <w:t xml:space="preserve"> </w:t>
      </w:r>
      <w:r w:rsidRPr="002821FA">
        <w:rPr>
          <w:rStyle w:val="StyleUnderline"/>
        </w:rPr>
        <w:t xml:space="preserve">protecting children or the elderly from individuals with an abusive history, </w:t>
      </w:r>
      <w:r w:rsidRPr="00746754">
        <w:rPr>
          <w:sz w:val="8"/>
        </w:rPr>
        <w:t xml:space="preserve">or barring people convicted of fraud from positions of trust. Other collateral consequences are </w:t>
      </w:r>
      <w:proofErr w:type="gramStart"/>
      <w:r w:rsidRPr="00746754">
        <w:rPr>
          <w:sz w:val="8"/>
        </w:rPr>
        <w:t>directly related</w:t>
      </w:r>
      <w:proofErr w:type="gramEnd"/>
      <w:r w:rsidRPr="00746754">
        <w:rPr>
          <w:sz w:val="8"/>
        </w:rPr>
        <w:t xml:space="preserve"> to the particular crime, such as registration requirements for sex offenders, driver’s license restrictions for those convicted of serious traffic offenses, or debarment of those convicted of procurement fraud. Also, </w:t>
      </w:r>
      <w:r w:rsidRPr="00746754">
        <w:rPr>
          <w:rStyle w:val="StyleUnderline"/>
          <w:highlight w:val="cyan"/>
        </w:rPr>
        <w:t>under federal law, a felony drug conviction may render an individual ineligible for federal benefits including public housing</w:t>
      </w:r>
      <w:r w:rsidRPr="00746754">
        <w:rPr>
          <w:rStyle w:val="StyleUnderline"/>
        </w:rPr>
        <w:t xml:space="preserve">, Section 8 vouchers, Social Security Act benefits, </w:t>
      </w:r>
      <w:r w:rsidRPr="00746754">
        <w:rPr>
          <w:rStyle w:val="StyleUnderline"/>
          <w:highlight w:val="cyan"/>
        </w:rPr>
        <w:t>supplemental nutritional benefits</w:t>
      </w:r>
      <w:r w:rsidRPr="00746754">
        <w:rPr>
          <w:rStyle w:val="StyleUnderline"/>
        </w:rPr>
        <w:t>, and student loans</w:t>
      </w:r>
      <w:r w:rsidRPr="00746754">
        <w:rPr>
          <w:sz w:val="8"/>
        </w:rPr>
        <w:t xml:space="preserve">. </w:t>
      </w:r>
      <w:r w:rsidRPr="00525CF7">
        <w:rPr>
          <w:rStyle w:val="StyleUnderline"/>
          <w:highlight w:val="cyan"/>
        </w:rPr>
        <w:t>Crafting a sentence in the federal system is a two-part process consisting of</w:t>
      </w:r>
      <w:r w:rsidRPr="002821FA">
        <w:rPr>
          <w:rStyle w:val="StyleUnderline"/>
        </w:rPr>
        <w:t xml:space="preserve"> both </w:t>
      </w:r>
      <w:r w:rsidRPr="00746754">
        <w:rPr>
          <w:rStyle w:val="StyleUnderline"/>
          <w:highlight w:val="cyan"/>
        </w:rPr>
        <w:t>a</w:t>
      </w:r>
      <w:r w:rsidRPr="002821FA">
        <w:rPr>
          <w:rStyle w:val="StyleUnderline"/>
        </w:rPr>
        <w:t xml:space="preserve"> </w:t>
      </w:r>
      <w:r w:rsidRPr="00525CF7">
        <w:rPr>
          <w:rStyle w:val="StyleUnderline"/>
          <w:highlight w:val="cyan"/>
        </w:rPr>
        <w:t>procedural and substantive component</w:t>
      </w:r>
      <w:r w:rsidRPr="00746754">
        <w:rPr>
          <w:sz w:val="8"/>
        </w:rPr>
        <w:t xml:space="preserve">. First, </w:t>
      </w:r>
      <w:r w:rsidRPr="002821FA">
        <w:rPr>
          <w:rStyle w:val="StyleUnderline"/>
        </w:rPr>
        <w:t>the sentencing judge must consult the federal Sentencing Guidelines to determine the applicable</w:t>
      </w:r>
      <w:r>
        <w:rPr>
          <w:rStyle w:val="StyleUnderline"/>
        </w:rPr>
        <w:t xml:space="preserve"> </w:t>
      </w:r>
      <w:r w:rsidRPr="002821FA">
        <w:rPr>
          <w:rStyle w:val="StyleUnderline"/>
        </w:rPr>
        <w:t>guideline range</w:t>
      </w:r>
      <w:r w:rsidRPr="00746754">
        <w:rPr>
          <w:sz w:val="8"/>
        </w:rPr>
        <w:t xml:space="preserve">. Second, </w:t>
      </w:r>
      <w:r w:rsidRPr="00525CF7">
        <w:rPr>
          <w:rStyle w:val="StyleUnderline"/>
        </w:rPr>
        <w:t>the court must consider the statutory sentencing factors under 18 U.S.C. §3553(a)</w:t>
      </w:r>
      <w:r w:rsidRPr="00746754">
        <w:rPr>
          <w:sz w:val="8"/>
        </w:rPr>
        <w:t>. Such factors include: “the nature and circumstances of the offense and the history and characteristics of the defendant,” providing adequate deterrence, and “protect[</w:t>
      </w:r>
      <w:proofErr w:type="spellStart"/>
      <w:r w:rsidRPr="00746754">
        <w:rPr>
          <w:sz w:val="8"/>
        </w:rPr>
        <w:t>ing</w:t>
      </w:r>
      <w:proofErr w:type="spellEnd"/>
      <w:r w:rsidRPr="00746754">
        <w:rPr>
          <w:sz w:val="8"/>
        </w:rPr>
        <w:t>] the public from future crimes of the defendant.” Generally, appellate courts will review sentences under a deferential abuse-of-discretion standard, which permits a decision to stand unless it is either procedurally or substantively unreasonable. In Gall v. United States, the Supreme Court identified potential procedural errors as including failure to calculate or miscalculating the Guidelines range; treating the Guidelines as mandatory as opposed to advisory; failing to consider the §3553(a) factors; selecting a sentence based on clearly erroneous facts; or failing to adequately explain the chosen sentence which includes an explanation for any deviation from the Guidelines range. The Gall Court described a sentence as being substantively unreasonable if the court fails to afford consideration to relevant factors that were due significant weight, gives significant weight to an improper or irrelevant factor; or commits a clear error of judgment when considering the proper factors</w:t>
      </w:r>
      <w:r w:rsidRPr="00746754">
        <w:rPr>
          <w:sz w:val="8"/>
          <w:highlight w:val="cyan"/>
        </w:rPr>
        <w:t xml:space="preserve">. </w:t>
      </w:r>
      <w:r w:rsidRPr="00746754">
        <w:rPr>
          <w:rStyle w:val="Emphasis"/>
          <w:highlight w:val="cyan"/>
        </w:rPr>
        <w:t>Courts are split</w:t>
      </w:r>
      <w:r w:rsidRPr="00525CF7">
        <w:rPr>
          <w:rStyle w:val="Emphasis"/>
          <w:highlight w:val="cyan"/>
        </w:rPr>
        <w:t xml:space="preserve"> </w:t>
      </w:r>
      <w:r w:rsidRPr="00746754">
        <w:rPr>
          <w:rStyle w:val="StyleUnderline"/>
          <w:highlight w:val="cyan"/>
        </w:rPr>
        <w:t>as to whether they may</w:t>
      </w:r>
      <w:r w:rsidRPr="00746754">
        <w:rPr>
          <w:rStyle w:val="Emphasis"/>
          <w:highlight w:val="cyan"/>
        </w:rPr>
        <w:t xml:space="preserve"> </w:t>
      </w:r>
      <w:r w:rsidRPr="00525CF7">
        <w:rPr>
          <w:rStyle w:val="Emphasis"/>
          <w:highlight w:val="cyan"/>
        </w:rPr>
        <w:t>consider collateral consequences</w:t>
      </w:r>
      <w:r w:rsidRPr="002821FA">
        <w:rPr>
          <w:rStyle w:val="Emphasis"/>
        </w:rPr>
        <w:t xml:space="preserve"> under state and federal law </w:t>
      </w:r>
      <w:r w:rsidRPr="00525CF7">
        <w:rPr>
          <w:rStyle w:val="Emphasis"/>
          <w:highlight w:val="cyan"/>
        </w:rPr>
        <w:t>when sentencing criminal defendants</w:t>
      </w:r>
      <w:r w:rsidRPr="00746754">
        <w:rPr>
          <w:sz w:val="8"/>
        </w:rPr>
        <w:t xml:space="preserve">. </w:t>
      </w:r>
      <w:r w:rsidRPr="002821FA">
        <w:rPr>
          <w:rStyle w:val="StyleUnderline"/>
        </w:rPr>
        <w:t xml:space="preserve">The key issue of dispute concerns </w:t>
      </w:r>
      <w:r w:rsidRPr="002821FA">
        <w:rPr>
          <w:rStyle w:val="Emphasis"/>
        </w:rPr>
        <w:t>application of §3553(a)(2), which states that a sentence should</w:t>
      </w:r>
      <w:r>
        <w:rPr>
          <w:rStyle w:val="Emphasis"/>
        </w:rPr>
        <w:t xml:space="preserve"> </w:t>
      </w:r>
      <w:r w:rsidRPr="002821FA">
        <w:rPr>
          <w:rStyle w:val="Emphasis"/>
        </w:rPr>
        <w:t>“reflect the seriousness of the offense</w:t>
      </w:r>
      <w:r w:rsidRPr="002821FA">
        <w:rPr>
          <w:rStyle w:val="StyleUnderline"/>
        </w:rPr>
        <w:t>, [to] promote respect for the law, and [to] provide just punishment for the</w:t>
      </w:r>
      <w:r>
        <w:rPr>
          <w:rStyle w:val="StyleUnderline"/>
        </w:rPr>
        <w:t xml:space="preserve"> </w:t>
      </w:r>
      <w:r w:rsidRPr="002821FA">
        <w:rPr>
          <w:rStyle w:val="StyleUnderline"/>
        </w:rPr>
        <w:t>offense.”</w:t>
      </w:r>
      <w:r w:rsidRPr="00746754">
        <w:rPr>
          <w:sz w:val="8"/>
        </w:rPr>
        <w:t xml:space="preserve"> </w:t>
      </w:r>
      <w:r w:rsidRPr="002821FA">
        <w:rPr>
          <w:rStyle w:val="StyleUnderline"/>
        </w:rPr>
        <w:t>The Sixth, Seventh, Tenth and Eleventh Circuits have found that collateral consequences are generally</w:t>
      </w:r>
      <w:r>
        <w:rPr>
          <w:rStyle w:val="StyleUnderline"/>
        </w:rPr>
        <w:t xml:space="preserve"> </w:t>
      </w:r>
      <w:r w:rsidRPr="002821FA">
        <w:rPr>
          <w:rStyle w:val="StyleUnderline"/>
        </w:rPr>
        <w:t>impermissible factors for consideration under §3553(a)(2). They have concluded that consideration of such</w:t>
      </w:r>
      <w:r>
        <w:rPr>
          <w:rStyle w:val="StyleUnderline"/>
        </w:rPr>
        <w:t xml:space="preserve"> </w:t>
      </w:r>
      <w:r w:rsidRPr="002821FA">
        <w:rPr>
          <w:rStyle w:val="StyleUnderline"/>
        </w:rPr>
        <w:t>consequences fails to reflect the seriousness of the offenses and tends to favor defendants from “privileged</w:t>
      </w:r>
      <w:r>
        <w:rPr>
          <w:rStyle w:val="StyleUnderline"/>
        </w:rPr>
        <w:t xml:space="preserve"> </w:t>
      </w:r>
      <w:r w:rsidRPr="002821FA">
        <w:rPr>
          <w:rStyle w:val="StyleUnderline"/>
        </w:rPr>
        <w:t>backgrounds.”</w:t>
      </w:r>
      <w:r w:rsidRPr="00746754">
        <w:rPr>
          <w:sz w:val="8"/>
        </w:rPr>
        <w:t xml:space="preserve"> For example, in United States v. Musgrave, the Sixth Circuit vacated the district court’s one-day sentence for a bank and wire fraud offense and remanded for resentencing. The one-day sentence had represented a downward departure from the Guidelines range of 57 to 71 months’ imprisonment. In crafting the sentence, the district court considered the defendant’s personal financial loss, the lengthy litigation, legal fees, restitution, and loss of his CPA license. The sentencing court concluded that a lengthier prison term would not serve “any greater societal purpose” or deter the defendant from future frauds due to the collateral consequences of his criminal conviction. Upon review, the Sixth Circuit found such consideration as impermissible under §3553(a)(2). The court characterized the sentence as contrary to “Congress’s own view of the crimes’ seriousness.” The court ruled that “when a district court varies downward on the basis of the collateral consequences of the defendant’s prosecution and conviction, the defendant’s sentence will not reflect the seriousness of the offense, nor will it provide just punishment.” </w:t>
      </w:r>
      <w:r w:rsidRPr="002821FA">
        <w:rPr>
          <w:rStyle w:val="StyleUnderline"/>
        </w:rPr>
        <w:t>Conversely, the Second and Fourth Circuits have found that consideration of collateral consequences is consistent with</w:t>
      </w:r>
      <w:r>
        <w:rPr>
          <w:rStyle w:val="StyleUnderline"/>
        </w:rPr>
        <w:t xml:space="preserve"> </w:t>
      </w:r>
      <w:r w:rsidRPr="002821FA">
        <w:rPr>
          <w:rStyle w:val="StyleUnderline"/>
        </w:rPr>
        <w:t xml:space="preserve">§3553(a)’s “directive that the sentence reflect the </w:t>
      </w:r>
      <w:r w:rsidRPr="002821FA">
        <w:rPr>
          <w:rStyle w:val="Emphasis"/>
        </w:rPr>
        <w:t>need for ‘just punishment and ‘adequate deterrence</w:t>
      </w:r>
      <w:r w:rsidRPr="00746754">
        <w:rPr>
          <w:sz w:val="8"/>
        </w:rPr>
        <w:t xml:space="preserve">.” In United States v. Pauley, for example, the Fourth Circuit found that the district court’s consideration of the loss of a defendant’s teaching certificate and state pension due to his conviction of possession of child pornography was permissible under 18 U.S.C. § 3553(a)(2). Similarly, the Second Circuit commented: “It is difficult to see how a court can properly calibrate a ‘just punishment’ if it does not consider the collateral effects of a particular sentence.” Recently, in United States v. </w:t>
      </w:r>
      <w:proofErr w:type="spellStart"/>
      <w:r w:rsidRPr="00746754">
        <w:rPr>
          <w:sz w:val="8"/>
        </w:rPr>
        <w:t>Nesbeth</w:t>
      </w:r>
      <w:proofErr w:type="spellEnd"/>
      <w:r w:rsidRPr="00746754">
        <w:rPr>
          <w:sz w:val="8"/>
        </w:rPr>
        <w:t xml:space="preserve"> before the U.S. District Court for the Eastern District of New York, the defendant was convicted of importation of cocaine and possession of cocaine with intent to distribute. The sentencing guidelines’ range was 33-41 months. The judge sentenced the defendant to probation rather than prison, in part “because of a number of statutory and regulatory collateral consequences she will face as a convicted felon.” The judge considered what the collateral consequences would be if the defendant faced a longer prison term, namely her curtailment of the right to vote as well as the inability to visit her family in Jamaica because of the loss of her passport during her probationary term, and her unlikely inability to pursue a career in teaching. The judge concluded that “she has been sufficiently punished, and that jail is not necessary to render a punishment that is sufficient but not greater than necessary to meet the ends of sentencing.” Criminal sentencing issues are a matter of continuing interest to Congress, including the collateral consequences such sentences may have. Notably, the Court Security Improvement Act of 2007 directed the Department of Justice’s National Institute of Justice to perform a comprehensive study (ultimately conducted by the American Bar Association’s Criminal Justice Section), which catalogued a multitude of federal and state statutes and regulations that impose collateral consequences, and in September, the ABA launched a website featuring this information</w:t>
      </w:r>
      <w:r w:rsidRPr="007E39D1">
        <w:rPr>
          <w:rStyle w:val="StyleUnderline"/>
        </w:rPr>
        <w:t xml:space="preserve">. </w:t>
      </w:r>
      <w:r w:rsidRPr="00525CF7">
        <w:rPr>
          <w:rStyle w:val="StyleUnderline"/>
          <w:highlight w:val="cyan"/>
        </w:rPr>
        <w:t>Such info</w:t>
      </w:r>
      <w:r w:rsidRPr="00746754">
        <w:rPr>
          <w:rStyle w:val="StyleUnderline"/>
        </w:rPr>
        <w:t>rmation</w:t>
      </w:r>
      <w:r w:rsidRPr="00525CF7">
        <w:rPr>
          <w:rStyle w:val="StyleUnderline"/>
          <w:highlight w:val="cyan"/>
        </w:rPr>
        <w:t>, along with the circuit split as to whether consequences may properly be considered</w:t>
      </w:r>
      <w:r w:rsidRPr="007E39D1">
        <w:rPr>
          <w:rStyle w:val="StyleUnderline"/>
        </w:rPr>
        <w:t xml:space="preserve"> under §3553(a)(2) </w:t>
      </w:r>
      <w:r w:rsidRPr="00525CF7">
        <w:rPr>
          <w:rStyle w:val="StyleUnderline"/>
          <w:highlight w:val="cyan"/>
        </w:rPr>
        <w:t>for sentencing purposes</w:t>
      </w:r>
      <w:r w:rsidRPr="007E39D1">
        <w:rPr>
          <w:rStyle w:val="StyleUnderline"/>
        </w:rPr>
        <w:t xml:space="preserve">, </w:t>
      </w:r>
      <w:r w:rsidRPr="00746754">
        <w:rPr>
          <w:sz w:val="8"/>
        </w:rPr>
        <w:t>might be relevant to future legislation in the field of criminal justice.</w:t>
      </w:r>
    </w:p>
    <w:p w14:paraId="6B5D619C" w14:textId="6C898A70" w:rsidR="0031702E" w:rsidRDefault="00A50906" w:rsidP="0031702E">
      <w:pPr>
        <w:pStyle w:val="Heading4"/>
      </w:pPr>
      <w:bookmarkStart w:id="0" w:name="_Hlk44594697"/>
      <w:r>
        <w:t>C</w:t>
      </w:r>
      <w:r w:rsidR="0031702E">
        <w:t>ollateral consequences disproportionately target people of color and African American communities in particular --- denying them housing, government benefits, and voting rights and are modeled internationally</w:t>
      </w:r>
    </w:p>
    <w:p w14:paraId="78769807" w14:textId="77777777" w:rsidR="0031702E" w:rsidRDefault="0031702E" w:rsidP="0031702E">
      <w:pPr>
        <w:spacing w:line="220" w:lineRule="atLeast"/>
        <w:rPr>
          <w:rFonts w:eastAsia="Arial"/>
          <w:b/>
          <w:color w:val="000000"/>
          <w:sz w:val="18"/>
        </w:rPr>
      </w:pPr>
      <w:bookmarkStart w:id="1" w:name="_Hlk44594585"/>
      <w:bookmarkEnd w:id="0"/>
    </w:p>
    <w:p w14:paraId="78B33635" w14:textId="77777777" w:rsidR="0031702E" w:rsidRPr="00EC7E8C" w:rsidRDefault="0031702E" w:rsidP="0031702E">
      <w:pPr>
        <w:spacing w:line="220" w:lineRule="atLeast"/>
      </w:pPr>
      <w:proofErr w:type="spellStart"/>
      <w:r w:rsidRPr="00F92A90">
        <w:rPr>
          <w:rStyle w:val="Style13ptBold"/>
        </w:rPr>
        <w:t>Pinard</w:t>
      </w:r>
      <w:proofErr w:type="spellEnd"/>
      <w:r w:rsidRPr="00F92A90">
        <w:rPr>
          <w:rStyle w:val="Style13ptBold"/>
        </w:rPr>
        <w:t xml:space="preserve"> 2010.</w:t>
      </w:r>
      <w:r w:rsidRPr="00EC7E8C">
        <w:t xml:space="preserve"> </w:t>
      </w:r>
      <w:proofErr w:type="spellStart"/>
      <w:r w:rsidRPr="00EC7E8C">
        <w:t>Micheal</w:t>
      </w:r>
      <w:proofErr w:type="spellEnd"/>
      <w:r w:rsidRPr="00EC7E8C">
        <w:t xml:space="preserve"> </w:t>
      </w:r>
      <w:proofErr w:type="spellStart"/>
      <w:r w:rsidRPr="00EC7E8C">
        <w:t>Pinard</w:t>
      </w:r>
      <w:proofErr w:type="spellEnd"/>
      <w:r w:rsidRPr="00EC7E8C">
        <w:t>- Professor, University of Maryland School of Law. This Article benefitted from feedback received at the New York University School of Law Faculty Workshop and the Mid-Atlantic Criminal Law Research Collective. “</w:t>
      </w:r>
      <w:hyperlink r:id="rId10" w:history="1">
        <w:r w:rsidRPr="00EC7E8C">
          <w:rPr>
            <w:rStyle w:val="Hyperlink"/>
          </w:rPr>
          <w:t>ARTICLE: COLLATERAL CONSEQUENCES OF CRIMINAL CONVICTIONS:  CONFRONTING ISSUES OF RACE AND DIGNITY</w:t>
        </w:r>
      </w:hyperlink>
      <w:r w:rsidRPr="00EC7E8C">
        <w:t xml:space="preserve">” New York University Law Review. May 2010. </w:t>
      </w:r>
      <w:proofErr w:type="spellStart"/>
      <w:r w:rsidRPr="00EC7E8C">
        <w:t>eg.</w:t>
      </w:r>
      <w:proofErr w:type="spellEnd"/>
    </w:p>
    <w:p w14:paraId="687E2AFE" w14:textId="30AD4587" w:rsidR="0031702E" w:rsidRPr="00225371" w:rsidRDefault="0031702E" w:rsidP="0031702E">
      <w:pPr>
        <w:rPr>
          <w:sz w:val="16"/>
        </w:rPr>
      </w:pPr>
      <w:r w:rsidRPr="00EC7E8C">
        <w:rPr>
          <w:sz w:val="16"/>
        </w:rPr>
        <w:t xml:space="preserve">A new comparative examination of collateral consequences is needed now because reentry has become a pressing issue both in the United States and abroad. </w:t>
      </w:r>
      <w:r w:rsidRPr="00EC7E8C">
        <w:rPr>
          <w:rStyle w:val="StyleUnderline"/>
        </w:rPr>
        <w:t xml:space="preserve">Collateral consequences define to a large extent the legal status of individuals with criminal records and can make it quite </w:t>
      </w:r>
      <w:r w:rsidRPr="00EC7E8C">
        <w:rPr>
          <w:rStyle w:val="Emphasis"/>
        </w:rPr>
        <w:t>difficult for these individuals to move past their sentences</w:t>
      </w:r>
      <w:r w:rsidRPr="00EC7E8C">
        <w:rPr>
          <w:rStyle w:val="StyleUnderline"/>
        </w:rPr>
        <w:t xml:space="preserve"> and to reintegrate successfully into their communities.</w:t>
      </w:r>
      <w:r w:rsidRPr="00EC7E8C">
        <w:rPr>
          <w:sz w:val="16"/>
        </w:rPr>
        <w:t xml:space="preserve"> Countries across the globe are devoting increased attention and resources to the various needs of individuals exiting prisons and returning to their communities. </w:t>
      </w:r>
      <w:r w:rsidRPr="00EC7E8C">
        <w:rPr>
          <w:sz w:val="16"/>
        </w:rPr>
        <w:footnoteReference w:customMarkFollows="1" w:id="1"/>
        <w:t xml:space="preserve">36 These countries are also considering reentry strategies and implementing programs with the hopes of facilitating reintegration and reducing recidivism. </w:t>
      </w:r>
      <w:r w:rsidRPr="00EC7E8C">
        <w:rPr>
          <w:sz w:val="16"/>
        </w:rPr>
        <w:footnoteReference w:customMarkFollows="1" w:id="2"/>
        <w:t>37 In the United States</w:t>
      </w:r>
      <w:r w:rsidRPr="00EC7E8C">
        <w:rPr>
          <w:rStyle w:val="StyleUnderline"/>
        </w:rPr>
        <w:t>, reentry has reached a critical point as communities absorb record numbers of individuals exiting correctional institutions</w:t>
      </w:r>
      <w:r w:rsidRPr="00EC7E8C">
        <w:rPr>
          <w:sz w:val="16"/>
        </w:rPr>
        <w:t xml:space="preserve">. </w:t>
      </w:r>
      <w:r w:rsidRPr="00EC7E8C">
        <w:rPr>
          <w:sz w:val="16"/>
        </w:rPr>
        <w:footnoteReference w:customMarkFollows="1" w:id="3"/>
        <w:t xml:space="preserve">38 The </w:t>
      </w:r>
      <w:r w:rsidRPr="00EC7E8C">
        <w:rPr>
          <w:rStyle w:val="StyleUnderline"/>
        </w:rPr>
        <w:t xml:space="preserve">numerous collateral consequences that attach to [*468] convictions </w:t>
      </w:r>
      <w:r w:rsidRPr="00EC7E8C">
        <w:rPr>
          <w:rStyle w:val="Emphasis"/>
        </w:rPr>
        <w:t>frustrate reintegration for both individuals and whole communities</w:t>
      </w:r>
      <w:r w:rsidRPr="00EC7E8C">
        <w:rPr>
          <w:sz w:val="16"/>
        </w:rPr>
        <w:t xml:space="preserve">. </w:t>
      </w:r>
      <w:r w:rsidRPr="00EC7E8C">
        <w:rPr>
          <w:sz w:val="16"/>
        </w:rPr>
        <w:footnoteReference w:customMarkFollows="1" w:id="4"/>
        <w:t xml:space="preserve">39 Because so many individuals are now being released each year from U.S. prisons, </w:t>
      </w:r>
      <w:r w:rsidRPr="00EC7E8C">
        <w:rPr>
          <w:sz w:val="16"/>
        </w:rPr>
        <w:footnoteReference w:customMarkFollows="1" w:id="5"/>
        <w:t xml:space="preserve">40 these consequences are affecting greater numbers of individuals, </w:t>
      </w:r>
      <w:r w:rsidRPr="00EC7E8C">
        <w:rPr>
          <w:sz w:val="16"/>
        </w:rPr>
        <w:footnoteReference w:customMarkFollows="1" w:id="6"/>
        <w:t xml:space="preserve">41 and, by extension, greater numbers of families </w:t>
      </w:r>
      <w:r w:rsidRPr="00EC7E8C">
        <w:rPr>
          <w:sz w:val="16"/>
        </w:rPr>
        <w:footnoteReference w:customMarkFollows="1" w:id="7"/>
        <w:t>42 and communities</w:t>
      </w:r>
      <w:r w:rsidRPr="00EC7E8C">
        <w:rPr>
          <w:rStyle w:val="StyleUnderline"/>
        </w:rPr>
        <w:t>. Studies show that a relatively small number of communities - specifically, neighborhoods in U.S. urban centers - disproportionately absorb the reentering population.</w:t>
      </w:r>
      <w:r w:rsidRPr="00EC7E8C">
        <w:rPr>
          <w:sz w:val="16"/>
        </w:rPr>
        <w:t xml:space="preserve"> </w:t>
      </w:r>
      <w:r w:rsidRPr="00EC7E8C">
        <w:rPr>
          <w:sz w:val="16"/>
        </w:rPr>
        <w:footnoteReference w:customMarkFollows="1" w:id="8"/>
        <w:t xml:space="preserve">43 </w:t>
      </w:r>
      <w:r w:rsidRPr="00EC7E8C">
        <w:rPr>
          <w:rStyle w:val="Emphasis"/>
        </w:rPr>
        <w:t>As a result, these communities face particularly difficult challenges in reintegrating [*469] returning individuals.</w:t>
      </w:r>
      <w:r w:rsidRPr="00EC7E8C">
        <w:rPr>
          <w:sz w:val="16"/>
        </w:rPr>
        <w:t xml:space="preserve"> </w:t>
      </w:r>
      <w:r w:rsidRPr="00EC7E8C">
        <w:rPr>
          <w:sz w:val="16"/>
        </w:rPr>
        <w:footnoteReference w:customMarkFollows="1" w:id="9"/>
        <w:t xml:space="preserve">44 Thus, assessing the extent to which the legal processes in the United States stigmatize individuals with criminal records compared to the legal processes in the Comparison Countries is of great import for reentering individuals, their families, and their communities. In addition, </w:t>
      </w:r>
      <w:r w:rsidRPr="00EC7E8C">
        <w:rPr>
          <w:rStyle w:val="StyleUnderline"/>
        </w:rPr>
        <w:t>comparative analysis of collateral consequences is fruitful because U.S. criminal justice policies appear to have influenced policies implemented in other countries</w:t>
      </w:r>
      <w:r w:rsidRPr="00EC7E8C">
        <w:rPr>
          <w:sz w:val="16"/>
        </w:rPr>
        <w:t xml:space="preserve">, </w:t>
      </w:r>
      <w:r w:rsidRPr="00EC7E8C">
        <w:rPr>
          <w:sz w:val="16"/>
        </w:rPr>
        <w:footnoteReference w:customMarkFollows="1" w:id="10"/>
        <w:t xml:space="preserve">45 including policies relating to individuals with criminal records. </w:t>
      </w:r>
      <w:r w:rsidRPr="00EC7E8C">
        <w:rPr>
          <w:sz w:val="16"/>
        </w:rPr>
        <w:footnoteReference w:customMarkFollows="1" w:id="11"/>
        <w:t xml:space="preserve">46 </w:t>
      </w:r>
      <w:r w:rsidRPr="00EC7E8C">
        <w:rPr>
          <w:rStyle w:val="Emphasis"/>
        </w:rPr>
        <w:t>The international impact of U.S. punishment schemes</w:t>
      </w:r>
      <w:r w:rsidRPr="00EC7E8C">
        <w:rPr>
          <w:rStyle w:val="StyleUnderline"/>
        </w:rPr>
        <w:t xml:space="preserve"> makes comparative analysis particularly useful. </w:t>
      </w:r>
      <w:r w:rsidRPr="00EC7E8C">
        <w:rPr>
          <w:rStyle w:val="Emphasis"/>
        </w:rPr>
        <w:t>Other countries have adopted some U.S. policies</w:t>
      </w:r>
      <w:r w:rsidRPr="00EC7E8C">
        <w:rPr>
          <w:rStyle w:val="StyleUnderline"/>
        </w:rPr>
        <w:t xml:space="preserve"> while rejecting others</w:t>
      </w:r>
      <w:r w:rsidRPr="00EC7E8C">
        <w:rPr>
          <w:sz w:val="16"/>
        </w:rPr>
        <w:t xml:space="preserve">. For example, in the wake of the widespread adoption of sex offender registration requirements in the United States, </w:t>
      </w:r>
      <w:r w:rsidRPr="00EC7E8C">
        <w:rPr>
          <w:sz w:val="16"/>
        </w:rPr>
        <w:footnoteReference w:customMarkFollows="1" w:id="12"/>
        <w:t xml:space="preserve">47 the Comparison Countries all enacted similar but significantly less expansive laws. </w:t>
      </w:r>
      <w:r w:rsidRPr="00EC7E8C">
        <w:rPr>
          <w:sz w:val="16"/>
        </w:rPr>
        <w:footnoteReference w:customMarkFollows="1" w:id="13"/>
        <w:t>48 Comparative analysis can thus illustrate alternative options for policymakers interested in reform.</w:t>
      </w:r>
      <w:bookmarkEnd w:id="1"/>
      <w:r>
        <w:rPr>
          <w:sz w:val="16"/>
        </w:rPr>
        <w:t xml:space="preserve"> </w:t>
      </w:r>
      <w:r w:rsidRPr="00386C6C">
        <w:rPr>
          <w:sz w:val="12"/>
        </w:rPr>
        <w:t xml:space="preserve">[*470] B. Race, Dignity, and Collateral Consequences Comparative analysis also illuminates the role that race and concepts of dignity play in collateral consequence policies. As will be detailed below, </w:t>
      </w:r>
      <w:r w:rsidRPr="00C4677E">
        <w:rPr>
          <w:rStyle w:val="Emphasis"/>
        </w:rPr>
        <w:t>a significant correlation exists between collateral consequences and race in the United States.</w:t>
      </w:r>
      <w:r w:rsidRPr="00386C6C">
        <w:rPr>
          <w:sz w:val="12"/>
        </w:rPr>
        <w:t xml:space="preserve"> </w:t>
      </w:r>
      <w:r w:rsidRPr="00C4677E">
        <w:rPr>
          <w:rStyle w:val="StyleUnderline"/>
        </w:rPr>
        <w:t>Felon disenfranchisement, the most long-standing of these consequences</w:t>
      </w:r>
      <w:r w:rsidRPr="00386C6C">
        <w:rPr>
          <w:sz w:val="12"/>
        </w:rPr>
        <w:t xml:space="preserve">, originated during the colonial era in the United States and continues, in various forms, in </w:t>
      </w:r>
      <w:proofErr w:type="gramStart"/>
      <w:r w:rsidRPr="00386C6C">
        <w:rPr>
          <w:sz w:val="12"/>
        </w:rPr>
        <w:t>the vast majority of</w:t>
      </w:r>
      <w:proofErr w:type="gramEnd"/>
      <w:r w:rsidRPr="00386C6C">
        <w:rPr>
          <w:sz w:val="12"/>
        </w:rPr>
        <w:t xml:space="preserve"> states today. Post-Reconstruction disenfranchisement laws, </w:t>
      </w:r>
      <w:r w:rsidRPr="00C4677E">
        <w:rPr>
          <w:rStyle w:val="StyleUnderline"/>
        </w:rPr>
        <w:t>tailored to exclude African Americans from voting, were rooted in race</w:t>
      </w:r>
      <w:r w:rsidRPr="00386C6C">
        <w:rPr>
          <w:sz w:val="12"/>
        </w:rPr>
        <w:t xml:space="preserve">. </w:t>
      </w:r>
      <w:r w:rsidRPr="00C4677E">
        <w:rPr>
          <w:rStyle w:val="StyleUnderline"/>
        </w:rPr>
        <w:t>Other collateral consequences - such as restrictions on welfare and housing benefits - dramatically increased in the 1980s and 1990s</w:t>
      </w:r>
      <w:r w:rsidRPr="00386C6C">
        <w:rPr>
          <w:sz w:val="12"/>
        </w:rPr>
        <w:t xml:space="preserve"> in number and severity. Unlike the post-Reconstruction disenfranchisement laws, </w:t>
      </w:r>
      <w:r w:rsidRPr="00C4677E">
        <w:rPr>
          <w:rStyle w:val="StyleUnderline"/>
        </w:rPr>
        <w:t>these consequences were not explicitly rooted in racial animus</w:t>
      </w:r>
      <w:r w:rsidRPr="00386C6C">
        <w:rPr>
          <w:sz w:val="12"/>
        </w:rPr>
        <w:t xml:space="preserve">. </w:t>
      </w:r>
      <w:r w:rsidRPr="00C4677E">
        <w:rPr>
          <w:rStyle w:val="StyleUnderline"/>
        </w:rPr>
        <w:t>However, this significant expansion occurred during the same time that the U.S. criminal justice system waged the "war on drugs" that led to the exploding incarceration rates that continue to disproportionately impact individuals and communities of color today</w:t>
      </w:r>
      <w:r w:rsidRPr="00386C6C">
        <w:rPr>
          <w:sz w:val="12"/>
        </w:rPr>
        <w:t xml:space="preserve">. Indeed, several of </w:t>
      </w:r>
      <w:r w:rsidRPr="00C4677E">
        <w:rPr>
          <w:rStyle w:val="Emphasis"/>
        </w:rPr>
        <w:t>the consequences</w:t>
      </w:r>
      <w:r w:rsidRPr="00386C6C">
        <w:rPr>
          <w:sz w:val="12"/>
        </w:rPr>
        <w:t xml:space="preserve"> enacted during these decades specifically targeted drug offenses, which are well-known to </w:t>
      </w:r>
      <w:r w:rsidRPr="00C4677E">
        <w:rPr>
          <w:rStyle w:val="Emphasis"/>
        </w:rPr>
        <w:t>disproportionately impact African Americans and Latinos</w:t>
      </w:r>
      <w:r w:rsidRPr="00386C6C">
        <w:rPr>
          <w:sz w:val="12"/>
        </w:rPr>
        <w:t xml:space="preserve">. [*471] A comparative examination highlights the fact that </w:t>
      </w:r>
      <w:r w:rsidRPr="00C4677E">
        <w:rPr>
          <w:rStyle w:val="Emphasis"/>
        </w:rPr>
        <w:t>race is significantly intertwined with current U.S. collateral consequence policies and practices</w:t>
      </w:r>
      <w:r w:rsidRPr="00386C6C">
        <w:rPr>
          <w:sz w:val="12"/>
        </w:rPr>
        <w:t xml:space="preserve">. Accordingly, this Article will examine collateral consequences in countries whose criminal justice systems have significant similarities to the U.S. criminal justice system. </w:t>
      </w:r>
      <w:proofErr w:type="gramStart"/>
      <w:r w:rsidRPr="00386C6C">
        <w:rPr>
          <w:sz w:val="12"/>
        </w:rPr>
        <w:t>In particular, it</w:t>
      </w:r>
      <w:proofErr w:type="gramEnd"/>
      <w:r w:rsidRPr="00386C6C">
        <w:rPr>
          <w:sz w:val="12"/>
        </w:rPr>
        <w:t xml:space="preserve"> will illustrate the ways in which the Comparison Countries have accounted for the racially disparate impacts of their criminal justice practices. 52Link to the text of the note This Article's comparative analysis will also focus on </w:t>
      </w:r>
      <w:r w:rsidRPr="00C4677E">
        <w:rPr>
          <w:rStyle w:val="Emphasis"/>
        </w:rPr>
        <w:t xml:space="preserve">the relationship between collateral consequences and </w:t>
      </w:r>
      <w:r w:rsidRPr="00386C6C">
        <w:rPr>
          <w:sz w:val="12"/>
        </w:rPr>
        <w:t>the concept of</w:t>
      </w:r>
      <w:r w:rsidRPr="00C4677E">
        <w:rPr>
          <w:rStyle w:val="Emphasis"/>
        </w:rPr>
        <w:t xml:space="preserve"> human dignity</w:t>
      </w:r>
      <w:r w:rsidRPr="00386C6C">
        <w:rPr>
          <w:sz w:val="12"/>
        </w:rPr>
        <w:t xml:space="preserve">. Canada and South Africa, two countries that have embraced broad international human rights notions of dignity, impose fewer and less severe legal restrictions on individuals with criminal records than does the United States. 54Link to the text of the note Similarly, England, Canada, and South Africa also have legal provisions - in the form of pardons or national expungement provisions - that more readily forgive individuals for their past legal transgressions. 55Link to the text of the note </w:t>
      </w:r>
      <w:r w:rsidRPr="00C4677E">
        <w:rPr>
          <w:rStyle w:val="StyleUnderline"/>
        </w:rPr>
        <w:t>The United States, in contrast, conceptualizes dignity very narrowly</w:t>
      </w:r>
      <w:r w:rsidRPr="00386C6C">
        <w:rPr>
          <w:sz w:val="12"/>
        </w:rPr>
        <w:t xml:space="preserve">. 56Link to the text of the note </w:t>
      </w:r>
      <w:proofErr w:type="gramStart"/>
      <w:r w:rsidRPr="00386C6C">
        <w:rPr>
          <w:sz w:val="12"/>
        </w:rPr>
        <w:t>As</w:t>
      </w:r>
      <w:proofErr w:type="gramEnd"/>
      <w:r w:rsidRPr="00386C6C">
        <w:rPr>
          <w:sz w:val="12"/>
        </w:rPr>
        <w:t xml:space="preserve"> a result, </w:t>
      </w:r>
      <w:r w:rsidRPr="00C4677E">
        <w:rPr>
          <w:rStyle w:val="Emphasis"/>
        </w:rPr>
        <w:t xml:space="preserve">the legal stigma that attaches to a criminal record in the United States is </w:t>
      </w:r>
      <w:r w:rsidRPr="00386C6C">
        <w:rPr>
          <w:sz w:val="12"/>
        </w:rPr>
        <w:t>more</w:t>
      </w:r>
      <w:r w:rsidRPr="00C4677E">
        <w:rPr>
          <w:rStyle w:val="Emphasis"/>
        </w:rPr>
        <w:t xml:space="preserve"> permanent</w:t>
      </w:r>
      <w:r w:rsidRPr="00386C6C">
        <w:rPr>
          <w:sz w:val="12"/>
        </w:rPr>
        <w:t xml:space="preserve"> than in other countries with similar criminal justice systems. </w:t>
      </w:r>
    </w:p>
    <w:p w14:paraId="4B444DC1" w14:textId="77777777" w:rsidR="0031702E" w:rsidRDefault="0031702E" w:rsidP="0031702E">
      <w:pPr>
        <w:pStyle w:val="Heading4"/>
      </w:pPr>
      <w:r>
        <w:t xml:space="preserve">And, although states have expanded these consequences in different ways --- the basis of the legal structure is </w:t>
      </w:r>
      <w:r w:rsidRPr="00225371">
        <w:rPr>
          <w:i/>
          <w:iCs w:val="0"/>
          <w:u w:val="single"/>
        </w:rPr>
        <w:t>federal law</w:t>
      </w:r>
      <w:r>
        <w:t xml:space="preserve"> --- excludes access to government and civic benefits</w:t>
      </w:r>
    </w:p>
    <w:p w14:paraId="1667CC24" w14:textId="77777777" w:rsidR="0031702E" w:rsidRDefault="0031702E" w:rsidP="0031702E"/>
    <w:p w14:paraId="270F518E" w14:textId="77777777" w:rsidR="0031702E" w:rsidRDefault="0031702E" w:rsidP="0031702E">
      <w:pPr>
        <w:rPr>
          <w:rStyle w:val="Style13ptBold"/>
        </w:rPr>
      </w:pPr>
      <w:proofErr w:type="spellStart"/>
      <w:r>
        <w:rPr>
          <w:rStyle w:val="Style13ptBold"/>
        </w:rPr>
        <w:t>Pinard</w:t>
      </w:r>
      <w:proofErr w:type="spellEnd"/>
      <w:r>
        <w:rPr>
          <w:rStyle w:val="Style13ptBold"/>
        </w:rPr>
        <w:t xml:space="preserve"> ‘10</w:t>
      </w:r>
    </w:p>
    <w:p w14:paraId="11B86B36" w14:textId="77777777" w:rsidR="0031702E" w:rsidRPr="00386C6C" w:rsidRDefault="0031702E" w:rsidP="0031702E">
      <w:r w:rsidRPr="00361D7A">
        <w:t xml:space="preserve">(Michael, Professor, University of Maryland School of Law, “COLLATERAL CONSEQUENCES OF CRIMINAL CONVICTIONS: CONFRONTING ISSUES OF RACE AND DIGNITY, 85 N.Y.U.L. Rev. 457,” </w:t>
      </w:r>
      <w:proofErr w:type="spellStart"/>
      <w:r w:rsidRPr="00361D7A">
        <w:t>pg</w:t>
      </w:r>
      <w:proofErr w:type="spellEnd"/>
      <w:r w:rsidRPr="00361D7A">
        <w:t xml:space="preserve"> lexis//um-</w:t>
      </w:r>
      <w:proofErr w:type="spellStart"/>
      <w:r w:rsidRPr="00361D7A">
        <w:t>ef</w:t>
      </w:r>
      <w:proofErr w:type="spellEnd"/>
      <w:r w:rsidRPr="00361D7A">
        <w:t>)</w:t>
      </w:r>
    </w:p>
    <w:p w14:paraId="6AF5BA0D" w14:textId="77777777" w:rsidR="0031702E" w:rsidRPr="00DF4FCB" w:rsidRDefault="0031702E" w:rsidP="0031702E">
      <w:pPr>
        <w:rPr>
          <w:sz w:val="12"/>
        </w:rPr>
      </w:pPr>
      <w:r w:rsidRPr="00386C6C">
        <w:rPr>
          <w:sz w:val="12"/>
        </w:rPr>
        <w:t xml:space="preserve"> [*489</w:t>
      </w:r>
      <w:proofErr w:type="gramStart"/>
      <w:r w:rsidRPr="00386C6C">
        <w:rPr>
          <w:sz w:val="12"/>
        </w:rPr>
        <w:t>]  II</w:t>
      </w:r>
      <w:proofErr w:type="gramEnd"/>
      <w:r w:rsidRPr="00386C6C">
        <w:rPr>
          <w:sz w:val="12"/>
        </w:rPr>
        <w:t xml:space="preserve"> Collateral Consequences in the United States and the Comparison Countries A. Severity of Collateral Consequences Individuals with criminal records in the United States and the Comparison Countries confront collateral consequences to varying degrees. This Part explores the respective severity of these consequences, first in the United States and then in the Comparison Countries. 1. United States Collateral consequences in the United States have garnered extensive attention over the past decade. In the early years of the American Republic, collateral consequences were very severe by modern standards. These consequences decreased in severity during the 1960s and 1970s 175Link to the text of the note before expanding again both in number and scope starting in the early 1980s. 176Link to the text of the note As a result of this most recent expansion, collateral consequences now dramatically impact the lives of many individuals with criminal records, making successful reintegration into society more difficult than ever</w:t>
      </w:r>
      <w:r w:rsidRPr="00A50906">
        <w:rPr>
          <w:sz w:val="12"/>
          <w:highlight w:val="cyan"/>
        </w:rPr>
        <w:t xml:space="preserve">. </w:t>
      </w:r>
      <w:r w:rsidRPr="00A50906">
        <w:rPr>
          <w:rStyle w:val="StyleUnderline"/>
          <w:highlight w:val="cyan"/>
        </w:rPr>
        <w:t>Collateral consequences have been codified in federal</w:t>
      </w:r>
      <w:r w:rsidRPr="00386C6C">
        <w:rPr>
          <w:sz w:val="12"/>
        </w:rPr>
        <w:t xml:space="preserve">, </w:t>
      </w:r>
      <w:r w:rsidRPr="00A50906">
        <w:rPr>
          <w:rStyle w:val="StyleUnderline"/>
          <w:highlight w:val="cyan"/>
        </w:rPr>
        <w:t>state, and local</w:t>
      </w:r>
      <w:r w:rsidRPr="00A50906">
        <w:rPr>
          <w:sz w:val="12"/>
          <w:highlight w:val="cyan"/>
        </w:rPr>
        <w:t xml:space="preserve"> </w:t>
      </w:r>
      <w:r w:rsidRPr="00A50906">
        <w:rPr>
          <w:rStyle w:val="StyleUnderline"/>
          <w:highlight w:val="cyan"/>
        </w:rPr>
        <w:t>statutory and regulatory schemes</w:t>
      </w:r>
      <w:r w:rsidRPr="00386C6C">
        <w:rPr>
          <w:sz w:val="12"/>
        </w:rPr>
        <w:t xml:space="preserve">, with the consequences varying widely between, and even within, the states. 177Link to the text of the note </w:t>
      </w:r>
      <w:proofErr w:type="gramStart"/>
      <w:r w:rsidRPr="00386C6C">
        <w:rPr>
          <w:sz w:val="12"/>
        </w:rPr>
        <w:t>The</w:t>
      </w:r>
      <w:proofErr w:type="gramEnd"/>
      <w:r w:rsidRPr="00386C6C">
        <w:rPr>
          <w:sz w:val="12"/>
        </w:rPr>
        <w:t xml:space="preserve"> difficulties in quantifying the full range of these consequences, especially those at [*490] state and local levels, 178Link to the text of the note pose particular problems for analyzing their scope. Because of this local variation, one must be careful when generalizing about the nature and scope of collateral consequences in the United States for purposes of international comparison. Despite these local differences, broad exploration of the legal hurdles confronting individuals with criminal records is nonetheless possible because </w:t>
      </w:r>
      <w:r w:rsidRPr="00A50906">
        <w:rPr>
          <w:rStyle w:val="Emphasis"/>
          <w:highlight w:val="cyan"/>
        </w:rPr>
        <w:t>many collateral consequences are rooted in federal law</w:t>
      </w:r>
      <w:r w:rsidRPr="00386C6C">
        <w:rPr>
          <w:sz w:val="12"/>
        </w:rPr>
        <w:t xml:space="preserve">. </w:t>
      </w:r>
      <w:r w:rsidRPr="00A50906">
        <w:t>While these laws for the most part provide discretion to state governments</w:t>
      </w:r>
      <w:r w:rsidRPr="00386C6C">
        <w:rPr>
          <w:sz w:val="12"/>
        </w:rPr>
        <w:t xml:space="preserve"> and local agencies to opt out of certain consequences or to broaden or narrow their scope, </w:t>
      </w:r>
      <w:r w:rsidRPr="00C4677E">
        <w:rPr>
          <w:rStyle w:val="Emphasis"/>
        </w:rPr>
        <w:t>federally imposed financial and political incentives encourage their adoption</w:t>
      </w:r>
      <w:r w:rsidRPr="00386C6C">
        <w:rPr>
          <w:sz w:val="12"/>
        </w:rPr>
        <w:t xml:space="preserve">. Below is a brief overview of some of the most prominent consequences in the United States: exclusion from public or government-assisted housing, employment-related legal barriers, ineligibility for public benefits, and felon disenfranchisement. 181Link to the text of the note [*491] a. Housing </w:t>
      </w:r>
      <w:proofErr w:type="gramStart"/>
      <w:r w:rsidRPr="00A50906">
        <w:rPr>
          <w:rStyle w:val="StyleUnderline"/>
          <w:highlight w:val="cyan"/>
        </w:rPr>
        <w:t>The</w:t>
      </w:r>
      <w:proofErr w:type="gramEnd"/>
      <w:r w:rsidRPr="00A50906">
        <w:rPr>
          <w:rStyle w:val="StyleUnderline"/>
          <w:highlight w:val="cyan"/>
        </w:rPr>
        <w:t xml:space="preserve"> U.S. federal government imposes restrictions on individuals with certain criminal records from receiving public housing assistance</w:t>
      </w:r>
      <w:r w:rsidRPr="00386C6C">
        <w:rPr>
          <w:sz w:val="12"/>
        </w:rPr>
        <w:t xml:space="preserve">. For instance, </w:t>
      </w:r>
      <w:r w:rsidRPr="00C4677E">
        <w:rPr>
          <w:rStyle w:val="StyleUnderline"/>
        </w:rPr>
        <w:t>federal law bans registered sex offenders and convicted methamphetamine producers from obtaining government-assisted housing for life</w:t>
      </w:r>
      <w:r w:rsidRPr="00386C6C">
        <w:rPr>
          <w:sz w:val="12"/>
        </w:rPr>
        <w:t xml:space="preserve">. </w:t>
      </w:r>
      <w:r w:rsidRPr="00A50906">
        <w:rPr>
          <w:rStyle w:val="Emphasis"/>
          <w:highlight w:val="cyan"/>
        </w:rPr>
        <w:t xml:space="preserve">Federal law also grants local public housing </w:t>
      </w:r>
      <w:proofErr w:type="gramStart"/>
      <w:r w:rsidRPr="00A50906">
        <w:rPr>
          <w:rStyle w:val="Emphasis"/>
          <w:highlight w:val="cyan"/>
        </w:rPr>
        <w:t>authorities</w:t>
      </w:r>
      <w:proofErr w:type="gramEnd"/>
      <w:r w:rsidRPr="00A50906">
        <w:rPr>
          <w:rStyle w:val="Emphasis"/>
          <w:highlight w:val="cyan"/>
        </w:rPr>
        <w:t xml:space="preserve"> broad discretion to determine the scope of other criminal activity that will disqualify individuals from public housing</w:t>
      </w:r>
      <w:r w:rsidRPr="00386C6C">
        <w:rPr>
          <w:sz w:val="12"/>
        </w:rPr>
        <w:t xml:space="preserve">. </w:t>
      </w:r>
      <w:r w:rsidRPr="00386C6C">
        <w:rPr>
          <w:rStyle w:val="StyleUnderline"/>
        </w:rPr>
        <w:t>Local housing authorities across the United States have expanded the types of conduct that will preclude individuals from obtaining public housing</w:t>
      </w:r>
      <w:r w:rsidRPr="00386C6C">
        <w:rPr>
          <w:sz w:val="12"/>
        </w:rPr>
        <w:t xml:space="preserve">. 184Link to the text of the note </w:t>
      </w:r>
      <w:proofErr w:type="gramStart"/>
      <w:r w:rsidRPr="00386C6C">
        <w:rPr>
          <w:sz w:val="12"/>
        </w:rPr>
        <w:t>The</w:t>
      </w:r>
      <w:proofErr w:type="gramEnd"/>
      <w:r w:rsidRPr="00386C6C">
        <w:rPr>
          <w:sz w:val="12"/>
        </w:rPr>
        <w:t xml:space="preserve"> lengths of these bans often differ by the type of conduct. For example, felony convictions typically lead to longer exclusionary periods than misdemeanors. In addition, </w:t>
      </w:r>
      <w:r w:rsidRPr="00386C6C">
        <w:rPr>
          <w:rStyle w:val="StyleUnderline"/>
        </w:rPr>
        <w:t>several housing authorities ban individuals whose conduct did not lead to a conviction,</w:t>
      </w:r>
      <w:r w:rsidRPr="00386C6C">
        <w:rPr>
          <w:sz w:val="12"/>
        </w:rPr>
        <w:t xml:space="preserve"> such as individuals who received violations or other noncriminal dispositions. While some jurisdictions, including New York City, allow otherwise [*492] ineligible individuals to reside in public housing or receive housing assistance within the exclusionary period upon a showing of rehabilitation, 187Link to the text of the note other jurisdictions provide no exceptions, and individuals must wait out the entire exclusionary period before becoming eligible for public housing. 188Link to the text of the note b. Employment "In most jurisdictions, </w:t>
      </w:r>
      <w:r w:rsidRPr="00A50906">
        <w:rPr>
          <w:rStyle w:val="StyleUnderline"/>
          <w:highlight w:val="cyan"/>
        </w:rPr>
        <w:t>the stigma [of a criminal record] takes on a legal significance</w:t>
      </w:r>
      <w:r w:rsidRPr="00A50906">
        <w:rPr>
          <w:sz w:val="12"/>
          <w:highlight w:val="cyan"/>
        </w:rPr>
        <w:t xml:space="preserve">" </w:t>
      </w:r>
      <w:r w:rsidRPr="00A50906">
        <w:rPr>
          <w:rStyle w:val="StyleUnderline"/>
          <w:highlight w:val="cyan"/>
        </w:rPr>
        <w:t>in the employment context</w:t>
      </w:r>
      <w:r w:rsidRPr="00A50906">
        <w:rPr>
          <w:sz w:val="12"/>
          <w:highlight w:val="cyan"/>
        </w:rPr>
        <w:t xml:space="preserve">. </w:t>
      </w:r>
      <w:r w:rsidRPr="00A50906">
        <w:rPr>
          <w:rStyle w:val="StyleUnderline"/>
          <w:highlight w:val="cyan"/>
        </w:rPr>
        <w:t>Individuals with criminal records confront numerous federal</w:t>
      </w:r>
      <w:r w:rsidRPr="00386C6C">
        <w:rPr>
          <w:sz w:val="12"/>
        </w:rPr>
        <w:t xml:space="preserve"> and state </w:t>
      </w:r>
      <w:r w:rsidRPr="00A50906">
        <w:rPr>
          <w:rStyle w:val="StyleUnderline"/>
          <w:highlight w:val="cyan"/>
        </w:rPr>
        <w:t>employment restrictions</w:t>
      </w:r>
      <w:r w:rsidRPr="00386C6C">
        <w:rPr>
          <w:sz w:val="12"/>
        </w:rPr>
        <w:t xml:space="preserve"> 190Link to the text of the note in both the public and private sectors. 191Link to the text of the note </w:t>
      </w:r>
      <w:r w:rsidRPr="00386C6C">
        <w:rPr>
          <w:rStyle w:val="StyleUnderline"/>
        </w:rPr>
        <w:t xml:space="preserve">Federal and state laws and regulations impose collateral employment consequences through various mechanisms, </w:t>
      </w:r>
      <w:r w:rsidRPr="00A50906">
        <w:rPr>
          <w:rStyle w:val="StyleUnderline"/>
          <w:highlight w:val="cyan"/>
        </w:rPr>
        <w:t>including statutory prohibitions, licensing provisions, and statutorily required background checks</w:t>
      </w:r>
      <w:r w:rsidRPr="00386C6C">
        <w:rPr>
          <w:sz w:val="12"/>
        </w:rPr>
        <w:t xml:space="preserve">. 192Link to the text of the note </w:t>
      </w:r>
      <w:proofErr w:type="gramStart"/>
      <w:r w:rsidRPr="00386C6C">
        <w:rPr>
          <w:sz w:val="12"/>
        </w:rPr>
        <w:t>For</w:t>
      </w:r>
      <w:proofErr w:type="gramEnd"/>
      <w:r w:rsidRPr="00386C6C">
        <w:rPr>
          <w:sz w:val="12"/>
        </w:rPr>
        <w:t xml:space="preserve"> example, </w:t>
      </w:r>
      <w:r w:rsidRPr="00386C6C">
        <w:rPr>
          <w:rStyle w:val="StyleUnderline"/>
        </w:rPr>
        <w:t>an individual with a criminal conviction will no longer be eligible for numerous categories of employment</w:t>
      </w:r>
      <w:r w:rsidRPr="00386C6C">
        <w:rPr>
          <w:sz w:val="12"/>
        </w:rPr>
        <w:t xml:space="preserve">. 193Link to the text of the note Additional employment consequences are enforced by licensing agencies. 194Link to the text of the note Scores of jobs require occupational licenses, 195Link to the text of the note and state and [*493] municipal licensing agencies often have authority to conduct background checks with discretion to deny licenses based on an applicant's criminal history. 196Link to the text of the note Theoretically, </w:t>
      </w:r>
      <w:r w:rsidRPr="00386C6C">
        <w:rPr>
          <w:rStyle w:val="StyleUnderline"/>
        </w:rPr>
        <w:t>these consequences should be attenuated by federal and, in some cases, state antidiscrimination statutes, which afford statutory antidiscrimination protections to individuals with criminal records</w:t>
      </w:r>
      <w:r w:rsidRPr="00386C6C">
        <w:rPr>
          <w:sz w:val="12"/>
        </w:rPr>
        <w:t xml:space="preserve">. 198Link to the text of the note While many of these statutes only pertain to public employment or licensing authorities, a few extend to the private sector as well. 199Link to the text of the note However, as some commentators have observed, </w:t>
      </w:r>
      <w:r w:rsidRPr="00386C6C">
        <w:rPr>
          <w:rStyle w:val="StyleUnderline"/>
        </w:rPr>
        <w:t>these laws generally have weak enforcement mechanisms</w:t>
      </w:r>
      <w:r w:rsidRPr="00386C6C">
        <w:rPr>
          <w:sz w:val="12"/>
        </w:rPr>
        <w:t xml:space="preserve">. 200Link to the text of the note </w:t>
      </w:r>
      <w:proofErr w:type="gramStart"/>
      <w:r w:rsidRPr="00386C6C">
        <w:rPr>
          <w:rStyle w:val="StyleUnderline"/>
        </w:rPr>
        <w:t>As</w:t>
      </w:r>
      <w:proofErr w:type="gramEnd"/>
      <w:r w:rsidRPr="00386C6C">
        <w:rPr>
          <w:rStyle w:val="StyleUnderline"/>
        </w:rPr>
        <w:t xml:space="preserve"> a result</w:t>
      </w:r>
      <w:r w:rsidRPr="00386C6C">
        <w:rPr>
          <w:sz w:val="12"/>
        </w:rPr>
        <w:t xml:space="preserve">, despite these statutory protections, criminal [*494] </w:t>
      </w:r>
      <w:r w:rsidRPr="00386C6C">
        <w:rPr>
          <w:rStyle w:val="StyleUnderline"/>
        </w:rPr>
        <w:t>records often bar individuals with criminal records from meaningful employment opportunities</w:t>
      </w:r>
      <w:r w:rsidRPr="00386C6C">
        <w:rPr>
          <w:sz w:val="12"/>
        </w:rPr>
        <w:t xml:space="preserve">. c. Public Benefits Most criminal convictions do not </w:t>
      </w:r>
      <w:proofErr w:type="gramStart"/>
      <w:r w:rsidRPr="00386C6C">
        <w:rPr>
          <w:sz w:val="12"/>
        </w:rPr>
        <w:t>have an effect on</w:t>
      </w:r>
      <w:proofErr w:type="gramEnd"/>
      <w:r w:rsidRPr="00386C6C">
        <w:rPr>
          <w:sz w:val="12"/>
        </w:rPr>
        <w:t xml:space="preserve"> an individual's eligibility for federal welfare benefits. However, since 1996, </w:t>
      </w:r>
      <w:r w:rsidRPr="00A50906">
        <w:rPr>
          <w:rStyle w:val="Emphasis"/>
          <w:highlight w:val="cyan"/>
        </w:rPr>
        <w:t>federal law has denied welfare benefits assistance</w:t>
      </w:r>
      <w:r w:rsidRPr="00A50906">
        <w:rPr>
          <w:sz w:val="12"/>
          <w:highlight w:val="cyan"/>
        </w:rPr>
        <w:t xml:space="preserve"> (</w:t>
      </w:r>
      <w:r w:rsidRPr="00A50906">
        <w:rPr>
          <w:rStyle w:val="StyleUnderline"/>
          <w:highlight w:val="cyan"/>
        </w:rPr>
        <w:t>cash assistance and food stamps</w:t>
      </w:r>
      <w:r w:rsidRPr="00386C6C">
        <w:rPr>
          <w:sz w:val="12"/>
        </w:rPr>
        <w:t xml:space="preserve">) </w:t>
      </w:r>
      <w:r w:rsidRPr="00386C6C">
        <w:rPr>
          <w:rStyle w:val="Emphasis"/>
        </w:rPr>
        <w:t>to individuals convicted of felony drug offenses</w:t>
      </w:r>
      <w:r w:rsidRPr="00386C6C">
        <w:rPr>
          <w:sz w:val="12"/>
        </w:rPr>
        <w:t xml:space="preserve">. 201Link to the text of the note States can opt out of this law, 202Link to the text of the note and many have. Currently, fourteen states have adhered to the federal ban and as a result completely exclude individuals convicted of felony drug offenses from these benefits; twenty-two states enforce the ban in part; and fourteen states and the District of Columbia have opted out of the ban entirely. 203Link to the text of the </w:t>
      </w:r>
      <w:proofErr w:type="spellStart"/>
      <w:r w:rsidRPr="00386C6C">
        <w:rPr>
          <w:sz w:val="12"/>
        </w:rPr>
        <w:t>note d</w:t>
      </w:r>
      <w:proofErr w:type="spellEnd"/>
      <w:r w:rsidRPr="00386C6C">
        <w:rPr>
          <w:sz w:val="12"/>
        </w:rPr>
        <w:t xml:space="preserve">. Voting </w:t>
      </w:r>
      <w:proofErr w:type="gramStart"/>
      <w:r w:rsidRPr="00386C6C">
        <w:rPr>
          <w:rStyle w:val="StyleUnderline"/>
        </w:rPr>
        <w:t>The</w:t>
      </w:r>
      <w:proofErr w:type="gramEnd"/>
      <w:r w:rsidRPr="00386C6C">
        <w:rPr>
          <w:rStyle w:val="StyleUnderline"/>
        </w:rPr>
        <w:t xml:space="preserve"> U.S. Supreme Court has declared voting restrictions based on convictions permissible under Section 2 of the Fourteenth Amendment</w:t>
      </w:r>
      <w:r w:rsidRPr="00386C6C">
        <w:rPr>
          <w:sz w:val="12"/>
        </w:rPr>
        <w:t xml:space="preserve">. Such restrictions, both with respect to federal and state elections, are matters of state law. </w:t>
      </w:r>
      <w:r w:rsidRPr="00386C6C">
        <w:rPr>
          <w:rStyle w:val="StyleUnderline"/>
        </w:rPr>
        <w:t>Forty-eight states and the District of Columbia ban individuals who are incarcerated for felony offenses from voting; thirty-five states ban individuals on parole for a felony offense from voting</w:t>
      </w:r>
      <w:r w:rsidRPr="00386C6C">
        <w:rPr>
          <w:sz w:val="12"/>
        </w:rPr>
        <w:t xml:space="preserve">; and thirty states ban individuals on felony probation from voting. Two states, Virginia and Kentucky, impose lifetime exclusions for individuals convicted of felony offenses. </w:t>
      </w:r>
    </w:p>
    <w:p w14:paraId="6FEF70D7" w14:textId="77777777" w:rsidR="0031702E" w:rsidRDefault="0031702E" w:rsidP="0031702E">
      <w:pPr>
        <w:pStyle w:val="Heading4"/>
      </w:pPr>
      <w:r>
        <w:t>Denying those services to the vulnerable and stigmatized is the first step toward widespread violence --- reject devaluation of life</w:t>
      </w:r>
    </w:p>
    <w:p w14:paraId="4FC8EC81" w14:textId="77777777" w:rsidR="0031702E" w:rsidRDefault="0031702E" w:rsidP="0031702E"/>
    <w:p w14:paraId="6A25E934" w14:textId="77777777" w:rsidR="0031702E" w:rsidRPr="0098486D" w:rsidRDefault="0031702E" w:rsidP="0031702E">
      <w:r w:rsidRPr="0098486D">
        <w:rPr>
          <w:rStyle w:val="Style13ptBold"/>
        </w:rPr>
        <w:t>Scheper-Hughes 7</w:t>
      </w:r>
      <w:r w:rsidRPr="0098486D">
        <w:t>—professor  of Anthropology and director of the program in Medical Anthropology at the University of California at Berkeley (Nancy,</w:t>
      </w:r>
      <w:r w:rsidRPr="00080523">
        <w:rPr>
          <w:b/>
          <w:bCs/>
          <w:u w:val="single"/>
        </w:rPr>
        <w:t xml:space="preserve"> The Shadow Side of Fieldwork Exploring the Blurred Borders between Ethnography and Life</w:t>
      </w:r>
      <w:r w:rsidRPr="0098486D">
        <w:t xml:space="preserve"> “Chapter 7, The Gray Zone: Small Wars, Peacetime Crimes, and Invisible Genocides,” 8/13/07, http://14.139.206.50:8080/jspui/bitstream/1/2701/1/McLean&amp;Leibing%20-%20The%20Shadow%20Side%20of%20Fieldwork%20Exploring%20the%20Blurred%20Borders%20between%20Ethnography%20and%20Life.pdf)</w:t>
      </w:r>
    </w:p>
    <w:p w14:paraId="4B704FA6" w14:textId="77777777" w:rsidR="0031702E" w:rsidRDefault="0031702E" w:rsidP="0031702E">
      <w:pPr>
        <w:rPr>
          <w:rStyle w:val="StyleUnderline"/>
        </w:rPr>
      </w:pPr>
      <w:r w:rsidRPr="005C4464">
        <w:rPr>
          <w:sz w:val="12"/>
        </w:rPr>
        <w:t xml:space="preserve">Peacetime crimes are so deeply inscribed in our ordinary, unexamined lifeways that no one is exempt, least of all the “critical” and “militant” anthropologist. Obviously, social and political critique must extend to self-critique, to illuminating how ordinary, everyday ways of thinking, loving, and being in the world are implicated in the violence that we are trying to understand and to overcome. The demons have not fled – we have faced the terrorist and she is us. </w:t>
      </w:r>
      <w:r w:rsidRPr="005C4464">
        <w:rPr>
          <w:rStyle w:val="Emphasis"/>
          <w:highlight w:val="cyan"/>
        </w:rPr>
        <w:t>All forms of violence</w:t>
      </w:r>
      <w:r w:rsidRPr="0098486D">
        <w:rPr>
          <w:rStyle w:val="Emphasis"/>
        </w:rPr>
        <w:t xml:space="preserve"> </w:t>
      </w:r>
      <w:r w:rsidRPr="005C4464">
        <w:rPr>
          <w:rStyle w:val="Emphasis"/>
          <w:highlight w:val="cyan"/>
        </w:rPr>
        <w:t>are sustained by the</w:t>
      </w:r>
      <w:r w:rsidRPr="0098486D">
        <w:rPr>
          <w:rStyle w:val="Emphasis"/>
        </w:rPr>
        <w:t xml:space="preserve"> </w:t>
      </w:r>
      <w:r w:rsidRPr="005C4464">
        <w:rPr>
          <w:rStyle w:val="Emphasis"/>
          <w:highlight w:val="cyan"/>
        </w:rPr>
        <w:t>passively averted</w:t>
      </w:r>
      <w:r w:rsidRPr="0098486D">
        <w:rPr>
          <w:rStyle w:val="Emphasis"/>
        </w:rPr>
        <w:t xml:space="preserve"> </w:t>
      </w:r>
      <w:r w:rsidRPr="005C4464">
        <w:rPr>
          <w:rStyle w:val="Emphasis"/>
          <w:highlight w:val="cyan"/>
        </w:rPr>
        <w:t>gaze</w:t>
      </w:r>
      <w:r w:rsidRPr="005C4464">
        <w:rPr>
          <w:sz w:val="12"/>
        </w:rPr>
        <w:t>. The critical lens moves in and out, intentionally juxtaposing the different levels of violence – macro and micro, economic, epistemic, and the deeply personal and subjective. I have tried to show a way of reading across the scales of power and of violence to allow a recognition of their connections and continuities</w:t>
      </w:r>
      <w:r w:rsidRPr="0098486D">
        <w:rPr>
          <w:rStyle w:val="StyleUnderline"/>
        </w:rPr>
        <w:t xml:space="preserve">. </w:t>
      </w:r>
      <w:r w:rsidRPr="005C4464">
        <w:rPr>
          <w:rStyle w:val="StyleUnderline"/>
          <w:highlight w:val="cyan"/>
        </w:rPr>
        <w:t>Mass violence</w:t>
      </w:r>
      <w:r w:rsidRPr="0098486D">
        <w:rPr>
          <w:rStyle w:val="StyleUnderline"/>
        </w:rPr>
        <w:t xml:space="preserve"> and genocide </w:t>
      </w:r>
      <w:r w:rsidRPr="005C4464">
        <w:rPr>
          <w:rStyle w:val="StyleUnderline"/>
          <w:highlight w:val="cyan"/>
        </w:rPr>
        <w:t>are part of a continuum</w:t>
      </w:r>
      <w:r w:rsidRPr="005C4464">
        <w:rPr>
          <w:sz w:val="12"/>
        </w:rPr>
        <w:t xml:space="preserve">. Genocide is normally socially, politically incremental, and is often perceived and experienced by perpetrators, collaborators, bystanders – and even, eventually, by victims themselves – </w:t>
      </w:r>
      <w:r w:rsidRPr="0098486D">
        <w:rPr>
          <w:rStyle w:val="StyleUnderline"/>
        </w:rPr>
        <w:t>as ordinary, routine, even justified</w:t>
      </w:r>
      <w:r w:rsidRPr="005C4464">
        <w:rPr>
          <w:sz w:val="12"/>
        </w:rPr>
        <w:t xml:space="preserve">. The preparation for mass killing is found in social sentiments and in institutions ranging from the family, to schools, churches, hospitals, and the military. </w:t>
      </w:r>
      <w:r w:rsidRPr="005C4464">
        <w:rPr>
          <w:rStyle w:val="StyleUnderline"/>
          <w:highlight w:val="cyan"/>
        </w:rPr>
        <w:t>The</w:t>
      </w:r>
      <w:r w:rsidRPr="0098486D">
        <w:rPr>
          <w:rStyle w:val="StyleUnderline"/>
        </w:rPr>
        <w:t xml:space="preserve"> early “</w:t>
      </w:r>
      <w:r w:rsidRPr="005C4464">
        <w:rPr>
          <w:rStyle w:val="StyleUnderline"/>
          <w:highlight w:val="cyan"/>
        </w:rPr>
        <w:t>warning signs</w:t>
      </w:r>
      <w:r w:rsidRPr="0098486D">
        <w:rPr>
          <w:rStyle w:val="StyleUnderline"/>
        </w:rPr>
        <w:t xml:space="preserve">” </w:t>
      </w:r>
      <w:r w:rsidRPr="005C4464">
        <w:rPr>
          <w:rStyle w:val="StyleUnderline"/>
          <w:highlight w:val="cyan"/>
        </w:rPr>
        <w:t>include</w:t>
      </w:r>
      <w:r w:rsidRPr="0098486D">
        <w:rPr>
          <w:rStyle w:val="StyleUnderline"/>
        </w:rPr>
        <w:t xml:space="preserve"> an evolving social consensus toward: </w:t>
      </w:r>
      <w:r w:rsidRPr="005C4464">
        <w:rPr>
          <w:rStyle w:val="StyleUnderline"/>
          <w:highlight w:val="cyan"/>
        </w:rPr>
        <w:t>the devaluing of certain forms</w:t>
      </w:r>
      <w:r w:rsidRPr="0098486D">
        <w:rPr>
          <w:rStyle w:val="StyleUnderline"/>
        </w:rPr>
        <w:t xml:space="preserve"> </w:t>
      </w:r>
      <w:r w:rsidRPr="005C4464">
        <w:rPr>
          <w:rStyle w:val="StyleUnderline"/>
          <w:highlight w:val="cyan"/>
        </w:rPr>
        <w:t>of</w:t>
      </w:r>
      <w:r w:rsidRPr="0098486D">
        <w:rPr>
          <w:rStyle w:val="StyleUnderline"/>
        </w:rPr>
        <w:t xml:space="preserve"> human </w:t>
      </w:r>
      <w:r w:rsidRPr="005C4464">
        <w:rPr>
          <w:rStyle w:val="StyleUnderline"/>
          <w:highlight w:val="cyan"/>
        </w:rPr>
        <w:t>life</w:t>
      </w:r>
      <w:r w:rsidRPr="005C4464">
        <w:rPr>
          <w:sz w:val="12"/>
        </w:rPr>
        <w:t xml:space="preserve"> (pseudo-speciation, dehumanization, reification, and depersonalization); </w:t>
      </w:r>
      <w:r w:rsidRPr="005C4464">
        <w:rPr>
          <w:rStyle w:val="Emphasis"/>
          <w:highlight w:val="cyan"/>
        </w:rPr>
        <w:t>a refusal of social support</w:t>
      </w:r>
      <w:r w:rsidRPr="0098486D">
        <w:rPr>
          <w:rStyle w:val="StyleUnderline"/>
        </w:rPr>
        <w:t xml:space="preserve"> </w:t>
      </w:r>
      <w:r w:rsidRPr="005C4464">
        <w:rPr>
          <w:rStyle w:val="StyleUnderline"/>
          <w:highlight w:val="cyan"/>
        </w:rPr>
        <w:t>and</w:t>
      </w:r>
      <w:r w:rsidRPr="0098486D">
        <w:rPr>
          <w:rStyle w:val="StyleUnderline"/>
        </w:rPr>
        <w:t xml:space="preserve"> humane </w:t>
      </w:r>
      <w:r w:rsidRPr="005C4464">
        <w:rPr>
          <w:rStyle w:val="StyleUnderline"/>
          <w:highlight w:val="cyan"/>
        </w:rPr>
        <w:t>care to vulnerable</w:t>
      </w:r>
      <w:r w:rsidRPr="0098486D">
        <w:rPr>
          <w:rStyle w:val="StyleUnderline"/>
        </w:rPr>
        <w:t xml:space="preserve"> </w:t>
      </w:r>
      <w:r w:rsidRPr="005C4464">
        <w:rPr>
          <w:rStyle w:val="StyleUnderline"/>
          <w:highlight w:val="cyan"/>
        </w:rPr>
        <w:t>and stigmatized social</w:t>
      </w:r>
      <w:r w:rsidRPr="0098486D">
        <w:rPr>
          <w:rStyle w:val="StyleUnderline"/>
        </w:rPr>
        <w:t xml:space="preserve"> </w:t>
      </w:r>
      <w:r w:rsidRPr="005C4464">
        <w:rPr>
          <w:rStyle w:val="StyleUnderline"/>
          <w:highlight w:val="cyan"/>
        </w:rPr>
        <w:t>groups</w:t>
      </w:r>
      <w:r w:rsidRPr="0098486D">
        <w:rPr>
          <w:rStyle w:val="StyleUnderline"/>
        </w:rPr>
        <w:t xml:space="preserve"> seen as social parasites </w:t>
      </w:r>
      <w:r w:rsidRPr="005C4464">
        <w:rPr>
          <w:sz w:val="12"/>
        </w:rPr>
        <w:t xml:space="preserve">(whether “illegal aliens,” “welfare queens,” or hospitalized “gomers” and “nursing home elderly”); the militarization of everyday life (e.g., the growth of prisons, the acceptance of capital punishment; heightened technologies of personal security, including the house gun and gated communities); </w:t>
      </w:r>
      <w:r w:rsidRPr="0098486D">
        <w:rPr>
          <w:rStyle w:val="StyleUnderline"/>
        </w:rPr>
        <w:t>increasing social polarization, fear and moral panics</w:t>
      </w:r>
      <w:r w:rsidRPr="005C4464">
        <w:rPr>
          <w:sz w:val="12"/>
        </w:rPr>
        <w:t xml:space="preserve"> </w:t>
      </w:r>
      <w:r w:rsidRPr="005C4464">
        <w:rPr>
          <w:sz w:val="12"/>
          <w:highlight w:val="cyan"/>
        </w:rPr>
        <w:t>(</w:t>
      </w:r>
      <w:r w:rsidRPr="005C4464">
        <w:rPr>
          <w:rStyle w:val="StyleUnderline"/>
          <w:highlight w:val="cyan"/>
        </w:rPr>
        <w:t>the perceptions of the underclass</w:t>
      </w:r>
      <w:r w:rsidRPr="005C4464">
        <w:rPr>
          <w:sz w:val="12"/>
        </w:rPr>
        <w:t xml:space="preserve">, street children, </w:t>
      </w:r>
      <w:r w:rsidRPr="005C4464">
        <w:rPr>
          <w:rStyle w:val="StyleUnderline"/>
          <w:highlight w:val="cyan"/>
        </w:rPr>
        <w:t xml:space="preserve">or certain racial or ethnic groups as </w:t>
      </w:r>
      <w:r w:rsidRPr="005C4464">
        <w:rPr>
          <w:rStyle w:val="Emphasis"/>
          <w:highlight w:val="cyan"/>
        </w:rPr>
        <w:t>dangerous</w:t>
      </w:r>
      <w:r w:rsidRPr="005C4464">
        <w:rPr>
          <w:rStyle w:val="StyleUnderline"/>
          <w:highlight w:val="cyan"/>
        </w:rPr>
        <w:t xml:space="preserve"> and </w:t>
      </w:r>
      <w:r w:rsidRPr="005C4464">
        <w:rPr>
          <w:rStyle w:val="Emphasis"/>
          <w:highlight w:val="cyan"/>
        </w:rPr>
        <w:t>socially polluting</w:t>
      </w:r>
      <w:r w:rsidRPr="005C4464">
        <w:rPr>
          <w:rStyle w:val="StyleUnderline"/>
          <w:highlight w:val="cyan"/>
        </w:rPr>
        <w:t xml:space="preserve"> public enemies</w:t>
      </w:r>
      <w:r w:rsidRPr="005C4464">
        <w:rPr>
          <w:sz w:val="12"/>
        </w:rPr>
        <w:t xml:space="preserve">); </w:t>
      </w:r>
      <w:r w:rsidRPr="0098486D">
        <w:rPr>
          <w:rStyle w:val="StyleUnderline"/>
        </w:rPr>
        <w:t xml:space="preserve">and finally, reversed feelings of victimization </w:t>
      </w:r>
      <w:r w:rsidRPr="005C4464">
        <w:rPr>
          <w:rStyle w:val="StyleUnderline"/>
          <w:highlight w:val="cyan"/>
        </w:rPr>
        <w:t>as dominant social groups and social classes demand strong policing to put despised subordinate or marginal groups in their proper place</w:t>
      </w:r>
      <w:r w:rsidRPr="0098486D">
        <w:rPr>
          <w:rStyle w:val="StyleUnderline"/>
        </w:rPr>
        <w:t xml:space="preserve">. </w:t>
      </w:r>
      <w:r w:rsidRPr="005C4464">
        <w:rPr>
          <w:sz w:val="12"/>
        </w:rPr>
        <w:t xml:space="preserve">Once recognized, how can these negative social forces be transformed? I have found useful Emmanuel Levinas’s (1986) notion of the “primacy of the ethical” (see Scheper-Hughes 1995) which suggests certain transcendent, transparent – I dare to say (as an anthropologist!) pre-cultural – first principles. Traditionally, anthropologists have understood morality as contingent on, and embedded within, specific cultural assumptions about human life. But there is another philosophical and theological position that posits “the ethical” as existing outside of, and even as prior to, culture. As Levinas writes: “Morality does not belong to culture: [it] enables one to judge it.” Some human actions and events, including genocide and mass violence, </w:t>
      </w:r>
      <w:proofErr w:type="gramStart"/>
      <w:r w:rsidRPr="005C4464">
        <w:rPr>
          <w:sz w:val="12"/>
        </w:rPr>
        <w:t>have to</w:t>
      </w:r>
      <w:proofErr w:type="gramEnd"/>
      <w:r w:rsidRPr="005C4464">
        <w:rPr>
          <w:sz w:val="12"/>
        </w:rPr>
        <w:t xml:space="preserve"> be exempt from the anthropologist’s normally relativizing discourse. Even Derrida, the master of deconstructionism, has posited certain dimensions of human life and experience that </w:t>
      </w:r>
      <w:proofErr w:type="gramStart"/>
      <w:r w:rsidRPr="005C4464">
        <w:rPr>
          <w:sz w:val="12"/>
        </w:rPr>
        <w:t>have to</w:t>
      </w:r>
      <w:proofErr w:type="gramEnd"/>
      <w:r w:rsidRPr="005C4464">
        <w:rPr>
          <w:sz w:val="12"/>
        </w:rPr>
        <w:t xml:space="preserve"> exist outside the </w:t>
      </w:r>
      <w:proofErr w:type="spellStart"/>
      <w:r w:rsidRPr="005C4464">
        <w:rPr>
          <w:sz w:val="12"/>
        </w:rPr>
        <w:t>deconstructivist</w:t>
      </w:r>
      <w:proofErr w:type="spellEnd"/>
      <w:r w:rsidRPr="005C4464">
        <w:rPr>
          <w:sz w:val="12"/>
        </w:rPr>
        <w:t xml:space="preserve"> framework. Among these “exemptions” are, he suggests, (evoking Hannah Arendt’s Human Condition) notions of justice and fairness, forgiveness, promise-keeping, and hope. One thinks, for example, of the poignant scene from Truffaut’s The Wild Child in which the pre-socialized and barely verbal wolf-boy lashes out at his human captor screaming one of his first full sentences: “Not fair!” The demand for justice, for mutual responsibility, accountability, answerability to the existence of “the other” – the ethical, as I define it – may be said to be pre-cultural to the extent that our existence as humans, as uniquely social beings, already presupposes the presence of others. While traditional anthropological relativism assumes that thought, emotion, and reflexivity come into existence with words, and words come into being with language embedded within culture, the very pre-structure of language, our uniquely human readiness for speech, assumes an interlocutor and a given relationship with another subject. I have never been able to escape the following observation: that we are thrown into existence at all presupposes a given moral relationship to an original other/mother and she to me. “Basic strangeness” – the profound shock of misrecognition reported by some mothers in their first encounters with a newborn – is perhaps the prototype of all dangerously alienated “self–other” relations, including those leading up to genocide. As every new mother knows, the only possibility for fragile life to grow and prosper is for a sense of estrangement, what I have elsewhere called “basic strangeness,” to be replaced by “basic love” which for me connotes a very minimalist notion of “love” understood as a refusal to objectify, to hate, and to kill. Martin Buber’s “I–Thou that supersedes I–</w:t>
      </w:r>
      <w:proofErr w:type="gramStart"/>
      <w:r w:rsidRPr="005C4464">
        <w:rPr>
          <w:sz w:val="12"/>
        </w:rPr>
        <w:t>it</w:t>
      </w:r>
      <w:proofErr w:type="gramEnd"/>
      <w:r w:rsidRPr="005C4464">
        <w:rPr>
          <w:sz w:val="12"/>
        </w:rPr>
        <w:t xml:space="preserve"> relations” certainly comes to mind. </w:t>
      </w:r>
      <w:r w:rsidRPr="0098486D">
        <w:rPr>
          <w:rStyle w:val="StyleUnderline"/>
        </w:rPr>
        <w:t xml:space="preserve">Above all, </w:t>
      </w:r>
      <w:r w:rsidRPr="005C4464">
        <w:rPr>
          <w:rStyle w:val="Emphasis"/>
          <w:highlight w:val="cyan"/>
        </w:rPr>
        <w:t>it is essential that we exercise</w:t>
      </w:r>
      <w:r w:rsidRPr="0098486D">
        <w:rPr>
          <w:rStyle w:val="StyleUnderline"/>
        </w:rPr>
        <w:t xml:space="preserve"> a defensive </w:t>
      </w:r>
      <w:r w:rsidRPr="0098486D">
        <w:rPr>
          <w:rStyle w:val="Emphasis"/>
        </w:rPr>
        <w:t>hyper-</w:t>
      </w:r>
      <w:r w:rsidRPr="005C4464">
        <w:rPr>
          <w:rStyle w:val="Emphasis"/>
          <w:highlight w:val="cyan"/>
        </w:rPr>
        <w:t>vigilance</w:t>
      </w:r>
      <w:r w:rsidRPr="0098486D">
        <w:rPr>
          <w:rStyle w:val="Emphasis"/>
        </w:rPr>
        <w:t xml:space="preserve"> and hyper-sensitivity </w:t>
      </w:r>
      <w:r w:rsidRPr="005C4464">
        <w:rPr>
          <w:rStyle w:val="Emphasis"/>
          <w:highlight w:val="cyan"/>
        </w:rPr>
        <w:t>to all the</w:t>
      </w:r>
      <w:r w:rsidRPr="0098486D">
        <w:rPr>
          <w:rStyle w:val="Emphasis"/>
        </w:rPr>
        <w:t xml:space="preserve"> mundane, normative, and </w:t>
      </w:r>
      <w:r w:rsidRPr="005C4464">
        <w:rPr>
          <w:rStyle w:val="Emphasis"/>
          <w:highlight w:val="cyan"/>
        </w:rPr>
        <w:t>permitted acts of violence</w:t>
      </w:r>
      <w:r w:rsidRPr="005C4464">
        <w:rPr>
          <w:sz w:val="12"/>
        </w:rPr>
        <w:t xml:space="preserve"> that are </w:t>
      </w:r>
      <w:r w:rsidRPr="0098486D">
        <w:rPr>
          <w:rStyle w:val="StyleUnderline"/>
        </w:rPr>
        <w:t>directed against certain “classes</w:t>
      </w:r>
      <w:r w:rsidRPr="005C4464">
        <w:rPr>
          <w:sz w:val="12"/>
        </w:rPr>
        <w:t xml:space="preserve">” of disqualified and despised humans. Perhaps </w:t>
      </w:r>
      <w:r w:rsidRPr="0098486D">
        <w:rPr>
          <w:rStyle w:val="StyleUnderline"/>
        </w:rPr>
        <w:t xml:space="preserve">a constant mobilization for constant shock and hyper-arousal in response to the little </w:t>
      </w:r>
      <w:proofErr w:type="spellStart"/>
      <w:r w:rsidRPr="0098486D">
        <w:rPr>
          <w:rStyle w:val="StyleUnderline"/>
        </w:rPr>
        <w:t>violences</w:t>
      </w:r>
      <w:proofErr w:type="spellEnd"/>
      <w:r w:rsidRPr="005C4464">
        <w:rPr>
          <w:sz w:val="12"/>
        </w:rPr>
        <w:t xml:space="preserve"> – “the small wars and invisible genocides” of everyday life </w:t>
      </w:r>
      <w:r w:rsidRPr="0098486D">
        <w:rPr>
          <w:rStyle w:val="Emphasis"/>
        </w:rPr>
        <w:t>– is one ethical response</w:t>
      </w:r>
      <w:r w:rsidRPr="0098486D">
        <w:rPr>
          <w:rStyle w:val="StyleUnderline"/>
        </w:rPr>
        <w:t xml:space="preserve"> to</w:t>
      </w:r>
      <w:r w:rsidRPr="005C4464">
        <w:rPr>
          <w:sz w:val="12"/>
        </w:rPr>
        <w:t xml:space="preserve"> Walter Benjamin’s (1969) view of </w:t>
      </w:r>
      <w:r w:rsidRPr="0098486D">
        <w:rPr>
          <w:rStyle w:val="StyleUnderline"/>
        </w:rPr>
        <w:t>late modern history as a chronic “state of emergency.”</w:t>
      </w:r>
    </w:p>
    <w:p w14:paraId="25F88472" w14:textId="77777777" w:rsidR="0031702E" w:rsidRDefault="0031702E" w:rsidP="0031702E">
      <w:pPr>
        <w:pStyle w:val="Heading4"/>
      </w:pPr>
      <w:r w:rsidRPr="0098486D">
        <w:t>Deaths from structural violence are greater every year than from wars – changing laws that facilitate inequality is vital</w:t>
      </w:r>
    </w:p>
    <w:p w14:paraId="49FDC4FB" w14:textId="77777777" w:rsidR="0031702E" w:rsidRPr="00BD2C23" w:rsidRDefault="0031702E" w:rsidP="0031702E"/>
    <w:p w14:paraId="277ABA89" w14:textId="77777777" w:rsidR="0031702E" w:rsidRPr="0098486D" w:rsidRDefault="0031702E" w:rsidP="0031702E">
      <w:r w:rsidRPr="0098486D">
        <w:rPr>
          <w:b/>
        </w:rPr>
        <w:t xml:space="preserve">Ansell, 17 </w:t>
      </w:r>
      <w:r w:rsidRPr="0098486D">
        <w:t>- David A. Ansell, Senior Vice President, Associate Provost for Community Health Equity, and Michael E. Kelly Professor of Medicine at Rush University Medical Center (</w:t>
      </w:r>
      <w:r w:rsidRPr="00080523">
        <w:rPr>
          <w:b/>
          <w:bCs/>
          <w:u w:val="single"/>
        </w:rPr>
        <w:t>The Death Gap: How Inequality Kills</w:t>
      </w:r>
      <w:r w:rsidRPr="0098486D">
        <w:t>, p. 7-10)</w:t>
      </w:r>
    </w:p>
    <w:p w14:paraId="2A52DC15" w14:textId="77777777" w:rsidR="0031702E" w:rsidRPr="0098486D" w:rsidRDefault="0031702E" w:rsidP="0031702E">
      <w:pPr>
        <w:rPr>
          <w:rStyle w:val="StyleUnderline"/>
        </w:rPr>
      </w:pPr>
      <w:r w:rsidRPr="00BD2C23">
        <w:rPr>
          <w:sz w:val="14"/>
        </w:rPr>
        <w:t xml:space="preserve">There are </w:t>
      </w:r>
      <w:proofErr w:type="gramStart"/>
      <w:r w:rsidRPr="00BD2C23">
        <w:rPr>
          <w:sz w:val="14"/>
        </w:rPr>
        <w:t>many different kinds of</w:t>
      </w:r>
      <w:proofErr w:type="gramEnd"/>
      <w:r w:rsidRPr="00BD2C23">
        <w:rPr>
          <w:sz w:val="14"/>
        </w:rPr>
        <w:t xml:space="preserve"> violence. Some are obvious: punches, attacks, gunshots, explosions. These are the kinds of inter- personal violence that we tend to hear about in the news. Other kinds of violence are intimate and emotional. But </w:t>
      </w:r>
      <w:r w:rsidRPr="005C4464">
        <w:rPr>
          <w:rStyle w:val="StyleUnderline"/>
          <w:highlight w:val="cyan"/>
        </w:rPr>
        <w:t>the deadliest</w:t>
      </w:r>
      <w:r w:rsidRPr="0098486D">
        <w:rPr>
          <w:rStyle w:val="StyleUnderline"/>
        </w:rPr>
        <w:t xml:space="preserve"> and most thoroughgoing </w:t>
      </w:r>
      <w:r w:rsidRPr="005C4464">
        <w:rPr>
          <w:rStyle w:val="StyleUnderline"/>
          <w:highlight w:val="cyan"/>
        </w:rPr>
        <w:t>kind of violence is woven</w:t>
      </w:r>
      <w:r w:rsidRPr="0098486D">
        <w:rPr>
          <w:rStyle w:val="StyleUnderline"/>
        </w:rPr>
        <w:t xml:space="preserve"> into the fabric of </w:t>
      </w:r>
      <w:r w:rsidRPr="005C4464">
        <w:rPr>
          <w:rStyle w:val="StyleUnderline"/>
          <w:highlight w:val="cyan"/>
        </w:rPr>
        <w:t>American society</w:t>
      </w:r>
      <w:r w:rsidRPr="0098486D">
        <w:rPr>
          <w:rStyle w:val="StyleUnderline"/>
        </w:rPr>
        <w:t xml:space="preserve">. </w:t>
      </w:r>
      <w:r w:rsidRPr="005C4464">
        <w:rPr>
          <w:rStyle w:val="StyleUnderline"/>
          <w:highlight w:val="cyan"/>
        </w:rPr>
        <w:t>It exists when some</w:t>
      </w:r>
      <w:r w:rsidRPr="0098486D">
        <w:rPr>
          <w:rStyle w:val="StyleUnderline"/>
        </w:rPr>
        <w:t xml:space="preserve"> </w:t>
      </w:r>
      <w:r w:rsidRPr="005C4464">
        <w:rPr>
          <w:rStyle w:val="StyleUnderline"/>
          <w:highlight w:val="cyan"/>
        </w:rPr>
        <w:t>groups</w:t>
      </w:r>
      <w:r w:rsidRPr="0098486D">
        <w:rPr>
          <w:rStyle w:val="StyleUnderline"/>
        </w:rPr>
        <w:t xml:space="preserve"> </w:t>
      </w:r>
      <w:r w:rsidRPr="005C4464">
        <w:rPr>
          <w:rStyle w:val="StyleUnderline"/>
          <w:highlight w:val="cyan"/>
        </w:rPr>
        <w:t>have more access to</w:t>
      </w:r>
      <w:r w:rsidRPr="0098486D">
        <w:rPr>
          <w:rStyle w:val="StyleUnderline"/>
        </w:rPr>
        <w:t xml:space="preserve"> goods, </w:t>
      </w:r>
      <w:r w:rsidRPr="005C4464">
        <w:rPr>
          <w:rStyle w:val="StyleUnderline"/>
          <w:highlight w:val="cyan"/>
        </w:rPr>
        <w:t>resources</w:t>
      </w:r>
      <w:r w:rsidRPr="0098486D">
        <w:rPr>
          <w:rStyle w:val="StyleUnderline"/>
        </w:rPr>
        <w:t xml:space="preserve">, and opportunities </w:t>
      </w:r>
      <w:r w:rsidRPr="005C4464">
        <w:rPr>
          <w:rStyle w:val="StyleUnderline"/>
          <w:highlight w:val="cyan"/>
        </w:rPr>
        <w:t>than other groups</w:t>
      </w:r>
      <w:r w:rsidRPr="0098486D">
        <w:rPr>
          <w:rStyle w:val="StyleUnderline"/>
        </w:rPr>
        <w:t>, including health and life itself.</w:t>
      </w:r>
      <w:r w:rsidRPr="00BD2C23">
        <w:rPr>
          <w:sz w:val="14"/>
        </w:rPr>
        <w:t xml:space="preserve"> </w:t>
      </w:r>
      <w:r w:rsidRPr="005C4464">
        <w:rPr>
          <w:rStyle w:val="StyleUnderline"/>
          <w:highlight w:val="cyan"/>
        </w:rPr>
        <w:t xml:space="preserve">This violence delivers </w:t>
      </w:r>
      <w:r w:rsidRPr="004F36C7">
        <w:rPr>
          <w:rStyle w:val="StyleUnderline"/>
        </w:rPr>
        <w:t xml:space="preserve">specific </w:t>
      </w:r>
      <w:r w:rsidRPr="005C4464">
        <w:rPr>
          <w:rStyle w:val="StyleUnderline"/>
          <w:highlight w:val="cyan"/>
        </w:rPr>
        <w:t xml:space="preserve">blows against </w:t>
      </w:r>
      <w:proofErr w:type="gramStart"/>
      <w:r w:rsidRPr="005C4464">
        <w:rPr>
          <w:rStyle w:val="StyleUnderline"/>
          <w:highlight w:val="cyan"/>
        </w:rPr>
        <w:t>particular bodies</w:t>
      </w:r>
      <w:proofErr w:type="gramEnd"/>
      <w:r w:rsidRPr="0098486D">
        <w:rPr>
          <w:rStyle w:val="StyleUnderline"/>
        </w:rPr>
        <w:t xml:space="preserve"> in particular neighborhoods</w:t>
      </w:r>
      <w:r w:rsidRPr="00BD2C23">
        <w:rPr>
          <w:sz w:val="14"/>
        </w:rPr>
        <w:t xml:space="preserve">. This unequal advantage and violence </w:t>
      </w:r>
      <w:proofErr w:type="gramStart"/>
      <w:r w:rsidRPr="00BD2C23">
        <w:rPr>
          <w:sz w:val="14"/>
        </w:rPr>
        <w:t>is</w:t>
      </w:r>
      <w:proofErr w:type="gramEnd"/>
      <w:r w:rsidRPr="00BD2C23">
        <w:rPr>
          <w:sz w:val="14"/>
        </w:rPr>
        <w:t xml:space="preserve"> built into the very rules that govern our society. In the absence of this violence, large numbers of Americans would be able to live fuller and longer lives. This kind of violence is called </w:t>
      </w:r>
      <w:r w:rsidRPr="005C4464">
        <w:rPr>
          <w:rStyle w:val="StyleUnderline"/>
          <w:highlight w:val="cyan"/>
        </w:rPr>
        <w:t>structural violence</w:t>
      </w:r>
      <w:r w:rsidRPr="0098486D">
        <w:rPr>
          <w:rStyle w:val="StyleUnderline"/>
        </w:rPr>
        <w:t xml:space="preserve">, because it </w:t>
      </w:r>
      <w:r w:rsidRPr="005C4464">
        <w:rPr>
          <w:rStyle w:val="StyleUnderline"/>
          <w:highlight w:val="cyan"/>
        </w:rPr>
        <w:t>is embedded in</w:t>
      </w:r>
      <w:r w:rsidRPr="0098486D">
        <w:rPr>
          <w:rStyle w:val="StyleUnderline"/>
        </w:rPr>
        <w:t xml:space="preserve"> the very </w:t>
      </w:r>
      <w:r w:rsidRPr="005C4464">
        <w:rPr>
          <w:rStyle w:val="StyleUnderline"/>
          <w:highlight w:val="cyan"/>
        </w:rPr>
        <w:t>laws</w:t>
      </w:r>
      <w:r w:rsidRPr="0098486D">
        <w:rPr>
          <w:rStyle w:val="StyleUnderline"/>
        </w:rPr>
        <w:t xml:space="preserve">, policies, and rules </w:t>
      </w:r>
      <w:r w:rsidRPr="005C4464">
        <w:rPr>
          <w:rStyle w:val="StyleUnderline"/>
          <w:highlight w:val="cyan"/>
        </w:rPr>
        <w:t>that govern</w:t>
      </w:r>
      <w:r w:rsidRPr="0098486D">
        <w:rPr>
          <w:rStyle w:val="StyleUnderline"/>
        </w:rPr>
        <w:t xml:space="preserve"> day-to- day </w:t>
      </w:r>
      <w:r w:rsidRPr="005C4464">
        <w:rPr>
          <w:rStyle w:val="StyleUnderline"/>
          <w:highlight w:val="cyan"/>
        </w:rPr>
        <w:t>life.</w:t>
      </w:r>
      <w:r w:rsidRPr="00BD2C23">
        <w:rPr>
          <w:sz w:val="14"/>
        </w:rPr>
        <w:t xml:space="preserve">8 It is the cumulative impact of laws and social and economic policies and practices that render some Americans less able to access resources and opportunities than others. This inequity of advantage is not a result of the </w:t>
      </w:r>
      <w:proofErr w:type="gramStart"/>
      <w:r w:rsidRPr="00BD2C23">
        <w:rPr>
          <w:sz w:val="14"/>
        </w:rPr>
        <w:t>individuals</w:t>
      </w:r>
      <w:proofErr w:type="gramEnd"/>
      <w:r w:rsidRPr="00BD2C23">
        <w:rPr>
          <w:sz w:val="14"/>
        </w:rPr>
        <w:t xml:space="preserve"> personal abilities but is built into the systems that govern society. Often </w:t>
      </w:r>
      <w:r w:rsidRPr="0098486D">
        <w:rPr>
          <w:rStyle w:val="StyleUnderline"/>
        </w:rPr>
        <w:t>it is a product of racism, gender, and income inequality</w:t>
      </w:r>
      <w:r w:rsidRPr="00BD2C23">
        <w:rPr>
          <w:sz w:val="14"/>
        </w:rPr>
        <w:t xml:space="preserve">. The diseases and premature mortality that </w:t>
      </w:r>
      <w:proofErr w:type="spellStart"/>
      <w:r w:rsidRPr="00BD2C23">
        <w:rPr>
          <w:sz w:val="14"/>
        </w:rPr>
        <w:t>Windora</w:t>
      </w:r>
      <w:proofErr w:type="spellEnd"/>
      <w:r w:rsidRPr="00BD2C23">
        <w:rPr>
          <w:sz w:val="14"/>
        </w:rPr>
        <w:t xml:space="preserve"> and many of my patients experienced were, in the words of Dr. Paul Farmer, "biological reflections of social fault lines."9 As a result of these fault lines, a disproportional burden of illness, suffering, and premature mortality falls on certain neighborhoods, like </w:t>
      </w:r>
      <w:proofErr w:type="spellStart"/>
      <w:r w:rsidRPr="00BD2C23">
        <w:rPr>
          <w:sz w:val="14"/>
        </w:rPr>
        <w:t>Windora's</w:t>
      </w:r>
      <w:proofErr w:type="spellEnd"/>
      <w:r w:rsidRPr="00BD2C23">
        <w:rPr>
          <w:sz w:val="14"/>
        </w:rPr>
        <w:t xml:space="preserve">. Structural violence can overwhelm an individual's ability to live a free, unfettered, healthy life. As I ran to evaluate </w:t>
      </w:r>
      <w:proofErr w:type="spellStart"/>
      <w:r w:rsidRPr="00BD2C23">
        <w:rPr>
          <w:sz w:val="14"/>
        </w:rPr>
        <w:t>Windora</w:t>
      </w:r>
      <w:proofErr w:type="spellEnd"/>
      <w:r w:rsidRPr="00BD2C23">
        <w:rPr>
          <w:sz w:val="14"/>
        </w:rPr>
        <w:t xml:space="preserve">,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t>
      </w:r>
      <w:proofErr w:type="spellStart"/>
      <w:r w:rsidRPr="00BD2C23">
        <w:rPr>
          <w:sz w:val="14"/>
        </w:rPr>
        <w:t>Windora</w:t>
      </w:r>
      <w:proofErr w:type="spellEnd"/>
      <w:r w:rsidRPr="00BD2C23">
        <w:rPr>
          <w:sz w:val="14"/>
        </w:rPr>
        <w:t xml:space="preserve"> and her family. These rules and structures are powerful destructive forces. </w:t>
      </w:r>
      <w:r w:rsidRPr="005C4464">
        <w:rPr>
          <w:rStyle w:val="StyleUnderline"/>
          <w:highlight w:val="cyan"/>
        </w:rPr>
        <w:t>The same structures that render life predictable</w:t>
      </w:r>
      <w:r w:rsidRPr="0098486D">
        <w:rPr>
          <w:rStyle w:val="StyleUnderline"/>
        </w:rPr>
        <w:t>, secure,</w:t>
      </w:r>
      <w:r w:rsidRPr="00BD2C23">
        <w:rPr>
          <w:sz w:val="14"/>
        </w:rPr>
        <w:t xml:space="preserve"> comfortable, </w:t>
      </w:r>
      <w:r w:rsidRPr="0098486D">
        <w:rPr>
          <w:rStyle w:val="StyleUnderline"/>
        </w:rPr>
        <w:t xml:space="preserve">and pleasant for many </w:t>
      </w:r>
      <w:r w:rsidRPr="005C4464">
        <w:rPr>
          <w:rStyle w:val="StyleUnderline"/>
          <w:highlight w:val="cyan"/>
        </w:rPr>
        <w:t>destroy the lives of</w:t>
      </w:r>
      <w:r w:rsidRPr="0098486D">
        <w:rPr>
          <w:rStyle w:val="StyleUnderline"/>
        </w:rPr>
        <w:t xml:space="preserve"> </w:t>
      </w:r>
      <w:r w:rsidRPr="005C4464">
        <w:rPr>
          <w:rStyle w:val="StyleUnderline"/>
          <w:highlight w:val="cyan"/>
        </w:rPr>
        <w:t>others</w:t>
      </w:r>
      <w:r w:rsidRPr="00BD2C23">
        <w:rPr>
          <w:sz w:val="14"/>
        </w:rPr>
        <w:t xml:space="preserve"> like </w:t>
      </w:r>
      <w:proofErr w:type="spellStart"/>
      <w:r w:rsidRPr="00BD2C23">
        <w:rPr>
          <w:sz w:val="14"/>
        </w:rPr>
        <w:t>Windora</w:t>
      </w:r>
      <w:proofErr w:type="spellEnd"/>
      <w:r w:rsidRPr="00BD2C23">
        <w:rPr>
          <w:sz w:val="14"/>
        </w:rPr>
        <w:t xml:space="preserve"> </w:t>
      </w:r>
      <w:r w:rsidRPr="0098486D">
        <w:rPr>
          <w:rStyle w:val="StyleUnderline"/>
        </w:rPr>
        <w:t>through suffering, poverty, ill health, and violence.</w:t>
      </w:r>
      <w:r w:rsidRPr="00BD2C23">
        <w:rPr>
          <w:sz w:val="14"/>
        </w:rPr>
        <w:t xml:space="preserve"> These structures are neither natural nor neutral. The results of structural violence can be </w:t>
      </w:r>
      <w:proofErr w:type="gramStart"/>
      <w:r w:rsidRPr="00BD2C23">
        <w:rPr>
          <w:sz w:val="14"/>
        </w:rPr>
        <w:t>very specific</w:t>
      </w:r>
      <w:proofErr w:type="gramEnd"/>
      <w:r w:rsidRPr="00BD2C23">
        <w:rPr>
          <w:sz w:val="14"/>
        </w:rPr>
        <w:t xml:space="preserve">. In </w:t>
      </w:r>
      <w:proofErr w:type="spellStart"/>
      <w:r w:rsidRPr="00BD2C23">
        <w:rPr>
          <w:sz w:val="14"/>
        </w:rPr>
        <w:t>Windora's</w:t>
      </w:r>
      <w:proofErr w:type="spellEnd"/>
      <w:r w:rsidRPr="00BD2C23">
        <w:rPr>
          <w:sz w:val="14"/>
        </w:rPr>
        <w:t xml:space="preserve"> case, stroke precursors like chronic stress, poverty, and uncontrolled hypertension run rampant in neighborhoods like hers. </w:t>
      </w:r>
      <w:proofErr w:type="spellStart"/>
      <w:r w:rsidRPr="00BD2C23">
        <w:rPr>
          <w:sz w:val="14"/>
        </w:rPr>
        <w:t>Windora's</w:t>
      </w:r>
      <w:proofErr w:type="spellEnd"/>
      <w:r w:rsidRPr="00BD2C23">
        <w:rPr>
          <w:sz w:val="14"/>
        </w:rPr>
        <w:t xml:space="preserve"> ill- ness was caused by neither her cultural traits nor the failure of her will. Her stroke was caused in part by inequity. She is one of the lucky ones, though, because even while structural violence ravages her neighbor- hood, it also abets the concentration of expensive stroke-intervention services in certain wealthy teaching hospitals like mine. If I can get to her in time, we can still help her. Income Inequality and Life Inequality Of course, </w:t>
      </w:r>
      <w:proofErr w:type="spellStart"/>
      <w:r w:rsidRPr="00BD2C23">
        <w:rPr>
          <w:sz w:val="14"/>
        </w:rPr>
        <w:t>Windora</w:t>
      </w:r>
      <w:proofErr w:type="spellEnd"/>
      <w:r w:rsidRPr="00BD2C23">
        <w:rPr>
          <w:sz w:val="14"/>
        </w:rPr>
        <w:t xml:space="preserve"> is not the only person struggling on account of structural violence. Countless neighborhoods nationwide are suffering from it, and people are dying needlessly young as a result. The mag- </w:t>
      </w:r>
      <w:proofErr w:type="spellStart"/>
      <w:r w:rsidRPr="00BD2C23">
        <w:rPr>
          <w:sz w:val="14"/>
        </w:rPr>
        <w:t>nitude</w:t>
      </w:r>
      <w:proofErr w:type="spellEnd"/>
      <w:r w:rsidRPr="00BD2C23">
        <w:rPr>
          <w:sz w:val="14"/>
        </w:rPr>
        <w:t xml:space="preserve"> of this excess mortality is mind-boggling. In 2009 my friend Dr. Steve Whitman asked a simple question, "How many extra black people died in Chicago each year, just because they do not have the same health outcomes as white Chicagoans?" When the Chicago Sun- Times got wind of his results, it ran them on the front page in bold white letters on a black background: "health care gap kills 3200 Black Chicagoans and the Gap is Growing." The paper styled the head- line to look like the declaration of war that it should have been. In fact, </w:t>
      </w:r>
      <w:r w:rsidRPr="0098486D">
        <w:rPr>
          <w:rStyle w:val="StyleUnderline"/>
        </w:rPr>
        <w:t>we did find ourselves at war</w:t>
      </w:r>
      <w:r w:rsidRPr="00BD2C23">
        <w:rPr>
          <w:sz w:val="14"/>
        </w:rPr>
        <w:t xml:space="preserve"> not long ago, </w:t>
      </w:r>
      <w:r w:rsidRPr="0098486D">
        <w:rPr>
          <w:rStyle w:val="StyleUnderline"/>
        </w:rPr>
        <w:t>when almost 3,000</w:t>
      </w:r>
      <w:r w:rsidRPr="00BD2C23">
        <w:rPr>
          <w:sz w:val="14"/>
        </w:rPr>
        <w:t xml:space="preserve"> Americans </w:t>
      </w:r>
      <w:r w:rsidRPr="0098486D">
        <w:rPr>
          <w:rStyle w:val="StyleUnderline"/>
        </w:rPr>
        <w:t>were killed. That was</w:t>
      </w:r>
      <w:r w:rsidRPr="00BD2C23">
        <w:rPr>
          <w:sz w:val="14"/>
        </w:rPr>
        <w:t xml:space="preserve"> </w:t>
      </w:r>
      <w:r w:rsidRPr="0098486D">
        <w:rPr>
          <w:rStyle w:val="StyleUnderline"/>
        </w:rPr>
        <w:t>September 11</w:t>
      </w:r>
      <w:r w:rsidRPr="00BD2C23">
        <w:rPr>
          <w:sz w:val="14"/>
        </w:rPr>
        <w:t xml:space="preserve">,2001. That tragedy </w:t>
      </w:r>
      <w:r w:rsidRPr="0098486D">
        <w:rPr>
          <w:rStyle w:val="StyleUnderline"/>
        </w:rPr>
        <w:t>propelled the country to war</w:t>
      </w:r>
      <w:r w:rsidRPr="00BD2C23">
        <w:rPr>
          <w:sz w:val="14"/>
        </w:rPr>
        <w:t xml:space="preserve">. </w:t>
      </w:r>
      <w:r w:rsidRPr="0098486D">
        <w:rPr>
          <w:rStyle w:val="StyleUnderline"/>
        </w:rPr>
        <w:t>Yet when it comes to the premature deaths of urban Americans, no disaster area has been declared</w:t>
      </w:r>
      <w:r w:rsidRPr="00BD2C23">
        <w:rPr>
          <w:sz w:val="14"/>
        </w:rPr>
        <w:t xml:space="preserve">. No federal troops have been called up. No acts of Congress have been passed. </w:t>
      </w:r>
      <w:r w:rsidRPr="0098486D">
        <w:rPr>
          <w:rStyle w:val="StyleUnderline"/>
        </w:rPr>
        <w:t>Yet this disaster is even worse</w:t>
      </w:r>
      <w:r w:rsidRPr="00BD2C23">
        <w:rPr>
          <w:sz w:val="14"/>
        </w:rPr>
        <w:t xml:space="preserve">: </w:t>
      </w:r>
      <w:r w:rsidRPr="0098486D">
        <w:rPr>
          <w:rStyle w:val="StyleUnderline"/>
        </w:rPr>
        <w:t>those 3,200 black people were in Chicago alone, in just one year</w:t>
      </w:r>
      <w:r w:rsidRPr="00BD2C23">
        <w:rPr>
          <w:sz w:val="14"/>
        </w:rPr>
        <w:t xml:space="preserve">. </w:t>
      </w:r>
      <w:r w:rsidRPr="005C4464">
        <w:rPr>
          <w:rStyle w:val="StyleUnderline"/>
          <w:highlight w:val="cyan"/>
        </w:rPr>
        <w:t>Nationwide</w:t>
      </w:r>
      <w:r w:rsidRPr="0098486D">
        <w:rPr>
          <w:rStyle w:val="StyleUnderline"/>
        </w:rPr>
        <w:t xml:space="preserve"> each year, </w:t>
      </w:r>
      <w:r w:rsidRPr="005C4464">
        <w:rPr>
          <w:rStyle w:val="StyleUnderline"/>
          <w:highlight w:val="cyan"/>
        </w:rPr>
        <w:t>more than 60,000 black people die</w:t>
      </w:r>
      <w:r w:rsidRPr="0098486D">
        <w:rPr>
          <w:rStyle w:val="StyleUnderline"/>
        </w:rPr>
        <w:t xml:space="preserve"> </w:t>
      </w:r>
      <w:r w:rsidRPr="005C4464">
        <w:rPr>
          <w:rStyle w:val="StyleUnderline"/>
          <w:highlight w:val="cyan"/>
        </w:rPr>
        <w:t xml:space="preserve">prematurely </w:t>
      </w:r>
      <w:r w:rsidRPr="004F36C7">
        <w:rPr>
          <w:rStyle w:val="StyleUnderline"/>
        </w:rPr>
        <w:t>because</w:t>
      </w:r>
      <w:r w:rsidRPr="0098486D">
        <w:rPr>
          <w:rStyle w:val="StyleUnderline"/>
        </w:rPr>
        <w:t xml:space="preserve"> of inequality</w:t>
      </w:r>
      <w:r w:rsidRPr="00BD2C23">
        <w:rPr>
          <w:sz w:val="14"/>
        </w:rPr>
        <w:t xml:space="preserve">.10 While blacks suffer the most from this, it is not just an issue of racism, though racism has been a unique and powerful transmitter of violence in America for over four hundred years.11 </w:t>
      </w:r>
      <w:r w:rsidRPr="0098486D">
        <w:rPr>
          <w:rStyle w:val="StyleUnderline"/>
        </w:rPr>
        <w:t xml:space="preserve">Beyond </w:t>
      </w:r>
      <w:r w:rsidRPr="005C4464">
        <w:rPr>
          <w:rStyle w:val="StyleUnderline"/>
          <w:highlight w:val="cyan"/>
        </w:rPr>
        <w:t>racism, poverty and</w:t>
      </w:r>
      <w:r w:rsidRPr="0098486D">
        <w:rPr>
          <w:rStyle w:val="StyleUnderline"/>
        </w:rPr>
        <w:t xml:space="preserve"> income </w:t>
      </w:r>
      <w:r w:rsidRPr="005C4464">
        <w:rPr>
          <w:rStyle w:val="StyleUnderline"/>
          <w:highlight w:val="cyan"/>
        </w:rPr>
        <w:t>inequality</w:t>
      </w:r>
      <w:r w:rsidRPr="00BD2C23">
        <w:rPr>
          <w:sz w:val="14"/>
        </w:rPr>
        <w:t xml:space="preserve"> perpetuated by exploitative market capitalism </w:t>
      </w:r>
      <w:r w:rsidRPr="005C4464">
        <w:rPr>
          <w:rStyle w:val="StyleUnderline"/>
          <w:highlight w:val="cyan"/>
        </w:rPr>
        <w:t>are</w:t>
      </w:r>
      <w:r w:rsidRPr="0098486D">
        <w:rPr>
          <w:rStyle w:val="StyleUnderline"/>
        </w:rPr>
        <w:t xml:space="preserve"> singular </w:t>
      </w:r>
      <w:r w:rsidRPr="005C4464">
        <w:rPr>
          <w:rStyle w:val="StyleUnderline"/>
          <w:highlight w:val="cyan"/>
        </w:rPr>
        <w:t>agents of transmission of disease and early death</w:t>
      </w:r>
      <w:r w:rsidRPr="00BD2C23">
        <w:rPr>
          <w:sz w:val="14"/>
        </w:rPr>
        <w:t xml:space="preserve">. As a result, there is a new and alarming pattern of declining life expectancy among white Americans as well. Deaths from drug overdoses in young white Americans ages 25 to 34 have exploded to levels not seen since the AIDS epidemic. This generation is the first since the Vietnam War era to experience higher death rates than the prior generation.12 White Americans ages 45 to 54 have experienced skyrocketing premature death rates as well, something not seen in any other developed </w:t>
      </w:r>
      <w:proofErr w:type="spellStart"/>
      <w:r w:rsidRPr="00BD2C23">
        <w:rPr>
          <w:sz w:val="14"/>
        </w:rPr>
        <w:t>na</w:t>
      </w:r>
      <w:proofErr w:type="spellEnd"/>
      <w:r w:rsidRPr="00BD2C23">
        <w:rPr>
          <w:sz w:val="14"/>
        </w:rPr>
        <w:t xml:space="preserve">- tion.13 White men in some Appalachian towns live on average twenty years less than white men a half-day's drive away in the suburbs of Washington, DC. Men in McDowell County, West Virginia, can look forward to a life expectancy only slightly better than that of Haitians.14 But those statistics reflect averages, and </w:t>
      </w:r>
      <w:r w:rsidRPr="0098486D">
        <w:rPr>
          <w:rStyle w:val="StyleUnderline"/>
        </w:rPr>
        <w:t>every death from structural violence is a person</w:t>
      </w:r>
      <w:r w:rsidRPr="00BD2C23">
        <w:rPr>
          <w:sz w:val="14"/>
        </w:rPr>
        <w:t xml:space="preserve">. When these illnesses and deaths are occurring one at a time in neighborhoods that society has decided not to care about—neighborhoods populated by poor, black, or brown people— </w:t>
      </w:r>
      <w:r w:rsidRPr="0098486D">
        <w:rPr>
          <w:rStyle w:val="StyleUnderline"/>
        </w:rPr>
        <w:t>they seem easy to overlook, especially if you are among the fortunate few who are doing incredibly well</w:t>
      </w:r>
      <w:r w:rsidRPr="00BD2C23">
        <w:rPr>
          <w:sz w:val="14"/>
        </w:rPr>
        <w:t xml:space="preserve">. </w:t>
      </w:r>
      <w:r w:rsidRPr="005C4464">
        <w:rPr>
          <w:rStyle w:val="StyleUnderline"/>
          <w:highlight w:val="cyan"/>
        </w:rPr>
        <w:t>The tide of prosperity</w:t>
      </w:r>
      <w:r w:rsidRPr="0098486D">
        <w:rPr>
          <w:rStyle w:val="StyleUnderline"/>
        </w:rPr>
        <w:t xml:space="preserve"> in America </w:t>
      </w:r>
      <w:r w:rsidRPr="005C4464">
        <w:rPr>
          <w:rStyle w:val="StyleUnderline"/>
          <w:highlight w:val="cyan"/>
        </w:rPr>
        <w:t>has lifted some boats while others have swamped</w:t>
      </w:r>
      <w:r w:rsidRPr="00BD2C23">
        <w:rPr>
          <w:sz w:val="14"/>
        </w:rPr>
        <w:t xml:space="preserve">. Paul Farmer, the physician-anthropologist who founded Partners in Health, an inter- national human rights agency, reflects on the juxtaposition of "unprecedented bounty and untold penury": "It stands to reason that </w:t>
      </w:r>
      <w:r w:rsidRPr="0098486D">
        <w:rPr>
          <w:rStyle w:val="StyleUnderline"/>
        </w:rPr>
        <w:t>as beneficiaries of growing inequality, we do not like to be reminded of misery of squalor and failure</w:t>
      </w:r>
      <w:r w:rsidRPr="00BD2C23">
        <w:rPr>
          <w:sz w:val="14"/>
        </w:rPr>
        <w:t xml:space="preserve">. Our popular culture provides us with no shortage of anesthesia."15 </w:t>
      </w:r>
      <w:r w:rsidRPr="0098486D">
        <w:rPr>
          <w:rStyle w:val="StyleUnderline"/>
        </w:rPr>
        <w:t>That people suffer and die prematurely because of inequality is wrong. It is wrong from an ethical perspective</w:t>
      </w:r>
      <w:r w:rsidRPr="00BD2C23">
        <w:rPr>
          <w:sz w:val="14"/>
        </w:rPr>
        <w:t xml:space="preserve">. It is wrong from a fair- ness perspective. </w:t>
      </w:r>
      <w:r w:rsidRPr="0098486D">
        <w:rPr>
          <w:rStyle w:val="StyleUnderline"/>
        </w:rPr>
        <w:t xml:space="preserve">And it is wrong </w:t>
      </w:r>
      <w:r w:rsidRPr="0098486D">
        <w:rPr>
          <w:rStyle w:val="Emphasis"/>
        </w:rPr>
        <w:t>because we have the means to fix it</w:t>
      </w:r>
      <w:r w:rsidRPr="0098486D">
        <w:rPr>
          <w:rStyle w:val="StyleUnderline"/>
        </w:rPr>
        <w:t>.</w:t>
      </w:r>
    </w:p>
    <w:p w14:paraId="47D1E1F4" w14:textId="77777777" w:rsidR="0031702E" w:rsidRDefault="0031702E" w:rsidP="0031702E">
      <w:pPr>
        <w:pStyle w:val="Heading4"/>
      </w:pPr>
      <w:r>
        <w:t>And collateral consequences disproportionately affect Black communities --- deny access to resources necessary to live</w:t>
      </w:r>
    </w:p>
    <w:p w14:paraId="59D61CB0" w14:textId="77777777" w:rsidR="0031702E" w:rsidRPr="004F286F" w:rsidRDefault="0031702E" w:rsidP="0031702E"/>
    <w:p w14:paraId="06177DFB" w14:textId="77777777" w:rsidR="0031702E" w:rsidRDefault="0031702E" w:rsidP="0031702E">
      <w:pPr>
        <w:rPr>
          <w:rStyle w:val="Style13ptBold"/>
        </w:rPr>
      </w:pPr>
      <w:proofErr w:type="spellStart"/>
      <w:r>
        <w:rPr>
          <w:rStyle w:val="Style13ptBold"/>
        </w:rPr>
        <w:t>Finzen</w:t>
      </w:r>
      <w:proofErr w:type="spellEnd"/>
      <w:r>
        <w:rPr>
          <w:rStyle w:val="Style13ptBold"/>
        </w:rPr>
        <w:t xml:space="preserve"> ‘5</w:t>
      </w:r>
    </w:p>
    <w:p w14:paraId="4E48CB31" w14:textId="77777777" w:rsidR="0031702E" w:rsidRPr="004F286F" w:rsidRDefault="0031702E" w:rsidP="0031702E">
      <w:r w:rsidRPr="004F286F">
        <w:t xml:space="preserve">(Margaret, J.D., Georgetown University Law Center, 2005, “Systems of Oppression: The Collateral Consequences of Incarceration and Their Effects on Black Communities,” </w:t>
      </w:r>
      <w:proofErr w:type="spellStart"/>
      <w:r w:rsidRPr="004F286F">
        <w:t>pg</w:t>
      </w:r>
      <w:proofErr w:type="spellEnd"/>
      <w:r w:rsidRPr="004F286F">
        <w:t xml:space="preserve"> lexis//um-</w:t>
      </w:r>
      <w:proofErr w:type="spellStart"/>
      <w:r w:rsidRPr="004F286F">
        <w:t>ef</w:t>
      </w:r>
      <w:proofErr w:type="spellEnd"/>
      <w:r w:rsidRPr="004F286F">
        <w:t>)</w:t>
      </w:r>
    </w:p>
    <w:p w14:paraId="1C73E1FC" w14:textId="79FE9640" w:rsidR="0031702E" w:rsidRPr="00B40891" w:rsidRDefault="0031702E" w:rsidP="0031702E">
      <w:pPr>
        <w:rPr>
          <w:rFonts w:cstheme="minorHAnsi"/>
          <w:sz w:val="8"/>
        </w:rPr>
      </w:pPr>
      <w:r w:rsidRPr="004F286F">
        <w:rPr>
          <w:rStyle w:val="StyleUnderline"/>
        </w:rPr>
        <w:t>The biggest challenge facing Black communities today is</w:t>
      </w:r>
      <w:r w:rsidRPr="004F286F">
        <w:rPr>
          <w:rFonts w:cstheme="minorHAnsi"/>
          <w:sz w:val="8"/>
        </w:rPr>
        <w:t xml:space="preserve"> not any one of these significant collateral consequences laws, but rather </w:t>
      </w:r>
      <w:r w:rsidRPr="004F286F">
        <w:rPr>
          <w:rStyle w:val="StyleUnderline"/>
        </w:rPr>
        <w:t xml:space="preserve">the way </w:t>
      </w:r>
      <w:r w:rsidRPr="004F286F">
        <w:rPr>
          <w:sz w:val="8"/>
        </w:rPr>
        <w:t>in which these myriad</w:t>
      </w:r>
      <w:r w:rsidRPr="004F286F">
        <w:rPr>
          <w:rStyle w:val="StyleUnderline"/>
        </w:rPr>
        <w:t xml:space="preserve"> collateral consequences laws intersect to create insurmountable hardships </w:t>
      </w:r>
      <w:r w:rsidRPr="004F286F">
        <w:rPr>
          <w:rStyle w:val="Emphasis"/>
        </w:rPr>
        <w:t>and deny the most basic elements of life necessary for existence</w:t>
      </w:r>
      <w:r w:rsidRPr="004F286F">
        <w:rPr>
          <w:rFonts w:cstheme="minorHAnsi"/>
          <w:sz w:val="8"/>
        </w:rPr>
        <w:t xml:space="preserve">. The American Bar Association (ABA) is well aware of the danger these laws pose, as it outlines a "typical case" that illustrates the breadth and impact of these laws: Consider </w:t>
      </w:r>
      <w:r w:rsidRPr="004F286F">
        <w:rPr>
          <w:rStyle w:val="StyleUnderline"/>
        </w:rPr>
        <w:t>a first offender who pleads guilty to a felony possession of marijuana</w:t>
      </w:r>
      <w:r w:rsidRPr="004F286F">
        <w:rPr>
          <w:rFonts w:cstheme="minorHAnsi"/>
          <w:sz w:val="8"/>
        </w:rPr>
        <w:t xml:space="preserve">. This offender may be sentenced to a conventional term of probation, community service, and court costs. Unbeknownst to this offender, and perhaps to any other actor in the sentencing process, as a result of his conviction, he </w:t>
      </w:r>
      <w:r w:rsidRPr="004F286F">
        <w:rPr>
          <w:rStyle w:val="Emphasis"/>
        </w:rPr>
        <w:t xml:space="preserve">may be ineligible for many </w:t>
      </w:r>
      <w:proofErr w:type="gramStart"/>
      <w:r w:rsidRPr="004F286F">
        <w:rPr>
          <w:rStyle w:val="Emphasis"/>
        </w:rPr>
        <w:t>federally-funded</w:t>
      </w:r>
      <w:proofErr w:type="gramEnd"/>
      <w:r w:rsidRPr="004F286F">
        <w:rPr>
          <w:rStyle w:val="Emphasis"/>
        </w:rPr>
        <w:t xml:space="preserve"> health and welfare benefits, food stamps, public housing, and educational assistance</w:t>
      </w:r>
      <w:r w:rsidRPr="004F286F">
        <w:rPr>
          <w:rFonts w:cstheme="minorHAnsi"/>
          <w:sz w:val="8"/>
        </w:rPr>
        <w:t xml:space="preserve">. His </w:t>
      </w:r>
      <w:proofErr w:type="spellStart"/>
      <w:r w:rsidRPr="004F286F">
        <w:rPr>
          <w:rFonts w:cstheme="minorHAnsi"/>
          <w:sz w:val="8"/>
        </w:rPr>
        <w:t>drivers</w:t>
      </w:r>
      <w:proofErr w:type="spellEnd"/>
      <w:r w:rsidRPr="004F286F">
        <w:rPr>
          <w:rFonts w:cstheme="minorHAnsi"/>
          <w:sz w:val="8"/>
        </w:rPr>
        <w:t xml:space="preserve"> license may be automatically suspended, he may no longer be eligible for certain employment and professional licenses, and he may be unable to obtain life or automobile insurance. He will be precluded from enlisting in the military, possessing a firearm, or obtaining security clearance. If the child of an elderly parent, he may be disqualified from serving as a court-appointed guardian, or as executor of his parent's estate. If a citizen, he </w:t>
      </w:r>
      <w:r w:rsidRPr="004F286F">
        <w:rPr>
          <w:rStyle w:val="StyleUnderline"/>
        </w:rPr>
        <w:t>may no longer have the right to vote and serve on a jury</w:t>
      </w:r>
      <w:r w:rsidRPr="004F286F">
        <w:rPr>
          <w:rFonts w:cstheme="minorHAnsi"/>
          <w:sz w:val="8"/>
        </w:rPr>
        <w:t xml:space="preserve">; if not, he will become immediately deportable. In a case like this, </w:t>
      </w:r>
      <w:r w:rsidRPr="004F286F">
        <w:rPr>
          <w:rStyle w:val="StyleUnderline"/>
        </w:rPr>
        <w:t>the real punishment is imposed through the collateral consequences</w:t>
      </w:r>
      <w:r w:rsidRPr="004F286F">
        <w:rPr>
          <w:rFonts w:cstheme="minorHAnsi"/>
          <w:sz w:val="8"/>
        </w:rPr>
        <w:t xml:space="preserve"> of the guilty plea that may only gradually become clear, not by the judge at sentencing. 167 </w:t>
      </w:r>
      <w:r w:rsidRPr="004F286F">
        <w:rPr>
          <w:rStyle w:val="StyleUnderline"/>
        </w:rPr>
        <w:t>Collateral consequences laws will affect more and more people as the prison population continues to explode</w:t>
      </w:r>
      <w:r w:rsidRPr="004F286F">
        <w:rPr>
          <w:rFonts w:cstheme="minorHAnsi"/>
          <w:sz w:val="8"/>
        </w:rPr>
        <w:t xml:space="preserve">, from a mere 200,000 people imprisoned in 1970 to over two million people today. 168 </w:t>
      </w:r>
      <w:r w:rsidRPr="004F286F">
        <w:rPr>
          <w:rStyle w:val="StyleUnderline"/>
        </w:rPr>
        <w:t>Not only are those convicted of a felony,</w:t>
      </w:r>
      <w:r>
        <w:rPr>
          <w:rStyle w:val="StyleUnderline"/>
        </w:rPr>
        <w:t xml:space="preserve"> </w:t>
      </w:r>
      <w:r w:rsidRPr="004F286F">
        <w:rPr>
          <w:rStyle w:val="StyleUnderline"/>
        </w:rPr>
        <w:t>[*321]</w:t>
      </w:r>
      <w:r>
        <w:rPr>
          <w:rStyle w:val="StyleUnderline"/>
        </w:rPr>
        <w:t xml:space="preserve"> </w:t>
      </w:r>
      <w:r w:rsidRPr="004F286F">
        <w:rPr>
          <w:rStyle w:val="StyleUnderline"/>
        </w:rPr>
        <w:t>especially a drug crime, particularly susceptible to the damaging intersection of the collateral consequences laws, but members of Black communities</w:t>
      </w:r>
      <w:r w:rsidRPr="004F286F">
        <w:rPr>
          <w:rFonts w:cstheme="minorHAnsi"/>
          <w:sz w:val="8"/>
        </w:rPr>
        <w:t xml:space="preserve"> -- </w:t>
      </w:r>
      <w:r w:rsidRPr="004F286F">
        <w:rPr>
          <w:rStyle w:val="Emphasis"/>
        </w:rPr>
        <w:t>who are disproportionately policed, arrested, prosecuted, and convicted -- are even more vulnerable</w:t>
      </w:r>
      <w:r w:rsidRPr="004F286F">
        <w:rPr>
          <w:rFonts w:cstheme="minorHAnsi"/>
          <w:sz w:val="8"/>
        </w:rPr>
        <w:t xml:space="preserve">. 169 In isolation, </w:t>
      </w:r>
      <w:r w:rsidRPr="004F286F">
        <w:rPr>
          <w:rStyle w:val="StyleUnderline"/>
        </w:rPr>
        <w:t xml:space="preserve">each collateral </w:t>
      </w:r>
      <w:proofErr w:type="gramStart"/>
      <w:r w:rsidRPr="004F286F">
        <w:rPr>
          <w:rStyle w:val="StyleUnderline"/>
        </w:rPr>
        <w:t>consequences</w:t>
      </w:r>
      <w:proofErr w:type="gramEnd"/>
      <w:r w:rsidRPr="004F286F">
        <w:rPr>
          <w:rStyle w:val="StyleUnderline"/>
        </w:rPr>
        <w:t xml:space="preserve"> law makes rehabilitation challenging for ex-offenders; collectively, these laws make reintegration even more difficult, if not impossible,</w:t>
      </w:r>
      <w:r w:rsidRPr="004F286F">
        <w:rPr>
          <w:rFonts w:cstheme="minorHAnsi"/>
          <w:sz w:val="8"/>
        </w:rPr>
        <w:t xml:space="preserve"> when they intersect to impact ex-offenders all at once. </w:t>
      </w:r>
      <w:r w:rsidRPr="004F286F">
        <w:rPr>
          <w:rStyle w:val="StyleUnderline"/>
        </w:rPr>
        <w:t xml:space="preserve">An ex-offender's inability to obtain public housing may be compounded by the fact that he or she is unable to obtain employment </w:t>
      </w:r>
      <w:r w:rsidRPr="004F286F">
        <w:rPr>
          <w:rFonts w:cstheme="minorHAnsi"/>
          <w:sz w:val="8"/>
        </w:rPr>
        <w:t xml:space="preserve">in order to secure an alternative means of housing. Also, </w:t>
      </w:r>
      <w:r w:rsidRPr="004F286F">
        <w:rPr>
          <w:rStyle w:val="StyleUnderline"/>
        </w:rPr>
        <w:t>lack of employment only further exacerbates the ex-offender's ineligibility for welfare and food stamps</w:t>
      </w:r>
      <w:r w:rsidRPr="004F286F">
        <w:rPr>
          <w:rFonts w:cstheme="minorHAnsi"/>
          <w:sz w:val="8"/>
        </w:rPr>
        <w:t xml:space="preserve"> because he or she has no source of income to purchase food. Moreover, </w:t>
      </w:r>
      <w:r w:rsidRPr="004F286F">
        <w:rPr>
          <w:rStyle w:val="StyleUnderline"/>
        </w:rPr>
        <w:t>without access to loans, the ex-offender has no hopes of obtaining further education to gain skills that might make it possible to find employment</w:t>
      </w:r>
      <w:r w:rsidRPr="004F286F">
        <w:rPr>
          <w:rFonts w:cstheme="minorHAnsi"/>
          <w:sz w:val="8"/>
        </w:rPr>
        <w:t xml:space="preserve">. </w:t>
      </w:r>
      <w:r w:rsidRPr="004F286F">
        <w:rPr>
          <w:rStyle w:val="StyleUnderline"/>
        </w:rPr>
        <w:t>Without access to food, housing, employment, or education, it becomes nearly impossible for an ex-offender to successfully reintegrate into society and turn away from a life of crime</w:t>
      </w:r>
      <w:r w:rsidRPr="004F286F">
        <w:rPr>
          <w:rFonts w:cstheme="minorHAnsi"/>
          <w:sz w:val="8"/>
        </w:rPr>
        <w:t xml:space="preserve">. When one examines the intersection of collateral consequences laws and their disproportionate impact on Black communities, one wonders how these laws could ever have been passed in the first place. Even more curious is how </w:t>
      </w:r>
      <w:r w:rsidRPr="004F286F">
        <w:rPr>
          <w:rStyle w:val="StyleUnderline"/>
        </w:rPr>
        <w:t>these laws continue to exist, given the devastating effects that studies have shown them to have</w:t>
      </w:r>
      <w:r w:rsidRPr="004F286F">
        <w:rPr>
          <w:rFonts w:cstheme="minorHAnsi"/>
          <w:sz w:val="8"/>
        </w:rPr>
        <w:t xml:space="preserve">. The apparent answer to these perplexing questions is quite simple: while many legislators may have initially had good intentions in introducing these laws, the lawmakers did not realize at the time the negative consequences that these laws would have, and most lawmakers still do not realize their effects today. Marc Mauer of The Sentencing Project explains how lawmakers overlooked the possible implications of collateral consequences laws: Although the policies enacted in the past quarter century have not necessarily been designed to incarcerate increasing populations of African Americans, it could have been easily foreseen that this was a likely impact. In legislative bodies, however, the far-reaching implications of legislation are rarely discussed, yielding instead to "quick fixes." </w:t>
      </w:r>
      <w:r w:rsidRPr="004F286F">
        <w:rPr>
          <w:sz w:val="8"/>
        </w:rPr>
        <w:t xml:space="preserve">If we are </w:t>
      </w:r>
      <w:proofErr w:type="gramStart"/>
      <w:r w:rsidRPr="004F286F">
        <w:rPr>
          <w:sz w:val="8"/>
        </w:rPr>
        <w:t>truly committed</w:t>
      </w:r>
      <w:proofErr w:type="gramEnd"/>
      <w:r w:rsidRPr="004F286F">
        <w:rPr>
          <w:sz w:val="8"/>
        </w:rPr>
        <w:t xml:space="preserve"> both to reducing crime and to achieving racial justice, an open examination of the factors behind the disproportionate incarceration of African American men and women is critical</w:t>
      </w:r>
      <w:r w:rsidRPr="004F286F">
        <w:rPr>
          <w:rFonts w:cstheme="minorHAnsi"/>
          <w:sz w:val="8"/>
        </w:rPr>
        <w:t xml:space="preserve">. 170 Mauer further admonishes legislators as "derelict" for failing to forecast the impact of criminal justice policies. 171 In his analysis on the effect of criminal justice policies on Black communities, Tony Whitehead offers the harshest and starkest critique: "It is the intergenerational and broader impact of the Black male incarceration epidemic on African American communities that brings me to  [*322]  conclude that, unless we find some way to bring an end to this epidemic, the periodic charges of white-on-black genocide may have some legitimacy."   172 </w:t>
      </w:r>
      <w:r w:rsidRPr="004F286F">
        <w:rPr>
          <w:rStyle w:val="StyleUnderline"/>
        </w:rPr>
        <w:t>As long as collateral consequences laws remain on the books and operate as broadly as they do today, they will continue to have destabilizing and devastating effects on Black communities.</w:t>
      </w:r>
    </w:p>
    <w:p w14:paraId="11A81254" w14:textId="5D692DBF" w:rsidR="00B40891" w:rsidRDefault="00B40891" w:rsidP="00B40891">
      <w:pPr>
        <w:pStyle w:val="Heading4"/>
      </w:pPr>
      <w:r>
        <w:t xml:space="preserve">And, it is magnified in a COVID-19 environment --- </w:t>
      </w:r>
      <w:proofErr w:type="gramStart"/>
      <w:r>
        <w:t>taking action</w:t>
      </w:r>
      <w:proofErr w:type="gramEnd"/>
      <w:r>
        <w:t xml:space="preserve"> now is critical </w:t>
      </w:r>
    </w:p>
    <w:p w14:paraId="270CDDB1" w14:textId="59E1A00D" w:rsidR="00B40891" w:rsidRDefault="00B40891" w:rsidP="00B40891"/>
    <w:p w14:paraId="29898589" w14:textId="77777777" w:rsidR="00B40891" w:rsidRDefault="00B40891" w:rsidP="00B40891">
      <w:pPr>
        <w:rPr>
          <w:rStyle w:val="Style13ptBold"/>
        </w:rPr>
      </w:pPr>
      <w:proofErr w:type="spellStart"/>
      <w:r>
        <w:rPr>
          <w:rStyle w:val="Style13ptBold"/>
        </w:rPr>
        <w:t>Amang</w:t>
      </w:r>
      <w:proofErr w:type="spellEnd"/>
      <w:r>
        <w:rPr>
          <w:rStyle w:val="Style13ptBold"/>
        </w:rPr>
        <w:t xml:space="preserve"> 6/25/20</w:t>
      </w:r>
    </w:p>
    <w:p w14:paraId="3FC5FD0C" w14:textId="2000E856" w:rsidR="00B40891" w:rsidRPr="00145843" w:rsidRDefault="00B40891" w:rsidP="00B40891">
      <w:pPr>
        <w:rPr>
          <w:sz w:val="18"/>
          <w:szCs w:val="18"/>
        </w:rPr>
      </w:pPr>
      <w:r w:rsidRPr="00145843">
        <w:rPr>
          <w:sz w:val="18"/>
          <w:szCs w:val="18"/>
        </w:rPr>
        <w:t xml:space="preserve">(Akua, associate director for Criminal Justice Reform at American Progress, she works to advance progressive policy solutions that will ensure a more equitable justice system, while providing protections and opportunities for those who have been directly affected by the criminal justice system. Prior to joining American Progress, </w:t>
      </w:r>
      <w:proofErr w:type="spellStart"/>
      <w:r w:rsidRPr="00145843">
        <w:rPr>
          <w:sz w:val="18"/>
          <w:szCs w:val="18"/>
        </w:rPr>
        <w:t>Amaning</w:t>
      </w:r>
      <w:proofErr w:type="spellEnd"/>
      <w:r w:rsidRPr="00145843">
        <w:rPr>
          <w:sz w:val="18"/>
          <w:szCs w:val="18"/>
        </w:rPr>
        <w:t xml:space="preserve"> served as the legislative fellow for U.S. Rep. Mary Gay Scanlon (D-PA), where she worked on </w:t>
      </w:r>
      <w:proofErr w:type="gramStart"/>
      <w:r w:rsidRPr="00145843">
        <w:rPr>
          <w:sz w:val="18"/>
          <w:szCs w:val="18"/>
        </w:rPr>
        <w:t>a number of</w:t>
      </w:r>
      <w:proofErr w:type="gramEnd"/>
      <w:r w:rsidRPr="00145843">
        <w:rPr>
          <w:sz w:val="18"/>
          <w:szCs w:val="18"/>
        </w:rPr>
        <w:t xml:space="preserve"> legislative and policy matters under the member’s House Judiciary Committee portfolio. She also served as the Nancy Hale Social Policy Fellow at Third Way, a nonprofit think tank in Washington, D.C., where she worked in several issue areas, including immigration and policing reform. </w:t>
      </w:r>
      <w:proofErr w:type="spellStart"/>
      <w:r w:rsidRPr="00145843">
        <w:rPr>
          <w:sz w:val="18"/>
          <w:szCs w:val="18"/>
        </w:rPr>
        <w:t>Amaning</w:t>
      </w:r>
      <w:proofErr w:type="spellEnd"/>
      <w:r w:rsidRPr="00145843">
        <w:rPr>
          <w:sz w:val="18"/>
          <w:szCs w:val="18"/>
        </w:rPr>
        <w:t xml:space="preserve"> holds a Master of Law from American University’s Washington College of Law and a J.D. from Atlanta’s John Marshall Law School. She is also a proud alumna of the University of Miami, where she graduated with a B.A. in English literature</w:t>
      </w:r>
      <w:r w:rsidR="00145843">
        <w:rPr>
          <w:sz w:val="18"/>
          <w:szCs w:val="18"/>
        </w:rPr>
        <w:t xml:space="preserve">, </w:t>
      </w:r>
      <w:r w:rsidRPr="00145843">
        <w:rPr>
          <w:sz w:val="18"/>
          <w:szCs w:val="18"/>
        </w:rPr>
        <w:t xml:space="preserve">“Advancing Clean Slate: The Need for Automatic Record Clearance During the Coronavirus Pandemic,” </w:t>
      </w:r>
      <w:proofErr w:type="spellStart"/>
      <w:r w:rsidRPr="00145843">
        <w:rPr>
          <w:sz w:val="18"/>
          <w:szCs w:val="18"/>
        </w:rPr>
        <w:t>pg</w:t>
      </w:r>
      <w:proofErr w:type="spellEnd"/>
      <w:r w:rsidRPr="00145843">
        <w:rPr>
          <w:sz w:val="18"/>
          <w:szCs w:val="18"/>
        </w:rPr>
        <w:t xml:space="preserve"> online @ </w:t>
      </w:r>
      <w:hyperlink r:id="rId11" w:history="1">
        <w:r w:rsidRPr="00145843">
          <w:rPr>
            <w:rStyle w:val="Hyperlink"/>
            <w:sz w:val="18"/>
            <w:szCs w:val="18"/>
          </w:rPr>
          <w:t>https://www.americanprogress.org/issues/criminal-justice/news/2020/06/25/486857/advancing-clean-slate-need-automatic-record-clearance-coronavirus-pandemic/</w:t>
        </w:r>
      </w:hyperlink>
      <w:r w:rsidRPr="00145843">
        <w:rPr>
          <w:sz w:val="18"/>
          <w:szCs w:val="18"/>
        </w:rPr>
        <w:t xml:space="preserve"> //um-</w:t>
      </w:r>
      <w:proofErr w:type="spellStart"/>
      <w:r w:rsidRPr="00145843">
        <w:rPr>
          <w:sz w:val="18"/>
          <w:szCs w:val="18"/>
        </w:rPr>
        <w:t>ef</w:t>
      </w:r>
      <w:proofErr w:type="spellEnd"/>
      <w:r w:rsidRPr="00145843">
        <w:rPr>
          <w:sz w:val="18"/>
          <w:szCs w:val="18"/>
        </w:rPr>
        <w:t>)</w:t>
      </w:r>
    </w:p>
    <w:p w14:paraId="13A6B264" w14:textId="5411804C" w:rsidR="00B40891" w:rsidRPr="00E57DB8" w:rsidRDefault="00B40891" w:rsidP="0031702E">
      <w:pPr>
        <w:rPr>
          <w:sz w:val="12"/>
        </w:rPr>
      </w:pPr>
      <w:r w:rsidRPr="00B40891">
        <w:rPr>
          <w:rStyle w:val="StyleUnderline"/>
        </w:rPr>
        <w:t>The COVID-19 pandemic</w:t>
      </w:r>
      <w:r w:rsidRPr="00B40891">
        <w:rPr>
          <w:sz w:val="12"/>
        </w:rPr>
        <w:t xml:space="preserve"> has led the United States into another recession and </w:t>
      </w:r>
      <w:r w:rsidRPr="00B40891">
        <w:rPr>
          <w:rStyle w:val="StyleUnderline"/>
        </w:rPr>
        <w:t>left millions of Americans without a job or means to support themselves or their families</w:t>
      </w:r>
      <w:r w:rsidRPr="00B40891">
        <w:rPr>
          <w:sz w:val="12"/>
        </w:rPr>
        <w:t xml:space="preserve">. The nation is seeing some of the highest unemployment rates documented since the Great Depression, with little indication of how long the crisis will last. </w:t>
      </w:r>
      <w:r w:rsidRPr="00B40891">
        <w:rPr>
          <w:rStyle w:val="StyleUnderline"/>
        </w:rPr>
        <w:t xml:space="preserve">The process of finding a job will be challenging for many, but for justice-involved individuals who were already struggling to find employment and build a successful life before the pandemic, </w:t>
      </w:r>
      <w:r w:rsidRPr="00B40891">
        <w:rPr>
          <w:rStyle w:val="Emphasis"/>
        </w:rPr>
        <w:t>it will be nearly impossible</w:t>
      </w:r>
      <w:r w:rsidRPr="00B40891">
        <w:rPr>
          <w:rStyle w:val="StyleUnderline"/>
        </w:rPr>
        <w:t>.</w:t>
      </w:r>
      <w:r w:rsidRPr="00B40891">
        <w:rPr>
          <w:sz w:val="12"/>
        </w:rPr>
        <w:t xml:space="preserve"> Of the 13.3 percent of Americans currently looking for work, </w:t>
      </w:r>
      <w:r w:rsidRPr="00B40891">
        <w:rPr>
          <w:rStyle w:val="StyleUnderline"/>
        </w:rPr>
        <w:t>individuals with a criminal record will almost certainly be among those last hired once jobs do reappear.</w:t>
      </w:r>
      <w:r w:rsidRPr="00B40891">
        <w:rPr>
          <w:sz w:val="12"/>
        </w:rPr>
        <w:t xml:space="preserve"> Today, between 70 million and 100 million people in America are living with a criminal record, which hinders their chances of success, even long after they have been exonerated or have completed their sentence. </w:t>
      </w:r>
      <w:r w:rsidRPr="00B40891">
        <w:rPr>
          <w:rStyle w:val="Emphasis"/>
        </w:rPr>
        <w:t>Due to the stigma of their records, these individuals face significant challenges finding a job, securing housing, or attending college—challenges that will only be compounded by the COVID-19 pandemic</w:t>
      </w:r>
      <w:r w:rsidRPr="00B40891">
        <w:rPr>
          <w:sz w:val="12"/>
        </w:rPr>
        <w:t xml:space="preserve">. Having a record often means that </w:t>
      </w:r>
      <w:r w:rsidRPr="00B40891">
        <w:rPr>
          <w:rStyle w:val="StyleUnderline"/>
        </w:rPr>
        <w:t>one moment of indiscretion leads to a lifetime of poverty and suffering.</w:t>
      </w:r>
      <w:r w:rsidRPr="00B40891">
        <w:rPr>
          <w:sz w:val="12"/>
        </w:rPr>
        <w:t xml:space="preserve"> Many policy advocates and lawmakers recognize the need to advance policies aimed at providing these individuals a second chance to fully contribute to their communities. Now, </w:t>
      </w:r>
      <w:proofErr w:type="gramStart"/>
      <w:r w:rsidRPr="00B40891">
        <w:rPr>
          <w:rStyle w:val="StyleUnderline"/>
        </w:rPr>
        <w:t>in the midst of</w:t>
      </w:r>
      <w:proofErr w:type="gramEnd"/>
      <w:r w:rsidRPr="00B40891">
        <w:rPr>
          <w:rStyle w:val="StyleUnderline"/>
        </w:rPr>
        <w:t xml:space="preserve"> a global economic crisis, these policies are needed more than ever before</w:t>
      </w:r>
      <w:r w:rsidRPr="00B40891">
        <w:rPr>
          <w:sz w:val="12"/>
        </w:rPr>
        <w:t>.</w:t>
      </w:r>
    </w:p>
    <w:p w14:paraId="24B1335A" w14:textId="0CCD725F" w:rsidR="0031702E" w:rsidRDefault="0031702E" w:rsidP="0031702E">
      <w:pPr>
        <w:pStyle w:val="Heading3"/>
      </w:pPr>
      <w:r>
        <w:t>Plan</w:t>
      </w:r>
      <w:r w:rsidR="002E60E9">
        <w:t xml:space="preserve"> Options</w:t>
      </w:r>
    </w:p>
    <w:p w14:paraId="3D0BBD04" w14:textId="77777777" w:rsidR="0031702E" w:rsidRDefault="0031702E" w:rsidP="0031702E"/>
    <w:p w14:paraId="065F1A93" w14:textId="77777777" w:rsidR="0031702E" w:rsidRDefault="0031702E" w:rsidP="0031702E">
      <w:pPr>
        <w:pStyle w:val="Heading4"/>
      </w:pPr>
      <w:r>
        <w:t xml:space="preserve">Plan: The United States federal government should enact substantial criminal justice reform by applying strict scrutiny to collateral consequences. </w:t>
      </w:r>
    </w:p>
    <w:p w14:paraId="098B1DE5" w14:textId="77777777" w:rsidR="0031702E" w:rsidRDefault="0031702E" w:rsidP="0031702E"/>
    <w:p w14:paraId="39069F47" w14:textId="77777777" w:rsidR="0031702E" w:rsidRDefault="0031702E" w:rsidP="0031702E"/>
    <w:p w14:paraId="4E192C67" w14:textId="77777777" w:rsidR="0031702E" w:rsidRDefault="0031702E" w:rsidP="0031702E">
      <w:pPr>
        <w:pStyle w:val="Heading4"/>
      </w:pPr>
      <w:r>
        <w:t xml:space="preserve">Plan: The United States federal government should enact substantial criminal justice reform by determining that collateral consequences must not infringe on the right to be treated as an equal moral agent. </w:t>
      </w:r>
    </w:p>
    <w:p w14:paraId="36C93B71" w14:textId="77777777" w:rsidR="0031702E" w:rsidRDefault="0031702E" w:rsidP="0031702E"/>
    <w:p w14:paraId="60FA3797" w14:textId="77777777" w:rsidR="0031702E" w:rsidRDefault="0031702E" w:rsidP="0031702E"/>
    <w:p w14:paraId="7A337804" w14:textId="77777777" w:rsidR="0031702E" w:rsidRDefault="0031702E" w:rsidP="0031702E">
      <w:pPr>
        <w:pStyle w:val="Heading4"/>
      </w:pPr>
      <w:r>
        <w:t xml:space="preserve">Plan: The United States federal government should enact substantial criminal justice reform by recognizing a fundamental right to be treated as an equal moral agent. </w:t>
      </w:r>
    </w:p>
    <w:p w14:paraId="6A753251" w14:textId="77777777" w:rsidR="0031702E" w:rsidRDefault="0031702E" w:rsidP="0031702E">
      <w:pPr>
        <w:pStyle w:val="Heading4"/>
      </w:pPr>
    </w:p>
    <w:p w14:paraId="2D182E3C" w14:textId="2CD0EB87" w:rsidR="0031702E" w:rsidRDefault="002E60E9" w:rsidP="0031702E">
      <w:pPr>
        <w:pStyle w:val="Heading3"/>
      </w:pPr>
      <w:r>
        <w:t>Solvency</w:t>
      </w:r>
    </w:p>
    <w:p w14:paraId="65E87647" w14:textId="77777777" w:rsidR="002E60E9" w:rsidRPr="002E60E9" w:rsidRDefault="002E60E9" w:rsidP="002E60E9"/>
    <w:p w14:paraId="13B2815A" w14:textId="77777777" w:rsidR="0031702E" w:rsidRDefault="0031702E" w:rsidP="0031702E">
      <w:pPr>
        <w:pStyle w:val="Heading4"/>
      </w:pPr>
      <w:r>
        <w:t xml:space="preserve">Contention Two: Solvency </w:t>
      </w:r>
    </w:p>
    <w:p w14:paraId="0E64D333" w14:textId="77777777" w:rsidR="00614A11" w:rsidRDefault="00614A11" w:rsidP="00D82C14">
      <w:pPr>
        <w:pStyle w:val="Heading4"/>
      </w:pPr>
    </w:p>
    <w:p w14:paraId="1BF5D9A5" w14:textId="01F1E4AC" w:rsidR="00D82C14" w:rsidRDefault="00614A11" w:rsidP="00D82C14">
      <w:pPr>
        <w:pStyle w:val="Heading4"/>
      </w:pPr>
      <w:r>
        <w:t>T</w:t>
      </w:r>
      <w:r w:rsidR="00D82C14">
        <w:t xml:space="preserve">he plan creates a </w:t>
      </w:r>
      <w:r w:rsidR="00E03EAE">
        <w:t xml:space="preserve">regulatory </w:t>
      </w:r>
      <w:r w:rsidR="00D82C14">
        <w:t>mechanism to</w:t>
      </w:r>
      <w:r w:rsidR="00D82C14" w:rsidRPr="00BE2784">
        <w:rPr>
          <w:i/>
          <w:iCs w:val="0"/>
          <w:u w:val="single"/>
        </w:rPr>
        <w:t xml:space="preserve"> LIMIT</w:t>
      </w:r>
      <w:r w:rsidR="00D82C14">
        <w:t xml:space="preserve"> collateral consequences</w:t>
      </w:r>
      <w:r w:rsidR="00E03EAE">
        <w:t xml:space="preserve"> and is </w:t>
      </w:r>
      <w:r w:rsidR="00E03EAE" w:rsidRPr="00E03EAE">
        <w:rPr>
          <w:i/>
          <w:iCs w:val="0"/>
          <w:u w:val="single"/>
        </w:rPr>
        <w:t>consistent</w:t>
      </w:r>
      <w:r w:rsidR="00E03EAE">
        <w:t xml:space="preserve"> with previous rulings</w:t>
      </w:r>
      <w:r w:rsidR="00D82C14">
        <w:t xml:space="preserve"> --- </w:t>
      </w:r>
      <w:r w:rsidR="00E03EAE">
        <w:t>Predictive restraints triggers strict scrutiny</w:t>
      </w:r>
    </w:p>
    <w:p w14:paraId="62B26DF2" w14:textId="77777777" w:rsidR="00D82C14" w:rsidRPr="00D82C14" w:rsidRDefault="00D82C14" w:rsidP="00D82C14"/>
    <w:p w14:paraId="50D8E9D3" w14:textId="77777777" w:rsidR="00D82C14" w:rsidRPr="00EE3E22" w:rsidRDefault="00D82C14" w:rsidP="00D82C14">
      <w:r w:rsidRPr="005B27C5">
        <w:rPr>
          <w:b/>
        </w:rPr>
        <w:t>Mayson 15</w:t>
      </w:r>
      <w:r>
        <w:rPr>
          <w:b/>
        </w:rPr>
        <w:t xml:space="preserve"> </w:t>
      </w:r>
      <w:r>
        <w:t xml:space="preserve">(Sandra, </w:t>
      </w:r>
      <w:r w:rsidRPr="005B27C5">
        <w:t xml:space="preserve">Research Fellow, </w:t>
      </w:r>
      <w:proofErr w:type="spellStart"/>
      <w:r w:rsidRPr="005B27C5">
        <w:t>Quattrone</w:t>
      </w:r>
      <w:proofErr w:type="spellEnd"/>
      <w:r w:rsidRPr="005B27C5">
        <w:t xml:space="preserve"> Center for the Fair Administration of Justice, University of Pennsylvania Law School</w:t>
      </w:r>
      <w:r>
        <w:t>, “</w:t>
      </w:r>
      <w:r w:rsidRPr="005B27C5">
        <w:t>Collateral Consequences and the Preventive State</w:t>
      </w:r>
      <w:r>
        <w:t xml:space="preserve">,” Notre Dame Law Review, vol 91, article 6) </w:t>
      </w:r>
    </w:p>
    <w:p w14:paraId="2C8F1E8B" w14:textId="77777777" w:rsidR="00D82C14" w:rsidRPr="00EE3E22" w:rsidRDefault="00D82C14" w:rsidP="00D82C14">
      <w:pPr>
        <w:rPr>
          <w:rStyle w:val="StyleUnderline"/>
        </w:rPr>
      </w:pPr>
      <w:r w:rsidRPr="00D82C14">
        <w:rPr>
          <w:sz w:val="16"/>
        </w:rPr>
        <w:t xml:space="preserve">The second doctrinal argument applies to all targeted, predictive restraints. Unlike restraints like speed bumps or workplace safety rules that target risky activities, </w:t>
      </w:r>
      <w:r w:rsidRPr="00EE3E22">
        <w:rPr>
          <w:rStyle w:val="Emphasis"/>
        </w:rPr>
        <w:t xml:space="preserve">predictive restraints like CCs target </w:t>
      </w:r>
      <w:r w:rsidRPr="00D15B3D">
        <w:rPr>
          <w:rStyle w:val="StyleUnderline"/>
        </w:rPr>
        <w:t>instead</w:t>
      </w:r>
      <w:r w:rsidRPr="00EE3E22">
        <w:rPr>
          <w:rStyle w:val="Emphasis"/>
        </w:rPr>
        <w:t xml:space="preserve"> by identity</w:t>
      </w:r>
      <w:r w:rsidRPr="00EE3E22">
        <w:rPr>
          <w:rStyle w:val="StyleUnderline"/>
        </w:rPr>
        <w:t xml:space="preserve">. They restrain individuals or groups who are perceived to be dangerous, </w:t>
      </w:r>
      <w:proofErr w:type="gramStart"/>
      <w:r w:rsidRPr="00EE3E22">
        <w:rPr>
          <w:rStyle w:val="StyleUnderline"/>
        </w:rPr>
        <w:t>on the basis of</w:t>
      </w:r>
      <w:proofErr w:type="gramEnd"/>
      <w:r w:rsidRPr="00EE3E22">
        <w:rPr>
          <w:rStyle w:val="StyleUnderline"/>
        </w:rPr>
        <w:t xml:space="preserve"> their purported propensity to commit intentional bad acts in the future. There is an argument that any predictive restraint should trigger strict scrutiny, for </w:t>
      </w:r>
      <w:r w:rsidRPr="00EE3E22">
        <w:rPr>
          <w:rStyle w:val="Emphasis"/>
        </w:rPr>
        <w:t>purposes of both equal protection and substantive due process</w:t>
      </w:r>
      <w:r w:rsidRPr="00EE3E22">
        <w:rPr>
          <w:rStyle w:val="StyleUnderline"/>
        </w:rPr>
        <w:t>, because it infringes a fundamental right i</w:t>
      </w:r>
      <w:r>
        <w:rPr>
          <w:rStyle w:val="StyleUnderline"/>
        </w:rPr>
        <w:t>mplicit in constitutional struc</w:t>
      </w:r>
      <w:r w:rsidRPr="00EE3E22">
        <w:rPr>
          <w:rStyle w:val="StyleUnderline"/>
        </w:rPr>
        <w:t>ture and doctrine: the right to be treated as an equal moral agent.</w:t>
      </w:r>
    </w:p>
    <w:p w14:paraId="09937AA3" w14:textId="77777777" w:rsidR="00D82C14" w:rsidRPr="00EE3E22" w:rsidRDefault="00D82C14" w:rsidP="00D82C14">
      <w:pPr>
        <w:rPr>
          <w:sz w:val="16"/>
          <w:szCs w:val="16"/>
        </w:rPr>
      </w:pPr>
      <w:r w:rsidRPr="00D82C14">
        <w:rPr>
          <w:rStyle w:val="StyleUnderline"/>
        </w:rPr>
        <w:t>The doctrinal foundation is the Supreme Court’s preventive-detention case law</w:t>
      </w:r>
      <w:r w:rsidRPr="00EE3E22">
        <w:rPr>
          <w:sz w:val="16"/>
          <w:szCs w:val="16"/>
        </w:rPr>
        <w:t>. As discussed above</w:t>
      </w:r>
      <w:r w:rsidRPr="00D82C14">
        <w:rPr>
          <w:rStyle w:val="StyleUnderline"/>
        </w:rPr>
        <w:t>, the Court has held indefinite confinement for dangerousness to violate substantive due process</w:t>
      </w:r>
      <w:r w:rsidRPr="00EE3E22">
        <w:rPr>
          <w:sz w:val="16"/>
          <w:szCs w:val="16"/>
        </w:rPr>
        <w:t xml:space="preserve"> unless the state can demon- </w:t>
      </w:r>
      <w:proofErr w:type="spellStart"/>
      <w:r w:rsidRPr="00EE3E22">
        <w:rPr>
          <w:sz w:val="16"/>
          <w:szCs w:val="16"/>
        </w:rPr>
        <w:t>strate</w:t>
      </w:r>
      <w:proofErr w:type="spellEnd"/>
      <w:r w:rsidRPr="00EE3E22">
        <w:rPr>
          <w:sz w:val="16"/>
          <w:szCs w:val="16"/>
        </w:rPr>
        <w:t xml:space="preserve"> that the detained person lacks volitional self-control.276 In apparent contradiction, it upheld pre-trial detention for dangerousness alone in United States v. Salerno.277 Criminal law theorists have reconciled the cases, however, on the basis of a more nuanced version of the mad-or-bad principle. The more sophisticated ideal permits the preventive restraint of people who are “undeterrable”—those whom the threat of punishment cannot dissuade from crime.278 People who lack volitional control are the paradigmatic case, but not the only one. Terrorists and enemy combatants may not be easily deterred.279 It is arguable (barely) that people facing serious criminal charges or imminent deportation might fit this category too.280 The Court’s case law can be read consistently with this principle, as prohibiting preventive detention unless the threat of punishment is not adequate to prevent the person in question from committing new crimes. That is, criminal-law deter- </w:t>
      </w:r>
      <w:proofErr w:type="spellStart"/>
      <w:r w:rsidRPr="00EE3E22">
        <w:rPr>
          <w:sz w:val="16"/>
          <w:szCs w:val="16"/>
        </w:rPr>
        <w:t>rence</w:t>
      </w:r>
      <w:proofErr w:type="spellEnd"/>
      <w:r w:rsidRPr="00EE3E22">
        <w:rPr>
          <w:sz w:val="16"/>
          <w:szCs w:val="16"/>
        </w:rPr>
        <w:t xml:space="preserve"> must be the “first line of defense” against future bad acts.281</w:t>
      </w:r>
    </w:p>
    <w:p w14:paraId="79D48545" w14:textId="77777777" w:rsidR="00D82C14" w:rsidRPr="00EE3E22" w:rsidRDefault="00D82C14" w:rsidP="00D82C14">
      <w:pPr>
        <w:rPr>
          <w:rStyle w:val="StyleUnderline"/>
        </w:rPr>
      </w:pPr>
      <w:r w:rsidRPr="00D82C14">
        <w:rPr>
          <w:rStyle w:val="StyleUnderline"/>
        </w:rPr>
        <w:t>If the Supreme Court’s substantive due process case law does reflect a presumption against predictive restraint,</w:t>
      </w:r>
      <w:r w:rsidRPr="00D82C14">
        <w:rPr>
          <w:sz w:val="16"/>
        </w:rPr>
        <w:t xml:space="preserve"> and if the presumption means any- thing, it means that o</w:t>
      </w:r>
      <w:r w:rsidRPr="00D82C14">
        <w:rPr>
          <w:rStyle w:val="StyleUnderline"/>
        </w:rPr>
        <w:t>ne has the presumptive right to be free from government restraint premised on one’s perceived propensity to commit future bad acts</w:t>
      </w:r>
      <w:r w:rsidRPr="00D82C14">
        <w:rPr>
          <w:sz w:val="16"/>
        </w:rPr>
        <w:t xml:space="preserve">. In other words, </w:t>
      </w:r>
      <w:r w:rsidRPr="00EE3E22">
        <w:rPr>
          <w:rStyle w:val="StyleUnderline"/>
        </w:rPr>
        <w:t>one has a fundamental right to be treated as an equal moral agent, just as capable as anyone else of ch</w:t>
      </w:r>
      <w:r>
        <w:rPr>
          <w:rStyle w:val="StyleUnderline"/>
        </w:rPr>
        <w:t>oosing not to commit a crime.</w:t>
      </w:r>
      <w:r w:rsidRPr="00EE3E22">
        <w:rPr>
          <w:rStyle w:val="StyleUnderline"/>
        </w:rPr>
        <w:t xml:space="preserve"> Any propensity-based restraint infringes that </w:t>
      </w:r>
      <w:proofErr w:type="gramStart"/>
      <w:r w:rsidRPr="00EE3E22">
        <w:rPr>
          <w:rStyle w:val="StyleUnderline"/>
        </w:rPr>
        <w:t>right, and</w:t>
      </w:r>
      <w:proofErr w:type="gramEnd"/>
      <w:r w:rsidRPr="00EE3E22">
        <w:rPr>
          <w:rStyle w:val="StyleUnderline"/>
        </w:rPr>
        <w:t xml:space="preserve"> deserves careful review</w:t>
      </w:r>
      <w:r w:rsidRPr="00D82C14">
        <w:rPr>
          <w:sz w:val="16"/>
        </w:rPr>
        <w:t xml:space="preserve">. The state can satisfy strict scrutiny by demonstrating that deterrence is unavailable in the circumstances at hand and that the restraint is the least restrictive available means to achieve the public safety goal. The lesser the restraint, the easier this will be. </w:t>
      </w:r>
      <w:r w:rsidRPr="00EE3E22">
        <w:rPr>
          <w:rStyle w:val="StyleUnderline"/>
        </w:rPr>
        <w:t>In the context of CCs, a fundamental right to moral agency would function as a presumption of redemption for those who have completed criminal sentences, the mirror image of the presumption of innocence for those who have only been accused.</w:t>
      </w:r>
    </w:p>
    <w:p w14:paraId="6909A1E6" w14:textId="77777777" w:rsidR="00D82C14" w:rsidRPr="00EE3E22" w:rsidRDefault="00D82C14" w:rsidP="00D82C14">
      <w:pPr>
        <w:rPr>
          <w:sz w:val="16"/>
          <w:szCs w:val="16"/>
        </w:rPr>
      </w:pPr>
      <w:r w:rsidRPr="00EE3E22">
        <w:rPr>
          <w:sz w:val="16"/>
          <w:szCs w:val="16"/>
        </w:rPr>
        <w:t xml:space="preserve">There are obstacles to this line of argument. The obvious objection is that the Supreme Court’s preventive detention case law is limited to the con- text of custodial detention and has no bearing on lesser forms of preventive restraint.283 A second difficulty is that, even if propensity-based regulation warrants greater concern than other </w:t>
      </w:r>
      <w:proofErr w:type="spellStart"/>
      <w:r w:rsidRPr="00EE3E22">
        <w:rPr>
          <w:sz w:val="16"/>
          <w:szCs w:val="16"/>
        </w:rPr>
        <w:t>ex ante</w:t>
      </w:r>
      <w:proofErr w:type="spellEnd"/>
      <w:r w:rsidRPr="00EE3E22">
        <w:rPr>
          <w:sz w:val="16"/>
          <w:szCs w:val="16"/>
        </w:rPr>
        <w:t xml:space="preserve"> regulation, it is not clear that this concern has constitutional dimension.</w:t>
      </w:r>
    </w:p>
    <w:p w14:paraId="3194DBE2" w14:textId="77777777" w:rsidR="00D82C14" w:rsidRPr="00EE3E22" w:rsidRDefault="00D82C14" w:rsidP="00D82C14">
      <w:pPr>
        <w:rPr>
          <w:sz w:val="16"/>
          <w:szCs w:val="16"/>
        </w:rPr>
      </w:pPr>
      <w:r w:rsidRPr="00EE3E22">
        <w:rPr>
          <w:sz w:val="16"/>
          <w:szCs w:val="16"/>
        </w:rPr>
        <w:t xml:space="preserve">Each of these objections has an answer, but ultimately the positive law is ambiguous. It is not clear </w:t>
      </w:r>
      <w:proofErr w:type="gramStart"/>
      <w:r w:rsidRPr="00EE3E22">
        <w:rPr>
          <w:sz w:val="16"/>
          <w:szCs w:val="16"/>
        </w:rPr>
        <w:t>on the basis of</w:t>
      </w:r>
      <w:proofErr w:type="gramEnd"/>
      <w:r w:rsidRPr="00EE3E22">
        <w:rPr>
          <w:sz w:val="16"/>
          <w:szCs w:val="16"/>
        </w:rPr>
        <w:t xml:space="preserve"> the Constitution and precedent alone whether the rule that criminal deterrence must be the “first line of defense” against self-determining agents applies to non-custodial forms of restraint. Any argument that it does must invoke normative principles. It must contend that targeting certain people for restraint </w:t>
      </w:r>
      <w:proofErr w:type="gramStart"/>
      <w:r w:rsidRPr="00EE3E22">
        <w:rPr>
          <w:sz w:val="16"/>
          <w:szCs w:val="16"/>
        </w:rPr>
        <w:t>on the basis of</w:t>
      </w:r>
      <w:proofErr w:type="gramEnd"/>
      <w:r w:rsidRPr="00EE3E22">
        <w:rPr>
          <w:sz w:val="16"/>
          <w:szCs w:val="16"/>
        </w:rPr>
        <w:t xml:space="preserve"> their projected future actions raises a unique concern that the doctrine should reflect. In other words, the argument must be that criminal law furthers an important value by treating all individuals as equal moral agents with equal capacity to obey. There is ample material in criminal law theory to support that position. In addition, some of the Supreme Court’s pronouncements on the Constitution’s respect for individual dignity and </w:t>
      </w:r>
      <w:proofErr w:type="spellStart"/>
      <w:r w:rsidRPr="00EE3E22">
        <w:rPr>
          <w:sz w:val="16"/>
          <w:szCs w:val="16"/>
        </w:rPr>
        <w:t>decisionmaking</w:t>
      </w:r>
      <w:proofErr w:type="spellEnd"/>
      <w:r w:rsidRPr="00EE3E22">
        <w:rPr>
          <w:sz w:val="16"/>
          <w:szCs w:val="16"/>
        </w:rPr>
        <w:t xml:space="preserve"> </w:t>
      </w:r>
      <w:proofErr w:type="spellStart"/>
      <w:r w:rsidRPr="00EE3E22">
        <w:rPr>
          <w:sz w:val="16"/>
          <w:szCs w:val="16"/>
        </w:rPr>
        <w:t>auton</w:t>
      </w:r>
      <w:proofErr w:type="spellEnd"/>
      <w:r w:rsidRPr="00EE3E22">
        <w:rPr>
          <w:sz w:val="16"/>
          <w:szCs w:val="16"/>
        </w:rPr>
        <w:t xml:space="preserve">- </w:t>
      </w:r>
      <w:proofErr w:type="spellStart"/>
      <w:r w:rsidRPr="00EE3E22">
        <w:rPr>
          <w:sz w:val="16"/>
          <w:szCs w:val="16"/>
        </w:rPr>
        <w:t>omy</w:t>
      </w:r>
      <w:proofErr w:type="spellEnd"/>
      <w:r w:rsidRPr="00EE3E22">
        <w:rPr>
          <w:sz w:val="16"/>
          <w:szCs w:val="16"/>
        </w:rPr>
        <w:t xml:space="preserve"> might help to ground it.284 Were the Court to recognize a fundamental right to be treated as an equal moral agent, CCs, along with other propensity restraints, would infringe it.</w:t>
      </w:r>
    </w:p>
    <w:p w14:paraId="36C43316" w14:textId="77777777" w:rsidR="00D82C14" w:rsidRPr="00EE3E22" w:rsidRDefault="00D82C14" w:rsidP="00D82C14">
      <w:pPr>
        <w:rPr>
          <w:sz w:val="16"/>
          <w:szCs w:val="16"/>
        </w:rPr>
      </w:pPr>
      <w:r w:rsidRPr="00EE3E22">
        <w:rPr>
          <w:sz w:val="16"/>
          <w:szCs w:val="16"/>
        </w:rPr>
        <w:t>C. Results</w:t>
      </w:r>
    </w:p>
    <w:p w14:paraId="1FE89F7F" w14:textId="77777777" w:rsidR="00D82C14" w:rsidRDefault="00D82C14" w:rsidP="00D82C14">
      <w:r w:rsidRPr="00D15B3D">
        <w:rPr>
          <w:rStyle w:val="StyleUnderline"/>
        </w:rPr>
        <w:t xml:space="preserve">In a challenge to any given CC, heightened review would require the government to show, at the least, that the conviction classification was substantially related to an important government interest. The core benefit would be to strip CCs of the presumption of constitutionality and require the defending government to explain the need, </w:t>
      </w:r>
      <w:r w:rsidRPr="00D201DB">
        <w:t>in context</w:t>
      </w:r>
      <w:r w:rsidRPr="00D15B3D">
        <w:rPr>
          <w:rStyle w:val="StyleUnderline"/>
        </w:rPr>
        <w:t xml:space="preserve">, for classifying people for disparate treatment </w:t>
      </w:r>
      <w:proofErr w:type="gramStart"/>
      <w:r w:rsidRPr="00D15B3D">
        <w:rPr>
          <w:rStyle w:val="StyleUnderline"/>
        </w:rPr>
        <w:t>on the basis of</w:t>
      </w:r>
      <w:proofErr w:type="gramEnd"/>
      <w:r w:rsidRPr="00D15B3D">
        <w:rPr>
          <w:rStyle w:val="StyleUnderline"/>
        </w:rPr>
        <w:t xml:space="preserve"> past conviction alone. This approach would expose the tradeoffs between risk and liberty that CCs make and the judgments behind </w:t>
      </w:r>
      <w:proofErr w:type="gramStart"/>
      <w:r w:rsidRPr="00D15B3D">
        <w:rPr>
          <w:rStyle w:val="StyleUnderline"/>
        </w:rPr>
        <w:t>them, and</w:t>
      </w:r>
      <w:proofErr w:type="gramEnd"/>
      <w:r w:rsidRPr="00D15B3D">
        <w:rPr>
          <w:rStyle w:val="StyleUnderline"/>
        </w:rPr>
        <w:t xml:space="preserve"> provide some oversight. It would allow courts to both recognize CCs as an alarming form of risk regulation </w:t>
      </w:r>
      <w:proofErr w:type="gramStart"/>
      <w:r w:rsidRPr="00D15B3D">
        <w:rPr>
          <w:rStyle w:val="StyleUnderline"/>
        </w:rPr>
        <w:t>and also</w:t>
      </w:r>
      <w:proofErr w:type="gramEnd"/>
      <w:r w:rsidRPr="00D15B3D">
        <w:rPr>
          <w:rStyle w:val="StyleUnderline"/>
        </w:rPr>
        <w:t xml:space="preserve"> engage in case-by-case adjudication. It would function as a rough requirement of “proportionality” between the harm to be avoided and the burden imposed</w:t>
      </w:r>
      <w:r>
        <w:t>.</w:t>
      </w:r>
    </w:p>
    <w:p w14:paraId="3A3B9012" w14:textId="77777777" w:rsidR="00D82C14" w:rsidRPr="00D15B3D" w:rsidRDefault="00D82C14" w:rsidP="00D82C14">
      <w:pPr>
        <w:rPr>
          <w:rStyle w:val="StyleUnderline"/>
        </w:rPr>
      </w:pPr>
      <w:r w:rsidRPr="00D15B3D">
        <w:rPr>
          <w:rStyle w:val="StyleUnderline"/>
        </w:rPr>
        <w:t>Some CCs would survive heightened review because they are, in fact, narrowly drawn and justified. These are the CCs that would clear the ABA’s standards, like “exclusion of those convicted of sexual abuse from employment involving close contact with children, los</w:t>
      </w:r>
      <w:r>
        <w:rPr>
          <w:rStyle w:val="StyleUnderline"/>
        </w:rPr>
        <w:t>s of public office upon convic</w:t>
      </w:r>
      <w:r w:rsidRPr="00D15B3D">
        <w:rPr>
          <w:rStyle w:val="StyleUnderline"/>
        </w:rPr>
        <w:t>tion of bribery, denial of licensure where the offense involves the licensed activity, and prohibition of firearms to those convicted of violent crimes.</w:t>
      </w:r>
      <w:r>
        <w:t xml:space="preserve">”286 Speaking more generally, </w:t>
      </w:r>
      <w:r w:rsidRPr="00D15B3D">
        <w:rPr>
          <w:rStyle w:val="Emphasis"/>
        </w:rPr>
        <w:t>CCs would be likely to survive to the extent that they are tailored in scope</w:t>
      </w:r>
      <w:r w:rsidRPr="00D15B3D">
        <w:rPr>
          <w:rStyle w:val="StyleUnderline"/>
        </w:rPr>
        <w:t xml:space="preserve">, in </w:t>
      </w:r>
      <w:r w:rsidRPr="00D15B3D">
        <w:rPr>
          <w:rStyle w:val="Emphasis"/>
        </w:rPr>
        <w:t>duration</w:t>
      </w:r>
      <w:r w:rsidRPr="00D15B3D">
        <w:rPr>
          <w:rStyle w:val="StyleUnderline"/>
        </w:rPr>
        <w:t xml:space="preserve">, in </w:t>
      </w:r>
      <w:r w:rsidRPr="00D15B3D">
        <w:rPr>
          <w:rStyle w:val="Emphasis"/>
        </w:rPr>
        <w:t>process</w:t>
      </w:r>
      <w:r w:rsidRPr="00D15B3D">
        <w:rPr>
          <w:rStyle w:val="StyleUnderline"/>
        </w:rPr>
        <w:t xml:space="preserve">, </w:t>
      </w:r>
      <w:r w:rsidRPr="00D15B3D">
        <w:rPr>
          <w:rStyle w:val="Emphasis"/>
        </w:rPr>
        <w:t>and</w:t>
      </w:r>
      <w:r w:rsidRPr="00D15B3D">
        <w:rPr>
          <w:rStyle w:val="StyleUnderline"/>
        </w:rPr>
        <w:t xml:space="preserve"> in </w:t>
      </w:r>
      <w:r w:rsidRPr="00D15B3D">
        <w:rPr>
          <w:rStyle w:val="Emphasis"/>
        </w:rPr>
        <w:t>form</w:t>
      </w:r>
      <w:r w:rsidRPr="00D15B3D">
        <w:rPr>
          <w:rStyle w:val="StyleUnderline"/>
        </w:rPr>
        <w:t xml:space="preserve"> to the state’s regulatory goals. A collateral consequence is tailored in scope if it targets a narrow conviction category with clear relevance to the perceived risk. It is tailored in du</w:t>
      </w:r>
      <w:r>
        <w:rPr>
          <w:rStyle w:val="StyleUnderline"/>
        </w:rPr>
        <w:t xml:space="preserve">ration if it is </w:t>
      </w:r>
      <w:proofErr w:type="gramStart"/>
      <w:r>
        <w:rPr>
          <w:rStyle w:val="StyleUnderline"/>
        </w:rPr>
        <w:t>time-limited</w:t>
      </w:r>
      <w:proofErr w:type="gramEnd"/>
      <w:r>
        <w:rPr>
          <w:rStyle w:val="StyleUnderline"/>
        </w:rPr>
        <w:t>.</w:t>
      </w:r>
      <w:r w:rsidRPr="00D15B3D">
        <w:rPr>
          <w:rStyle w:val="StyleUnderline"/>
        </w:rPr>
        <w:t xml:space="preserve"> Procedural tailoring would include the opportunity for an individual to contest the presumption of risk and opportunities for periodic review. And a CC tailored in form would use the least-restrictive restraint possible to mitigate the risk.</w:t>
      </w:r>
    </w:p>
    <w:p w14:paraId="1A12E094" w14:textId="77777777" w:rsidR="00D82C14" w:rsidRPr="00D82C14" w:rsidRDefault="00D82C14" w:rsidP="00D82C14">
      <w:pPr>
        <w:rPr>
          <w:sz w:val="14"/>
        </w:rPr>
      </w:pPr>
      <w:r w:rsidRPr="00D15B3D">
        <w:rPr>
          <w:rStyle w:val="Emphasis"/>
        </w:rPr>
        <w:t>Many CCs, however, should be held unconstitutional pursuant to heightened review</w:t>
      </w:r>
      <w:r w:rsidRPr="00D15B3D">
        <w:rPr>
          <w:rStyle w:val="StyleUnderline"/>
        </w:rPr>
        <w:t xml:space="preserve">. Broad, permanent </w:t>
      </w:r>
      <w:r w:rsidRPr="00D15B3D">
        <w:rPr>
          <w:rStyle w:val="Emphasis"/>
        </w:rPr>
        <w:t>employment bars</w:t>
      </w:r>
      <w:r w:rsidRPr="00D15B3D">
        <w:rPr>
          <w:rStyle w:val="StyleUnderline"/>
        </w:rPr>
        <w:t xml:space="preserve"> should fail</w:t>
      </w:r>
      <w:r w:rsidRPr="00D82C14">
        <w:rPr>
          <w:sz w:val="14"/>
        </w:rPr>
        <w:t xml:space="preserve">. </w:t>
      </w:r>
      <w:r w:rsidRPr="00D15B3D">
        <w:rPr>
          <w:rStyle w:val="StyleUnderline"/>
        </w:rPr>
        <w:t xml:space="preserve">Categorical </w:t>
      </w:r>
      <w:r w:rsidRPr="00D15B3D">
        <w:rPr>
          <w:rStyle w:val="Emphasis"/>
        </w:rPr>
        <w:t>housing bars</w:t>
      </w:r>
      <w:r w:rsidRPr="00D15B3D">
        <w:rPr>
          <w:rStyle w:val="StyleUnderline"/>
        </w:rPr>
        <w:t xml:space="preserve"> should fail. </w:t>
      </w:r>
      <w:r w:rsidRPr="00D15B3D">
        <w:rPr>
          <w:rStyle w:val="Emphasis"/>
        </w:rPr>
        <w:t>Disqualification from benefits</w:t>
      </w:r>
      <w:r w:rsidRPr="00D15B3D">
        <w:rPr>
          <w:rStyle w:val="StyleUnderline"/>
        </w:rPr>
        <w:t xml:space="preserve"> and loans should fail</w:t>
      </w:r>
      <w:r w:rsidRPr="00D82C14">
        <w:rPr>
          <w:sz w:val="14"/>
        </w:rPr>
        <w:t xml:space="preserve"> (unless the state claims that they express a judgment of desert or forfeiture, in which case punishment constraints apply). </w:t>
      </w:r>
      <w:r w:rsidRPr="00D15B3D">
        <w:rPr>
          <w:rStyle w:val="StyleUnderline"/>
        </w:rPr>
        <w:t xml:space="preserve">Automatic registration and </w:t>
      </w:r>
      <w:r w:rsidRPr="00D15B3D">
        <w:rPr>
          <w:rStyle w:val="Emphasis"/>
        </w:rPr>
        <w:t>monitoring regimes</w:t>
      </w:r>
      <w:r w:rsidRPr="00D15B3D">
        <w:rPr>
          <w:rStyle w:val="StyleUnderline"/>
        </w:rPr>
        <w:t xml:space="preserve"> based on broad conviction categories should fail</w:t>
      </w:r>
      <w:r w:rsidRPr="00D82C14">
        <w:rPr>
          <w:sz w:val="14"/>
        </w:rPr>
        <w:t xml:space="preserve">. If based on narrow conviction categories, with some individualized risk assessment and periodic review, they might survive. Felon disenfranchisement laws are a special case because Richardson v. Ramirez is taken to endorse them all, but that may be a misreading of the decision. If it is read in a more limited sense in the future, </w:t>
      </w:r>
      <w:r w:rsidRPr="00D15B3D">
        <w:rPr>
          <w:rStyle w:val="StyleUnderline"/>
        </w:rPr>
        <w:t xml:space="preserve">all </w:t>
      </w:r>
      <w:r w:rsidRPr="00D201DB">
        <w:rPr>
          <w:rStyle w:val="Emphasis"/>
        </w:rPr>
        <w:t xml:space="preserve">felon </w:t>
      </w:r>
      <w:r w:rsidRPr="00BB6878">
        <w:rPr>
          <w:rStyle w:val="Emphasis"/>
        </w:rPr>
        <w:t>disenfranchisement</w:t>
      </w:r>
      <w:r w:rsidRPr="00D15B3D">
        <w:rPr>
          <w:rStyle w:val="StyleUnderline"/>
        </w:rPr>
        <w:t xml:space="preserve"> laws should fail heightened review</w:t>
      </w:r>
      <w:r w:rsidRPr="00D82C14">
        <w:rPr>
          <w:sz w:val="14"/>
        </w:rPr>
        <w:t xml:space="preserve"> (unless a state decides to disenfranchise people as punishment, in which case punishment constraints apply instead). Immigration consequences are also more complicated because the state justifies them not just as public-safety measures but as exercises of Congress’s “plenary power” over immigration, and because non-citizens have lesser liberty rights in some contexts.290 The problems with using conviction as a proxy for risk should apply at least conceptually, however, in the immigration sphere.</w:t>
      </w:r>
    </w:p>
    <w:p w14:paraId="613E3FAB" w14:textId="77777777" w:rsidR="00D82C14" w:rsidRPr="00D201DB" w:rsidRDefault="00D82C14" w:rsidP="00D82C14">
      <w:pPr>
        <w:rPr>
          <w:rStyle w:val="Emphasis"/>
        </w:rPr>
      </w:pPr>
      <w:r w:rsidRPr="00D201DB">
        <w:rPr>
          <w:rStyle w:val="StyleUnderline"/>
        </w:rPr>
        <w:t>The notion that regulatory classification by conviction status warrants heightened review is not wildly removed from current practice</w:t>
      </w:r>
      <w:r w:rsidRPr="00D82C14">
        <w:rPr>
          <w:sz w:val="16"/>
        </w:rPr>
        <w:t xml:space="preserve">. Some courts have taken this approach to CCs already, especially in the realm of employment.291 A few decisions have found conviction-based employment bars to violate equal protection, particularly “laws which categorically bar large groups of former offenders from particular occupations.”292 State courts have been particularly responsive to such challenges.293 </w:t>
      </w:r>
      <w:r w:rsidRPr="00D201DB">
        <w:rPr>
          <w:rStyle w:val="StyleUnderline"/>
        </w:rPr>
        <w:t xml:space="preserve">For courts to subject all CCs to heightened scrutiny </w:t>
      </w:r>
      <w:r w:rsidRPr="00D201DB">
        <w:rPr>
          <w:rStyle w:val="Emphasis"/>
        </w:rPr>
        <w:t>would not require a dramatic departure from current doctrine</w:t>
      </w:r>
      <w:r w:rsidRPr="00D201DB">
        <w:rPr>
          <w:rStyle w:val="StyleUnderline"/>
        </w:rPr>
        <w:t xml:space="preserve">. It would merely require that courts recognize CCs for what they are: </w:t>
      </w:r>
      <w:r w:rsidRPr="00D201DB">
        <w:rPr>
          <w:rStyle w:val="Emphasis"/>
        </w:rPr>
        <w:t>a genre of preventive restraint that warrants meaningful constitutional oversight.</w:t>
      </w:r>
    </w:p>
    <w:p w14:paraId="07D7E022" w14:textId="77777777" w:rsidR="0031702E" w:rsidRPr="00F81AA7" w:rsidRDefault="0031702E" w:rsidP="0031702E">
      <w:pPr>
        <w:pStyle w:val="Heading4"/>
      </w:pPr>
      <w:r w:rsidRPr="00F81AA7">
        <w:t>Trump will follow the court ruling</w:t>
      </w:r>
    </w:p>
    <w:p w14:paraId="7FBE2A7A" w14:textId="77777777" w:rsidR="0031702E" w:rsidRDefault="0031702E" w:rsidP="0031702E">
      <w:pPr>
        <w:rPr>
          <w:b/>
        </w:rPr>
      </w:pPr>
    </w:p>
    <w:p w14:paraId="3D707804" w14:textId="77777777" w:rsidR="0031702E" w:rsidRPr="00F81AA7" w:rsidRDefault="0031702E" w:rsidP="0031702E">
      <w:r w:rsidRPr="00F81AA7">
        <w:rPr>
          <w:b/>
        </w:rPr>
        <w:t xml:space="preserve">Grove </w:t>
      </w:r>
      <w:r>
        <w:rPr>
          <w:b/>
        </w:rPr>
        <w:t>‘</w:t>
      </w:r>
      <w:r w:rsidRPr="00F81AA7">
        <w:rPr>
          <w:b/>
        </w:rPr>
        <w:t>18</w:t>
      </w:r>
    </w:p>
    <w:p w14:paraId="1EB9084C" w14:textId="77777777" w:rsidR="0031702E" w:rsidRPr="00A8378D" w:rsidRDefault="0031702E" w:rsidP="0031702E">
      <w:r w:rsidRPr="00A8378D">
        <w:t>(Tara Leigh Grove Professor of Law at William &amp; Mary Law School</w:t>
      </w:r>
      <w:r>
        <w:t xml:space="preserve">, </w:t>
      </w:r>
      <w:r w:rsidRPr="00A8378D">
        <w:t xml:space="preserve">“The Power of “So-Called Judges”.” 2018. </w:t>
      </w:r>
      <w:hyperlink r:id="rId12" w:history="1">
        <w:r w:rsidRPr="00A8378D">
          <w:rPr>
            <w:rStyle w:val="Hyperlink"/>
          </w:rPr>
          <w:t>http://scholarship.law.wm.edu/cgi/viewcontent.cgi?article=2926&amp;context=facpubs</w:t>
        </w:r>
      </w:hyperlink>
      <w:r w:rsidRPr="00A8378D">
        <w:t>)</w:t>
      </w:r>
    </w:p>
    <w:p w14:paraId="3B801317" w14:textId="77777777" w:rsidR="0031702E" w:rsidRPr="00080523" w:rsidRDefault="0031702E" w:rsidP="0031702E">
      <w:pPr>
        <w:rPr>
          <w:b/>
          <w:bCs/>
          <w:u w:val="single"/>
        </w:rPr>
      </w:pPr>
      <w:r w:rsidRPr="00F81AA7">
        <w:rPr>
          <w:rStyle w:val="StyleUnderline"/>
        </w:rPr>
        <w:t xml:space="preserve">THE STRENGTH OF THE NORM AT THE FEDERAL LEVEL </w:t>
      </w:r>
      <w:r w:rsidRPr="005C4464">
        <w:rPr>
          <w:rStyle w:val="StyleUnderline"/>
          <w:highlight w:val="cyan"/>
        </w:rPr>
        <w:t>Since</w:t>
      </w:r>
      <w:r w:rsidRPr="00F81AA7">
        <w:rPr>
          <w:rStyle w:val="StyleUnderline"/>
        </w:rPr>
        <w:t xml:space="preserve"> the </w:t>
      </w:r>
      <w:r w:rsidRPr="005C4464">
        <w:rPr>
          <w:rStyle w:val="StyleUnderline"/>
          <w:highlight w:val="cyan"/>
        </w:rPr>
        <w:t>civil rights</w:t>
      </w:r>
      <w:r w:rsidRPr="00F81AA7">
        <w:rPr>
          <w:rStyle w:val="StyleUnderline"/>
        </w:rPr>
        <w:t xml:space="preserve"> era, </w:t>
      </w:r>
      <w:r w:rsidRPr="005C4464">
        <w:rPr>
          <w:rStyle w:val="StyleUnderline"/>
          <w:highlight w:val="cyan"/>
        </w:rPr>
        <w:t>federal</w:t>
      </w:r>
      <w:r w:rsidRPr="00F81AA7">
        <w:rPr>
          <w:rStyle w:val="StyleUnderline"/>
        </w:rPr>
        <w:t xml:space="preserve"> executive </w:t>
      </w:r>
      <w:r w:rsidRPr="005C4464">
        <w:rPr>
          <w:rStyle w:val="StyleUnderline"/>
          <w:highlight w:val="cyan"/>
        </w:rPr>
        <w:t>officials</w:t>
      </w:r>
      <w:r w:rsidRPr="00F81AA7">
        <w:rPr>
          <w:rStyle w:val="StyleUnderline"/>
        </w:rPr>
        <w:t xml:space="preserve"> </w:t>
      </w:r>
      <w:r w:rsidRPr="00F81AA7">
        <w:rPr>
          <w:rStyle w:val="Emphasis"/>
        </w:rPr>
        <w:t xml:space="preserve">have </w:t>
      </w:r>
      <w:r w:rsidRPr="005C4464">
        <w:rPr>
          <w:rStyle w:val="Emphasis"/>
          <w:highlight w:val="cyan"/>
        </w:rPr>
        <w:t>consistently complied</w:t>
      </w:r>
      <w:r w:rsidRPr="005C4464">
        <w:rPr>
          <w:rStyle w:val="StyleUnderline"/>
          <w:highlight w:val="cyan"/>
        </w:rPr>
        <w:t xml:space="preserve"> with</w:t>
      </w:r>
      <w:r w:rsidRPr="00F81AA7">
        <w:rPr>
          <w:rStyle w:val="StyleUnderline"/>
        </w:rPr>
        <w:t xml:space="preserve"> federal </w:t>
      </w:r>
      <w:r w:rsidRPr="005C4464">
        <w:rPr>
          <w:rStyle w:val="StyleUnderline"/>
          <w:highlight w:val="cyan"/>
        </w:rPr>
        <w:t>court orders</w:t>
      </w:r>
      <w:r w:rsidRPr="003E0061">
        <w:rPr>
          <w:sz w:val="14"/>
          <w:szCs w:val="16"/>
        </w:rPr>
        <w:t xml:space="preserve">.22 One of the most instructive examples is the George W. Bush administration’s obedience in the wake of the September 11 terrorist attacks. The Bush administration made bold claims about the scope of executive authority in the war on terror—leading some scholars to worry that the administration might not obey a judicial order restricting its power.23 Yet when the Supreme Court held that Guantanamo Bay detainees could file federal habeas corpus petitions to challenge their confinement,24 President Bush announced: “We’ll abide by the Court’s decision. That </w:t>
      </w:r>
      <w:proofErr w:type="gramStart"/>
      <w:r w:rsidRPr="003E0061">
        <w:rPr>
          <w:sz w:val="14"/>
          <w:szCs w:val="16"/>
        </w:rPr>
        <w:t>doesn’t</w:t>
      </w:r>
      <w:proofErr w:type="gramEnd"/>
      <w:r w:rsidRPr="003E0061">
        <w:rPr>
          <w:sz w:val="14"/>
          <w:szCs w:val="16"/>
        </w:rPr>
        <w:t xml:space="preserve"> mean I have to agree with it.”25 Accordingly, the DOJ has a strong institutional incentive to push the rest of the federal executive branch to abide by federal court judgments. 31 These institutional incentives are bolstered by the culture among the attorneys at the DOJ. These attorneys were trained in a legal community that has long promoted compliance with federal court orders.32 Indeed, it likely does not occur to many lawyers at the DOJ that defiance is a viable, much less legal, option. Furthermore, the President himself may decide that there are political advantages to adhering to adverse federal court orders. Judicial review can, after all, be useful to politicians.33 When a federal court invalidates a controversial measure, politicians can claim credit for the measure—and blame “activist” judges for striking it down—while avoiding much of the political fallout from implementation. Thus, President Trump may have decided that compliance with the travel ban rulings offered the best of both worlds: he could claim credit for (what he describes as) a national security measure, while avoiding at least some of the political fallout.34 There are reasons to believe that these political and institutional incentives have been working (at least thus far). </w:t>
      </w:r>
      <w:r w:rsidRPr="005C4464">
        <w:rPr>
          <w:rStyle w:val="StyleUnderline"/>
          <w:highlight w:val="cyan"/>
        </w:rPr>
        <w:t>Despite</w:t>
      </w:r>
      <w:r w:rsidRPr="00F81AA7">
        <w:rPr>
          <w:rStyle w:val="StyleUnderline"/>
        </w:rPr>
        <w:t xml:space="preserve"> the President’s </w:t>
      </w:r>
      <w:r w:rsidRPr="005C4464">
        <w:rPr>
          <w:rStyle w:val="StyleUnderline"/>
          <w:highlight w:val="cyan"/>
        </w:rPr>
        <w:t>rhetoric</w:t>
      </w:r>
      <w:r w:rsidRPr="00F81AA7">
        <w:rPr>
          <w:rStyle w:val="StyleUnderline"/>
        </w:rPr>
        <w:t xml:space="preserve"> denouncing specific judicial decisions, the </w:t>
      </w:r>
      <w:r w:rsidRPr="005C4464">
        <w:rPr>
          <w:rStyle w:val="Emphasis"/>
          <w:highlight w:val="cyan"/>
        </w:rPr>
        <w:t>Trump</w:t>
      </w:r>
      <w:r w:rsidRPr="00F81AA7">
        <w:rPr>
          <w:rStyle w:val="StyleUnderline"/>
        </w:rPr>
        <w:t xml:space="preserve"> administration </w:t>
      </w:r>
      <w:r w:rsidRPr="005C4464">
        <w:rPr>
          <w:rStyle w:val="StyleUnderline"/>
          <w:highlight w:val="cyan"/>
        </w:rPr>
        <w:t>has</w:t>
      </w:r>
      <w:r w:rsidRPr="00F81AA7">
        <w:rPr>
          <w:rStyle w:val="StyleUnderline"/>
        </w:rPr>
        <w:t xml:space="preserve"> thus far </w:t>
      </w:r>
      <w:r w:rsidRPr="005C4464">
        <w:rPr>
          <w:rStyle w:val="StyleUnderline"/>
          <w:highlight w:val="cyan"/>
        </w:rPr>
        <w:t>complied with every nationwide injunction</w:t>
      </w:r>
      <w:r w:rsidRPr="00F81AA7">
        <w:rPr>
          <w:rStyle w:val="StyleUnderline"/>
        </w:rPr>
        <w:t xml:space="preserve"> against it—on topics ranging </w:t>
      </w:r>
      <w:r w:rsidRPr="005C4464">
        <w:rPr>
          <w:rStyle w:val="StyleUnderline"/>
          <w:highlight w:val="cyan"/>
        </w:rPr>
        <w:t>from the travel ban, to</w:t>
      </w:r>
      <w:r w:rsidRPr="00F81AA7">
        <w:rPr>
          <w:rStyle w:val="StyleUnderline"/>
        </w:rPr>
        <w:t xml:space="preserve"> funding for </w:t>
      </w:r>
      <w:r w:rsidRPr="005C4464">
        <w:rPr>
          <w:rStyle w:val="StyleUnderline"/>
          <w:highlight w:val="cyan"/>
        </w:rPr>
        <w:t>sanctuary cities</w:t>
      </w:r>
      <w:r w:rsidRPr="00F81AA7">
        <w:rPr>
          <w:rStyle w:val="StyleUnderline"/>
        </w:rPr>
        <w:t xml:space="preserve">,35 </w:t>
      </w:r>
      <w:r w:rsidRPr="005C4464">
        <w:rPr>
          <w:rStyle w:val="StyleUnderline"/>
          <w:highlight w:val="cyan"/>
        </w:rPr>
        <w:t>to</w:t>
      </w:r>
      <w:r w:rsidRPr="00F81AA7">
        <w:rPr>
          <w:rStyle w:val="StyleUnderline"/>
        </w:rPr>
        <w:t xml:space="preserve"> the rescission of the Deferred Action for Childhood Arrivals (</w:t>
      </w:r>
      <w:r w:rsidRPr="005C4464">
        <w:rPr>
          <w:rStyle w:val="StyleUnderline"/>
          <w:highlight w:val="cyan"/>
        </w:rPr>
        <w:t>DACA</w:t>
      </w:r>
      <w:r w:rsidRPr="00F81AA7">
        <w:rPr>
          <w:rStyle w:val="StyleUnderline"/>
        </w:rPr>
        <w:t>) program</w:t>
      </w:r>
      <w:r w:rsidRPr="003E0061">
        <w:rPr>
          <w:sz w:val="14"/>
          <w:szCs w:val="16"/>
        </w:rPr>
        <w:t>.36 These examples not only signal the current administration’s acceptance of the convention requiring compliance with federal court orders but also serve to reinforce and solidify that convention going forward. CONCLUSION I do not mean to suggest that we should be sanguine about the future of judicial independence. Rhetoric matters, and President Trump’s attacks on judges understandably sent a chill throughout the legal community. But actions matter, too. And it is crucial that, each time a federal judge has issued a nationwide injunction against the travel ban (and other executive actions), the Trump administration has quickly complied, promising to challenge the order through the ordinary appellate review process.37</w:t>
      </w:r>
      <w:r w:rsidRPr="00F81AA7">
        <w:rPr>
          <w:rStyle w:val="StyleUnderline"/>
        </w:rPr>
        <w:t xml:space="preserve"> The compliance of the executive branch—perhaps especially given the President’s strong rhetoric—itself reinforces the convention. At least for now, it seems, even “so-called </w:t>
      </w:r>
      <w:r w:rsidRPr="005C4464">
        <w:rPr>
          <w:rStyle w:val="StyleUnderline"/>
          <w:highlight w:val="cyan"/>
        </w:rPr>
        <w:t>judges</w:t>
      </w:r>
      <w:r w:rsidRPr="00F81AA7">
        <w:rPr>
          <w:rStyle w:val="StyleUnderline"/>
        </w:rPr>
        <w:t xml:space="preserve">” </w:t>
      </w:r>
      <w:r w:rsidRPr="005C4464">
        <w:rPr>
          <w:rStyle w:val="StyleUnderline"/>
          <w:highlight w:val="cyan"/>
        </w:rPr>
        <w:t>have the power to order around the most powerful government</w:t>
      </w:r>
      <w:r w:rsidRPr="00F81AA7">
        <w:rPr>
          <w:rStyle w:val="StyleUnderline"/>
        </w:rPr>
        <w:t xml:space="preserve"> in the world.</w:t>
      </w:r>
    </w:p>
    <w:p w14:paraId="283B9A96" w14:textId="77777777" w:rsidR="002E60E9" w:rsidRDefault="002E60E9" w:rsidP="002E60E9">
      <w:pPr>
        <w:pStyle w:val="Heading4"/>
      </w:pPr>
      <w:r>
        <w:t xml:space="preserve">And, Padilla v. Kentucky thumps every </w:t>
      </w:r>
      <w:proofErr w:type="spellStart"/>
      <w:r>
        <w:t>disad</w:t>
      </w:r>
      <w:proofErr w:type="spellEnd"/>
      <w:r>
        <w:t xml:space="preserve"> --- the court acted to expand CC’s, regulate them, and blurred the distinction between civil and criminal</w:t>
      </w:r>
    </w:p>
    <w:p w14:paraId="11A62FB5" w14:textId="77777777" w:rsidR="002E60E9" w:rsidRDefault="002E60E9" w:rsidP="002E60E9"/>
    <w:p w14:paraId="2F80E39C" w14:textId="77777777" w:rsidR="002E60E9" w:rsidRDefault="002E60E9" w:rsidP="002E60E9">
      <w:pPr>
        <w:rPr>
          <w:rStyle w:val="Style13ptBold"/>
        </w:rPr>
      </w:pPr>
      <w:r>
        <w:rPr>
          <w:rStyle w:val="Style13ptBold"/>
        </w:rPr>
        <w:t>ABA ‘19</w:t>
      </w:r>
    </w:p>
    <w:p w14:paraId="7EA89BA1" w14:textId="77777777" w:rsidR="002E60E9" w:rsidRPr="00EE40EC" w:rsidRDefault="002E60E9" w:rsidP="002E60E9">
      <w:r w:rsidRPr="00EE40EC">
        <w:t xml:space="preserve">(American Bar Association, “Status as Punishment: Padilla v. Kentucky,” </w:t>
      </w:r>
      <w:proofErr w:type="spellStart"/>
      <w:r w:rsidRPr="00EE40EC">
        <w:t>pg</w:t>
      </w:r>
      <w:proofErr w:type="spellEnd"/>
      <w:r w:rsidRPr="00EE40EC">
        <w:t xml:space="preserve"> online @ </w:t>
      </w:r>
      <w:hyperlink r:id="rId13" w:history="1">
        <w:r w:rsidRPr="00EE40EC">
          <w:rPr>
            <w:rStyle w:val="Hyperlink"/>
          </w:rPr>
          <w:t>https://www.americanbar.org/groups/gpsolo/publications/gp_solo/2011/march/status_as_punishment_padilla_kentucky/</w:t>
        </w:r>
      </w:hyperlink>
      <w:r w:rsidRPr="00EE40EC">
        <w:t xml:space="preserve"> //um-</w:t>
      </w:r>
      <w:proofErr w:type="spellStart"/>
      <w:r w:rsidRPr="00EE40EC">
        <w:t>ef</w:t>
      </w:r>
      <w:proofErr w:type="spellEnd"/>
      <w:r w:rsidRPr="00EE40EC">
        <w:t>)</w:t>
      </w:r>
    </w:p>
    <w:p w14:paraId="25676607" w14:textId="77777777" w:rsidR="002E60E9" w:rsidRPr="00EE40EC" w:rsidRDefault="002E60E9" w:rsidP="002E60E9">
      <w:pPr>
        <w:rPr>
          <w:sz w:val="12"/>
        </w:rPr>
      </w:pPr>
      <w:r w:rsidRPr="0022239B">
        <w:rPr>
          <w:rStyle w:val="StyleUnderline"/>
        </w:rPr>
        <w:t>In Padilla v. Kentucky</w:t>
      </w:r>
      <w:r w:rsidRPr="00EE40EC">
        <w:rPr>
          <w:sz w:val="12"/>
        </w:rPr>
        <w:t xml:space="preserve">, 130 S. Ct. 1473 (2010), </w:t>
      </w:r>
      <w:r w:rsidRPr="0022239B">
        <w:rPr>
          <w:rStyle w:val="StyleUnderline"/>
        </w:rPr>
        <w:t>the</w:t>
      </w:r>
      <w:r w:rsidRPr="00EE40EC">
        <w:rPr>
          <w:sz w:val="12"/>
        </w:rPr>
        <w:t xml:space="preserve"> Supreme </w:t>
      </w:r>
      <w:r w:rsidRPr="0022239B">
        <w:rPr>
          <w:rStyle w:val="StyleUnderline"/>
        </w:rPr>
        <w:t xml:space="preserve">Court ruled that criminal defense lawyers </w:t>
      </w:r>
      <w:r w:rsidRPr="0022239B">
        <w:rPr>
          <w:rStyle w:val="Emphasis"/>
        </w:rPr>
        <w:t>must advise their noncitizen clients</w:t>
      </w:r>
      <w:r w:rsidRPr="0022239B">
        <w:rPr>
          <w:rStyle w:val="StyleUnderline"/>
        </w:rPr>
        <w:t xml:space="preserve"> considering a guilty plea that they are likely to be deported as a result</w:t>
      </w:r>
      <w:r w:rsidRPr="00EE40EC">
        <w:rPr>
          <w:sz w:val="12"/>
        </w:rPr>
        <w:t xml:space="preserve">. </w:t>
      </w:r>
      <w:r w:rsidRPr="0022239B">
        <w:rPr>
          <w:rStyle w:val="Emphasis"/>
        </w:rPr>
        <w:t>It is the first time</w:t>
      </w:r>
      <w:r w:rsidRPr="00EE40EC">
        <w:rPr>
          <w:sz w:val="12"/>
        </w:rPr>
        <w:t xml:space="preserve"> </w:t>
      </w:r>
      <w:r w:rsidRPr="0022239B">
        <w:rPr>
          <w:rStyle w:val="StyleUnderline"/>
        </w:rPr>
        <w:t>the Court has extended the Sixth Amendment right to counsel to a consequence of conviction</w:t>
      </w:r>
      <w:r w:rsidRPr="00EE40EC">
        <w:rPr>
          <w:sz w:val="12"/>
        </w:rPr>
        <w:t xml:space="preserve"> </w:t>
      </w:r>
      <w:r w:rsidRPr="0022239B">
        <w:rPr>
          <w:rStyle w:val="Emphasis"/>
        </w:rPr>
        <w:t>that is not part of the court-imposed punishment</w:t>
      </w:r>
      <w:r w:rsidRPr="00EE40EC">
        <w:rPr>
          <w:sz w:val="12"/>
        </w:rPr>
        <w:t xml:space="preserve">. </w:t>
      </w:r>
      <w:r w:rsidRPr="0022239B">
        <w:rPr>
          <w:rStyle w:val="StyleUnderline"/>
        </w:rPr>
        <w:t>Padilla offers</w:t>
      </w:r>
      <w:r w:rsidRPr="00EE40EC">
        <w:rPr>
          <w:sz w:val="12"/>
        </w:rPr>
        <w:t xml:space="preserve"> important protections for noncitizens who are in the criminal justice system. But it has </w:t>
      </w:r>
      <w:r w:rsidRPr="0022239B">
        <w:rPr>
          <w:rStyle w:val="StyleUnderline"/>
        </w:rPr>
        <w:t>broader implications.</w:t>
      </w:r>
      <w:r w:rsidRPr="00EE40EC">
        <w:rPr>
          <w:sz w:val="12"/>
        </w:rPr>
        <w:t xml:space="preserve"> This article places Padilla </w:t>
      </w:r>
      <w:r w:rsidRPr="0022239B">
        <w:rPr>
          <w:rStyle w:val="StyleUnderline"/>
        </w:rPr>
        <w:t>in the larger framework of modern criminal justice</w:t>
      </w:r>
      <w:r w:rsidRPr="00EE40EC">
        <w:rPr>
          <w:sz w:val="12"/>
        </w:rPr>
        <w:t xml:space="preserve"> to understand its justifications and implications in public policy terms. First, we propose that </w:t>
      </w:r>
      <w:r w:rsidRPr="0022239B">
        <w:rPr>
          <w:rStyle w:val="StyleUnderline"/>
        </w:rPr>
        <w:t>the logic of the decision extends to other severe and certain collateral consequences of conviction</w:t>
      </w:r>
      <w:r w:rsidRPr="00EE40EC">
        <w:rPr>
          <w:sz w:val="12"/>
        </w:rPr>
        <w:t xml:space="preserve">. Next, we review the reasons given for treating collateral consequences differently from other important consequences of conviction and conclude that there is no longer a principled basis for this distinction. Finally, we describe efforts by the American Bar Association (ABA) and the Uniform Law Commission to make it possible for criminal defense attorneys to offer adequate advice to their clients about collateral consequences. The decision writ large. </w:t>
      </w:r>
      <w:r w:rsidRPr="0022239B">
        <w:rPr>
          <w:rStyle w:val="StyleUnderline"/>
        </w:rPr>
        <w:t xml:space="preserve">The factors the Padilla Court identified as important in its determination suggest paths for </w:t>
      </w:r>
      <w:r w:rsidRPr="00EE40EC">
        <w:rPr>
          <w:sz w:val="12"/>
        </w:rPr>
        <w:t>both limitation and</w:t>
      </w:r>
      <w:r w:rsidRPr="0022239B">
        <w:rPr>
          <w:rStyle w:val="StyleUnderline"/>
        </w:rPr>
        <w:t xml:space="preserve"> </w:t>
      </w:r>
      <w:r w:rsidRPr="0022239B">
        <w:rPr>
          <w:rStyle w:val="Emphasis"/>
        </w:rPr>
        <w:t>expansion of the holding</w:t>
      </w:r>
      <w:r w:rsidRPr="00EE40EC">
        <w:rPr>
          <w:sz w:val="12"/>
        </w:rPr>
        <w:t xml:space="preserve">. The critical characteristics of deportation that made it a proper subject for counsel’s advice and advocacy in the plea process were that it was severe from the defendant’s point of view and virtually automatic. </w:t>
      </w:r>
      <w:r w:rsidRPr="0022239B">
        <w:rPr>
          <w:rStyle w:val="StyleUnderline"/>
        </w:rPr>
        <w:t>Although it is true that deportation is a particularly significant consequence</w:t>
      </w:r>
      <w:r w:rsidRPr="00EE40EC">
        <w:rPr>
          <w:sz w:val="12"/>
        </w:rPr>
        <w:t xml:space="preserve">, </w:t>
      </w:r>
      <w:r w:rsidRPr="0022239B">
        <w:rPr>
          <w:rStyle w:val="Emphasis"/>
        </w:rPr>
        <w:t>others are of similar magnitude</w:t>
      </w:r>
      <w:r w:rsidRPr="00EE40EC">
        <w:rPr>
          <w:sz w:val="12"/>
        </w:rPr>
        <w:t xml:space="preserve">. Also, at least in some cases, </w:t>
      </w:r>
      <w:r w:rsidRPr="0022239B">
        <w:rPr>
          <w:rStyle w:val="StyleUnderline"/>
        </w:rPr>
        <w:t>these consequences will share the characteristics the Court recognized as important in Padilla</w:t>
      </w:r>
      <w:r w:rsidRPr="00EE40EC">
        <w:rPr>
          <w:sz w:val="12"/>
        </w:rPr>
        <w:t xml:space="preserve">: </w:t>
      </w:r>
      <w:r w:rsidRPr="0022239B">
        <w:rPr>
          <w:rStyle w:val="StyleUnderline"/>
        </w:rPr>
        <w:t>They follow automatically from conviction and thus are tied directly to the criminal case;</w:t>
      </w:r>
      <w:r w:rsidRPr="00EE40EC">
        <w:rPr>
          <w:sz w:val="12"/>
        </w:rPr>
        <w:t xml:space="preserve"> they are important to the individuals involved; and they may therefore drive plea bargains. </w:t>
      </w:r>
      <w:r w:rsidRPr="0022239B">
        <w:rPr>
          <w:rStyle w:val="StyleUnderline"/>
        </w:rPr>
        <w:t xml:space="preserve">Several developments have made status as a convicted person more important and may explain the Court’s willingness to consider counsel’s duty in terms of the large and </w:t>
      </w:r>
      <w:r w:rsidRPr="0022239B">
        <w:rPr>
          <w:rStyle w:val="Emphasis"/>
        </w:rPr>
        <w:t>growing place of criminal conviction</w:t>
      </w:r>
      <w:r w:rsidRPr="0022239B">
        <w:rPr>
          <w:rStyle w:val="StyleUnderline"/>
        </w:rPr>
        <w:t xml:space="preserve"> in overall </w:t>
      </w:r>
      <w:r w:rsidRPr="0022239B">
        <w:rPr>
          <w:rStyle w:val="Emphasis"/>
        </w:rPr>
        <w:t>regulatory policy</w:t>
      </w:r>
      <w:r w:rsidRPr="00EE40EC">
        <w:rPr>
          <w:sz w:val="12"/>
        </w:rPr>
        <w:t xml:space="preserve">. </w:t>
      </w:r>
      <w:r w:rsidRPr="0022239B">
        <w:rPr>
          <w:rStyle w:val="StyleUnderline"/>
        </w:rPr>
        <w:t>Criminal conviction</w:t>
      </w:r>
      <w:r w:rsidRPr="00EE40EC">
        <w:rPr>
          <w:sz w:val="12"/>
        </w:rPr>
        <w:t xml:space="preserve"> was once a rare measure applied to a narrow slice of the population. In recent decades it </w:t>
      </w:r>
      <w:r w:rsidRPr="0022239B">
        <w:rPr>
          <w:rStyle w:val="Emphasis"/>
        </w:rPr>
        <w:t>has become a common tool of regulation</w:t>
      </w:r>
      <w:r w:rsidRPr="00EE40EC">
        <w:rPr>
          <w:sz w:val="12"/>
        </w:rPr>
        <w:t xml:space="preserve"> that applies to many people in different ways. At the same time, </w:t>
      </w:r>
      <w:r w:rsidRPr="0022239B">
        <w:rPr>
          <w:rStyle w:val="StyleUnderline"/>
        </w:rPr>
        <w:t>conviction has assumed a larger role in legal codes</w:t>
      </w:r>
      <w:r w:rsidRPr="00EE40EC">
        <w:rPr>
          <w:sz w:val="12"/>
        </w:rPr>
        <w:t xml:space="preserve"> as a sorting and risk-management device. </w:t>
      </w:r>
      <w:r w:rsidRPr="0022239B">
        <w:rPr>
          <w:rStyle w:val="StyleUnderline"/>
        </w:rPr>
        <w:t>Padilla may be understood as the</w:t>
      </w:r>
      <w:r w:rsidRPr="00EE40EC">
        <w:rPr>
          <w:sz w:val="12"/>
        </w:rPr>
        <w:t xml:space="preserve"> </w:t>
      </w:r>
      <w:r w:rsidRPr="0022239B">
        <w:rPr>
          <w:rStyle w:val="Emphasis"/>
        </w:rPr>
        <w:t>Court’s recognition that the expanded functions of conviction warrant an expanded role for counsel</w:t>
      </w:r>
      <w:r w:rsidRPr="00EE40EC">
        <w:rPr>
          <w:sz w:val="12"/>
        </w:rPr>
        <w:t xml:space="preserve">. The civil/criminal divide. </w:t>
      </w:r>
      <w:r w:rsidRPr="0022239B">
        <w:rPr>
          <w:rStyle w:val="StyleUnderline"/>
        </w:rPr>
        <w:t xml:space="preserve">One rationale for excluding collateral consequences from counsel’s duty rested on the </w:t>
      </w:r>
      <w:r w:rsidRPr="0022239B">
        <w:rPr>
          <w:rStyle w:val="Emphasis"/>
        </w:rPr>
        <w:t xml:space="preserve">noncriminal </w:t>
      </w:r>
      <w:r w:rsidRPr="0022239B">
        <w:rPr>
          <w:rStyle w:val="StyleUnderline"/>
        </w:rPr>
        <w:t>nature of the consequence</w:t>
      </w:r>
      <w:r w:rsidRPr="00EE40EC">
        <w:rPr>
          <w:sz w:val="12"/>
        </w:rPr>
        <w:t xml:space="preserve">. Deportation and other </w:t>
      </w:r>
      <w:r w:rsidRPr="0022239B">
        <w:rPr>
          <w:rStyle w:val="StyleUnderline"/>
        </w:rPr>
        <w:t>collateral consequences were civil, the logic went, so even if they were imposed because and only because of a criminal conviction, they were still beyond the scope of the Sixth Amendment</w:t>
      </w:r>
      <w:r w:rsidRPr="00EE40EC">
        <w:rPr>
          <w:sz w:val="12"/>
        </w:rPr>
        <w:t xml:space="preserve">. </w:t>
      </w:r>
      <w:r w:rsidRPr="00D91A21">
        <w:rPr>
          <w:rStyle w:val="StyleUnderline"/>
        </w:rPr>
        <w:t>This rationale was problematic</w:t>
      </w:r>
      <w:r w:rsidRPr="00EE40EC">
        <w:rPr>
          <w:sz w:val="12"/>
        </w:rPr>
        <w:t xml:space="preserve">, in part </w:t>
      </w:r>
      <w:r w:rsidRPr="00D91A21">
        <w:rPr>
          <w:rStyle w:val="Emphasis"/>
        </w:rPr>
        <w:t>because the civil/criminal distinction</w:t>
      </w:r>
      <w:r w:rsidRPr="00EE40EC">
        <w:rPr>
          <w:sz w:val="12"/>
        </w:rPr>
        <w:t xml:space="preserve"> </w:t>
      </w:r>
      <w:r w:rsidRPr="00D91A21">
        <w:rPr>
          <w:rStyle w:val="StyleUnderline"/>
        </w:rPr>
        <w:t>was either</w:t>
      </w:r>
      <w:r w:rsidRPr="00EE40EC">
        <w:rPr>
          <w:sz w:val="12"/>
        </w:rPr>
        <w:t xml:space="preserve"> </w:t>
      </w:r>
      <w:r w:rsidRPr="00D91A21">
        <w:rPr>
          <w:rStyle w:val="Emphasis"/>
        </w:rPr>
        <w:t>difficult to apply or arbitrary</w:t>
      </w:r>
      <w:r w:rsidRPr="00EE40EC">
        <w:rPr>
          <w:sz w:val="12"/>
        </w:rPr>
        <w:t xml:space="preserve">. </w:t>
      </w:r>
      <w:r w:rsidRPr="00D91A21">
        <w:rPr>
          <w:rStyle w:val="StyleUnderline"/>
        </w:rPr>
        <w:t>Treating collateral consequences as purely civil was also in tension with their historical association with criminal conviction</w:t>
      </w:r>
      <w:r w:rsidRPr="00EE40EC">
        <w:rPr>
          <w:sz w:val="12"/>
        </w:rPr>
        <w:t xml:space="preserve">. However, the effects in broad scope have been consistent: </w:t>
      </w:r>
      <w:r w:rsidRPr="00D91A21">
        <w:rPr>
          <w:rStyle w:val="StyleUnderline"/>
        </w:rPr>
        <w:t>Based on conviction of a serious crime, a person loses civil rights</w:t>
      </w:r>
      <w:r w:rsidRPr="00EE40EC">
        <w:rPr>
          <w:sz w:val="12"/>
        </w:rPr>
        <w:t xml:space="preserve">. In the United States, the civil death associated with felony conviction was historically regarded as punishment, and it is still understood as punishment today. </w:t>
      </w:r>
      <w:r w:rsidRPr="00D91A21">
        <w:rPr>
          <w:rStyle w:val="StyleUnderline"/>
        </w:rPr>
        <w:t>For these reasons, the civil/criminal distinction was not a fully satisfying explanation for treating collateral consequences as outside the Sixth Amendment</w:t>
      </w:r>
      <w:r w:rsidRPr="00EE40EC">
        <w:rPr>
          <w:sz w:val="12"/>
        </w:rPr>
        <w:t>.</w:t>
      </w:r>
    </w:p>
    <w:p w14:paraId="4AF2016F" w14:textId="77777777" w:rsidR="00F633C8" w:rsidRDefault="00F633C8" w:rsidP="00F633C8">
      <w:pPr>
        <w:pStyle w:val="Heading4"/>
      </w:pPr>
      <w:r>
        <w:t xml:space="preserve">circuit splits ensure confusion in the </w:t>
      </w:r>
      <w:proofErr w:type="spellStart"/>
      <w:r>
        <w:t>squo</w:t>
      </w:r>
      <w:proofErr w:type="spellEnd"/>
      <w:r>
        <w:t xml:space="preserve">- the </w:t>
      </w:r>
      <w:proofErr w:type="spellStart"/>
      <w:r>
        <w:t>aff</w:t>
      </w:r>
      <w:proofErr w:type="spellEnd"/>
      <w:r>
        <w:t xml:space="preserve"> is the only way to reverse confusion and ensure equitable sentencing</w:t>
      </w:r>
    </w:p>
    <w:p w14:paraId="412DDFAF" w14:textId="77777777" w:rsidR="00F633C8" w:rsidRPr="001463A1" w:rsidRDefault="00F633C8" w:rsidP="00F633C8"/>
    <w:p w14:paraId="17EB06AE" w14:textId="77777777" w:rsidR="00F633C8" w:rsidRPr="00FD5DD1" w:rsidRDefault="00F633C8" w:rsidP="00F633C8">
      <w:pPr>
        <w:rPr>
          <w:sz w:val="20"/>
          <w:szCs w:val="20"/>
        </w:rPr>
      </w:pPr>
      <w:proofErr w:type="spellStart"/>
      <w:r w:rsidRPr="00FD5DD1">
        <w:rPr>
          <w:b/>
          <w:bCs/>
          <w:sz w:val="24"/>
          <w:szCs w:val="24"/>
        </w:rPr>
        <w:t>Macdowell</w:t>
      </w:r>
      <w:proofErr w:type="spellEnd"/>
      <w:r w:rsidRPr="00FD5DD1">
        <w:rPr>
          <w:b/>
          <w:bCs/>
          <w:sz w:val="24"/>
          <w:szCs w:val="24"/>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14"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2E6C0D57" w14:textId="77777777" w:rsidR="00F633C8" w:rsidRPr="00225371" w:rsidRDefault="00F633C8" w:rsidP="00F633C8">
      <w:pPr>
        <w:rPr>
          <w:b/>
          <w:u w:val="single"/>
        </w:rPr>
      </w:pPr>
      <w:r w:rsidRPr="0066471A">
        <w:rPr>
          <w:sz w:val="14"/>
        </w:rPr>
        <w:t xml:space="preserve"> </w:t>
      </w:r>
      <w:r w:rsidRPr="00F02723">
        <w:rPr>
          <w:b/>
          <w:bCs/>
          <w:u w:val="single"/>
        </w:rPr>
        <w:t>Conventional criminal sentences include only the direct punishments for a crime</w:t>
      </w:r>
      <w:r w:rsidRPr="0066471A">
        <w:rPr>
          <w:sz w:val="14"/>
        </w:rPr>
        <w:t xml:space="preserve">.          2These direct forms of punishment </w:t>
      </w:r>
      <w:r w:rsidRPr="00F02723">
        <w:rPr>
          <w:b/>
          <w:bCs/>
          <w:u w:val="single"/>
        </w:rPr>
        <w:t>include incarceration, fines, and community supervision</w:t>
      </w:r>
      <w:r w:rsidRPr="0066471A">
        <w:rPr>
          <w:sz w:val="14"/>
        </w:rPr>
        <w:t>.          3While these may be the first aspects of a criminal sentence that come to mind</w:t>
      </w:r>
      <w:r w:rsidRPr="00F02723">
        <w:rPr>
          <w:b/>
          <w:bCs/>
          <w:u w:val="single"/>
        </w:rPr>
        <w:t>, they are not the sole forms of punishment imposed</w:t>
      </w:r>
      <w:r w:rsidRPr="0066471A">
        <w:rPr>
          <w:sz w:val="14"/>
        </w:rPr>
        <w:t xml:space="preserve">. In addition to these direct forms of punishment, </w:t>
      </w:r>
      <w:r w:rsidRPr="00F02723">
        <w:rPr>
          <w:b/>
          <w:bCs/>
          <w:u w:val="single"/>
        </w:rPr>
        <w:t>many indirect effects, or collateral consequences,</w:t>
      </w:r>
      <w:r w:rsidRPr="0066471A">
        <w:rPr>
          <w:sz w:val="14"/>
        </w:rPr>
        <w:t xml:space="preserve"> can </w:t>
      </w:r>
      <w:r w:rsidRPr="00F02723">
        <w:rPr>
          <w:b/>
          <w:bCs/>
          <w:u w:val="single"/>
        </w:rPr>
        <w:t>arise</w:t>
      </w:r>
      <w:r w:rsidRPr="0066471A">
        <w:rPr>
          <w:sz w:val="14"/>
        </w:rPr>
        <w:t xml:space="preserve">. </w:t>
      </w:r>
      <w:r w:rsidRPr="00F02723">
        <w:rPr>
          <w:b/>
          <w:bCs/>
          <w:highlight w:val="green"/>
          <w:u w:val="single"/>
        </w:rPr>
        <w:t>Federal circuits are split on how to address collateral consequences</w:t>
      </w:r>
      <w:r w:rsidRPr="00F02723">
        <w:rPr>
          <w:b/>
          <w:bCs/>
          <w:u w:val="single"/>
        </w:rPr>
        <w:t xml:space="preserve"> </w:t>
      </w:r>
      <w:r w:rsidRPr="00F02723">
        <w:rPr>
          <w:b/>
          <w:bCs/>
          <w:highlight w:val="green"/>
          <w:u w:val="single"/>
        </w:rPr>
        <w:t>in sentencing</w:t>
      </w:r>
      <w:r w:rsidRPr="00F02723">
        <w:rPr>
          <w:b/>
          <w:bCs/>
          <w:u w:val="single"/>
        </w:rPr>
        <w:t>,</w:t>
      </w:r>
      <w:r w:rsidRPr="0066471A">
        <w:rPr>
          <w:sz w:val="14"/>
        </w:rPr>
        <w:t xml:space="preserve"> </w:t>
      </w:r>
      <w:r w:rsidRPr="00F02723">
        <w:rPr>
          <w:rStyle w:val="StyleUnderline"/>
        </w:rPr>
        <w:t>and the Supreme Court has yet to opine on the matter</w:t>
      </w:r>
      <w:r w:rsidRPr="0066471A">
        <w:rPr>
          <w:sz w:val="14"/>
        </w:rPr>
        <w:t xml:space="preserve">. </w:t>
      </w:r>
      <w:r w:rsidRPr="00F02723">
        <w:rPr>
          <w:sz w:val="14"/>
          <w:highlight w:val="green"/>
        </w:rPr>
        <w:t>4</w:t>
      </w:r>
      <w:r w:rsidRPr="00F02723">
        <w:rPr>
          <w:b/>
          <w:bCs/>
          <w:highlight w:val="green"/>
          <w:u w:val="single"/>
        </w:rPr>
        <w:t>Some federal circuits consider</w:t>
      </w:r>
      <w:r w:rsidRPr="0066471A">
        <w:rPr>
          <w:sz w:val="14"/>
        </w:rPr>
        <w:t xml:space="preserve"> external factors in sentencing, including </w:t>
      </w:r>
      <w:r w:rsidRPr="00F02723">
        <w:rPr>
          <w:b/>
          <w:bCs/>
          <w:highlight w:val="green"/>
          <w:u w:val="single"/>
        </w:rPr>
        <w:t>collateral consequences</w:t>
      </w:r>
      <w:r w:rsidRPr="0066471A">
        <w:rPr>
          <w:sz w:val="14"/>
        </w:rPr>
        <w:t xml:space="preserve">, while </w:t>
      </w:r>
      <w:r w:rsidRPr="00F02723">
        <w:rPr>
          <w:b/>
          <w:bCs/>
          <w:highlight w:val="green"/>
          <w:u w:val="single"/>
        </w:rPr>
        <w:t>others do not</w:t>
      </w:r>
      <w:r w:rsidRPr="0066471A">
        <w:rPr>
          <w:sz w:val="14"/>
        </w:rPr>
        <w:t xml:space="preserve">. 5The </w:t>
      </w:r>
      <w:r w:rsidRPr="00F02723">
        <w:rPr>
          <w:b/>
          <w:bCs/>
          <w:u w:val="single"/>
        </w:rPr>
        <w:t>circuits that consider these consequences</w:t>
      </w:r>
      <w:r w:rsidRPr="0066471A">
        <w:rPr>
          <w:sz w:val="14"/>
        </w:rPr>
        <w:t xml:space="preserve"> of imposing criminal sentences deviate from the advisory Federal Sentencing Guidelines ("the Sentencing Guidelines") and </w:t>
      </w:r>
      <w:r w:rsidRPr="00F02723">
        <w:rPr>
          <w:b/>
          <w:bCs/>
          <w:u w:val="single"/>
        </w:rPr>
        <w:t>may impose lesser sentences than the crime may ordinarily warrant</w:t>
      </w:r>
      <w:r w:rsidRPr="0066471A">
        <w:rPr>
          <w:sz w:val="14"/>
        </w:rPr>
        <w:t xml:space="preserve">. 6Conversely, </w:t>
      </w:r>
      <w:r w:rsidRPr="00F02723">
        <w:rPr>
          <w:b/>
          <w:bCs/>
          <w:u w:val="single"/>
        </w:rPr>
        <w:t>other jurisdictions that ignore the consequences of the sentences may be imposing sentences that over-punish offenders</w:t>
      </w:r>
      <w:r w:rsidRPr="0066471A">
        <w:rPr>
          <w:sz w:val="14"/>
        </w:rPr>
        <w:t xml:space="preserve">. </w:t>
      </w:r>
      <w:r w:rsidRPr="00F02723">
        <w:rPr>
          <w:rStyle w:val="StyleUnderline"/>
          <w:highlight w:val="green"/>
        </w:rPr>
        <w:t xml:space="preserve">This </w:t>
      </w:r>
      <w:r w:rsidRPr="00F02723">
        <w:rPr>
          <w:b/>
          <w:bCs/>
          <w:highlight w:val="green"/>
          <w:u w:val="single"/>
        </w:rPr>
        <w:t xml:space="preserve">discrepancy </w:t>
      </w:r>
      <w:r w:rsidRPr="008A41E5">
        <w:rPr>
          <w:b/>
          <w:bCs/>
          <w:u w:val="single"/>
        </w:rPr>
        <w:t>in the treatment of collateral consequences</w:t>
      </w:r>
      <w:r w:rsidRPr="0066471A">
        <w:rPr>
          <w:sz w:val="14"/>
        </w:rPr>
        <w:t xml:space="preserve"> for sentencing purposes </w:t>
      </w:r>
      <w:r w:rsidRPr="00F02723">
        <w:rPr>
          <w:b/>
          <w:bCs/>
          <w:highlight w:val="green"/>
          <w:u w:val="single"/>
        </w:rPr>
        <w:t>likely leads to a violation</w:t>
      </w:r>
      <w:r w:rsidRPr="0066471A">
        <w:rPr>
          <w:sz w:val="14"/>
        </w:rPr>
        <w:t xml:space="preserve"> [*810] </w:t>
      </w:r>
      <w:r w:rsidRPr="00F02723">
        <w:rPr>
          <w:b/>
          <w:bCs/>
          <w:highlight w:val="green"/>
          <w:u w:val="single"/>
        </w:rPr>
        <w:t xml:space="preserve">of horizontal equity and can result in </w:t>
      </w:r>
      <w:r w:rsidRPr="008A41E5">
        <w:rPr>
          <w:rStyle w:val="Emphasis"/>
          <w:highlight w:val="green"/>
        </w:rPr>
        <w:t>disparate sentencing impacts</w:t>
      </w:r>
      <w:r w:rsidRPr="00F02723">
        <w:rPr>
          <w:b/>
          <w:bCs/>
          <w:highlight w:val="green"/>
          <w:u w:val="single"/>
        </w:rPr>
        <w:t xml:space="preserve"> on two otherwise similarly situated criminal defendants</w:t>
      </w:r>
      <w:r w:rsidRPr="0066471A">
        <w:rPr>
          <w:sz w:val="14"/>
        </w:rPr>
        <w:t>. One of these collateral consequences is the inability to obtain employment following completion of the sentence. 7Possessing a criminal record makes individuals 50%</w:t>
      </w:r>
    </w:p>
    <w:p w14:paraId="3B693E22" w14:textId="77777777" w:rsidR="0031702E" w:rsidRDefault="0031702E" w:rsidP="0031702E"/>
    <w:p w14:paraId="4F8183F4" w14:textId="5D7D5F4A" w:rsidR="0031702E" w:rsidRDefault="002E60E9" w:rsidP="0031702E">
      <w:pPr>
        <w:pStyle w:val="Heading3"/>
      </w:pPr>
      <w:r>
        <w:t>Framing</w:t>
      </w:r>
    </w:p>
    <w:p w14:paraId="36B00D2B" w14:textId="77777777" w:rsidR="0031702E" w:rsidRDefault="0031702E" w:rsidP="0031702E">
      <w:pPr>
        <w:pStyle w:val="Heading4"/>
      </w:pPr>
      <w:r>
        <w:t>Contention Three: Framing</w:t>
      </w:r>
    </w:p>
    <w:p w14:paraId="1AF6092F" w14:textId="77777777" w:rsidR="0031702E" w:rsidRDefault="0031702E" w:rsidP="0031702E"/>
    <w:p w14:paraId="6BCB0C64" w14:textId="0AE3E474" w:rsidR="0031702E" w:rsidRDefault="0031702E" w:rsidP="0031702E">
      <w:pPr>
        <w:pStyle w:val="Heading4"/>
      </w:pPr>
      <w:r>
        <w:t xml:space="preserve">Prioritize structural impacts.  </w:t>
      </w:r>
      <w:r>
        <w:rPr>
          <w:u w:val="single"/>
        </w:rPr>
        <w:t>Security-theater</w:t>
      </w:r>
      <w:r>
        <w:t xml:space="preserve"> distracts attention from structural inequality</w:t>
      </w:r>
    </w:p>
    <w:p w14:paraId="63BFDC6D" w14:textId="77777777" w:rsidR="00BE6017" w:rsidRPr="00BE6017" w:rsidRDefault="00BE6017" w:rsidP="00BE6017"/>
    <w:p w14:paraId="67A73AA2" w14:textId="77777777" w:rsidR="0031702E" w:rsidRPr="00965E80" w:rsidRDefault="0031702E" w:rsidP="0031702E">
      <w:pPr>
        <w:rPr>
          <w:szCs w:val="20"/>
        </w:rPr>
      </w:pPr>
      <w:r w:rsidRPr="00965E80">
        <w:rPr>
          <w:szCs w:val="20"/>
        </w:rPr>
        <w:t xml:space="preserve">Richard </w:t>
      </w:r>
      <w:r w:rsidRPr="00965E80">
        <w:rPr>
          <w:rStyle w:val="Style13ptBold"/>
        </w:rPr>
        <w:t>Jackson 12</w:t>
      </w:r>
      <w:r w:rsidRPr="00965E80">
        <w:t xml:space="preserve">, </w:t>
      </w:r>
      <w:r w:rsidRPr="00965E80">
        <w:rPr>
          <w:szCs w:val="20"/>
        </w:rPr>
        <w:t>Director of the National Centre for Peace and Conflict Studies, the University of Otago. Professor of International Politics at Aberystwyth University, “The Great Con of National Security”, http://richardjacksonterrorismblog.wordpress.com/2012/08/05/the-great-con-of-national-security/</w:t>
      </w:r>
    </w:p>
    <w:p w14:paraId="15813EAF" w14:textId="3A116327" w:rsidR="0031702E" w:rsidRPr="002E60E9" w:rsidRDefault="0031702E" w:rsidP="0031702E">
      <w:pPr>
        <w:rPr>
          <w:sz w:val="10"/>
        </w:rPr>
      </w:pPr>
      <w:r w:rsidRPr="00965E80">
        <w:rPr>
          <w:rStyle w:val="StyleUnderline"/>
        </w:rPr>
        <w:t xml:space="preserve">It </w:t>
      </w:r>
      <w:r w:rsidRPr="002E60E9">
        <w:rPr>
          <w:rStyle w:val="StyleUnderline"/>
        </w:rPr>
        <w:t>may have once</w:t>
      </w:r>
      <w:r w:rsidRPr="002E60E9">
        <w:rPr>
          <w:sz w:val="10"/>
        </w:rPr>
        <w:t xml:space="preserve"> </w:t>
      </w:r>
      <w:r w:rsidRPr="002E60E9">
        <w:rPr>
          <w:rStyle w:val="StyleUnderline"/>
        </w:rPr>
        <w:t>been</w:t>
      </w:r>
      <w:r w:rsidRPr="002E60E9">
        <w:rPr>
          <w:sz w:val="10"/>
        </w:rPr>
        <w:t xml:space="preserve"> the case </w:t>
      </w:r>
      <w:r w:rsidRPr="002E60E9">
        <w:rPr>
          <w:rStyle w:val="StyleUnderline"/>
        </w:rPr>
        <w:t>that being attacked by another country was a major threat</w:t>
      </w:r>
      <w:r w:rsidRPr="002E60E9">
        <w:rPr>
          <w:sz w:val="10"/>
        </w:rPr>
        <w:t xml:space="preserve"> </w:t>
      </w:r>
      <w:r w:rsidRPr="002E60E9">
        <w:rPr>
          <w:rStyle w:val="StyleUnderline"/>
        </w:rPr>
        <w:t>to the lives of ordinary people</w:t>
      </w:r>
      <w:r w:rsidRPr="002E60E9">
        <w:rPr>
          <w:sz w:val="10"/>
        </w:rPr>
        <w:t xml:space="preserve">. It may also be true that there are still some </w:t>
      </w:r>
      <w:proofErr w:type="gramStart"/>
      <w:r w:rsidRPr="002E60E9">
        <w:rPr>
          <w:sz w:val="10"/>
        </w:rPr>
        <w:t>pretty serious</w:t>
      </w:r>
      <w:proofErr w:type="gramEnd"/>
      <w:r w:rsidRPr="002E60E9">
        <w:rPr>
          <w:sz w:val="10"/>
        </w:rPr>
        <w:t xml:space="preserve"> dangers out there associated with the spread of nuclear weapons. </w:t>
      </w:r>
      <w:r w:rsidRPr="002E60E9">
        <w:rPr>
          <w:rStyle w:val="StyleUnderline"/>
        </w:rPr>
        <w:t>For the most part, however, most of what you’ve been told about national security</w:t>
      </w:r>
      <w:r w:rsidRPr="002E60E9">
        <w:rPr>
          <w:sz w:val="10"/>
        </w:rPr>
        <w:t xml:space="preserve"> </w:t>
      </w:r>
      <w:r w:rsidRPr="002E60E9">
        <w:rPr>
          <w:rStyle w:val="StyleUnderline"/>
        </w:rPr>
        <w:t>and all the big threats</w:t>
      </w:r>
      <w:r w:rsidRPr="002E60E9">
        <w:rPr>
          <w:sz w:val="10"/>
        </w:rPr>
        <w:t xml:space="preserve"> which can supposedly kill you </w:t>
      </w:r>
      <w:r w:rsidRPr="002E60E9">
        <w:rPr>
          <w:rStyle w:val="StyleUnderline"/>
        </w:rPr>
        <w:t>is one big con designed to distract you</w:t>
      </w:r>
      <w:r w:rsidRPr="002E60E9">
        <w:rPr>
          <w:sz w:val="10"/>
        </w:rPr>
        <w:t xml:space="preserve"> from the things that can really hurt you, such as the poverty, inequality and structural violence of capitalism, global warming, and the manufacture and proliferation of weapons – among others.</w:t>
      </w:r>
      <w:r w:rsidR="002E60E9" w:rsidRPr="002E60E9">
        <w:rPr>
          <w:sz w:val="12"/>
        </w:rPr>
        <w:t>¶</w:t>
      </w:r>
      <w:r w:rsidRPr="002E60E9">
        <w:rPr>
          <w:sz w:val="10"/>
        </w:rPr>
        <w:t xml:space="preserve"> </w:t>
      </w:r>
      <w:r w:rsidRPr="002E60E9">
        <w:rPr>
          <w:rStyle w:val="StyleUnderline"/>
        </w:rPr>
        <w:t xml:space="preserve">The facts are simple and irrefutable: </w:t>
      </w:r>
      <w:r w:rsidRPr="002E60E9">
        <w:rPr>
          <w:rStyle w:val="Emphasis"/>
        </w:rPr>
        <w:t>you’re far more likely to die from lack of health care</w:t>
      </w:r>
      <w:r w:rsidRPr="002E60E9">
        <w:rPr>
          <w:sz w:val="10"/>
        </w:rPr>
        <w:t xml:space="preserve"> provision </w:t>
      </w:r>
      <w:r w:rsidRPr="002E60E9">
        <w:rPr>
          <w:rStyle w:val="StyleUnderline"/>
        </w:rPr>
        <w:t>than</w:t>
      </w:r>
      <w:r w:rsidRPr="002E60E9">
        <w:rPr>
          <w:sz w:val="10"/>
        </w:rPr>
        <w:t xml:space="preserve"> you are from </w:t>
      </w:r>
      <w:r w:rsidRPr="002E60E9">
        <w:rPr>
          <w:rStyle w:val="StyleUnderline"/>
        </w:rPr>
        <w:t>terrorism</w:t>
      </w:r>
      <w:r w:rsidRPr="002E60E9">
        <w:rPr>
          <w:sz w:val="10"/>
        </w:rPr>
        <w:t xml:space="preserve">; from stress and overwork than </w:t>
      </w:r>
      <w:r w:rsidRPr="002E60E9">
        <w:rPr>
          <w:rStyle w:val="StyleUnderline"/>
        </w:rPr>
        <w:t>Iran</w:t>
      </w:r>
      <w:r w:rsidRPr="002E60E9">
        <w:rPr>
          <w:sz w:val="10"/>
        </w:rPr>
        <w:t xml:space="preserve">ian </w:t>
      </w:r>
      <w:r w:rsidRPr="002E60E9">
        <w:rPr>
          <w:rStyle w:val="StyleUnderline"/>
        </w:rPr>
        <w:t xml:space="preserve">or </w:t>
      </w:r>
      <w:r w:rsidRPr="002E60E9">
        <w:rPr>
          <w:sz w:val="10"/>
        </w:rPr>
        <w:t xml:space="preserve">North Korean </w:t>
      </w:r>
      <w:r w:rsidRPr="002E60E9">
        <w:rPr>
          <w:rStyle w:val="StyleUnderline"/>
        </w:rPr>
        <w:t>nuclear missiles</w:t>
      </w:r>
      <w:r w:rsidRPr="002E60E9">
        <w:rPr>
          <w:sz w:val="10"/>
        </w:rPr>
        <w:t xml:space="preserve">; from lack of road safety than from illegal immigrants; from mental illness and suicide than from computer hackers; from domestic violence than from asylum seekers; </w:t>
      </w:r>
      <w:r w:rsidRPr="002E60E9">
        <w:rPr>
          <w:rStyle w:val="StyleUnderline"/>
        </w:rPr>
        <w:t>from the misuse of legal medicines</w:t>
      </w:r>
      <w:r w:rsidRPr="002E60E9">
        <w:rPr>
          <w:sz w:val="10"/>
        </w:rPr>
        <w:t xml:space="preserve"> and alcohol abuse </w:t>
      </w:r>
      <w:r w:rsidRPr="002E60E9">
        <w:rPr>
          <w:rStyle w:val="StyleUnderline"/>
        </w:rPr>
        <w:t>than</w:t>
      </w:r>
      <w:r w:rsidRPr="002E60E9">
        <w:rPr>
          <w:sz w:val="10"/>
        </w:rPr>
        <w:t xml:space="preserve"> from </w:t>
      </w:r>
      <w:r w:rsidRPr="002E60E9">
        <w:rPr>
          <w:rStyle w:val="StyleUnderline"/>
        </w:rPr>
        <w:t>international drug lords</w:t>
      </w:r>
      <w:r w:rsidRPr="002E60E9">
        <w:rPr>
          <w:sz w:val="10"/>
        </w:rPr>
        <w:t xml:space="preserve">. And yet, politicians and </w:t>
      </w:r>
      <w:r w:rsidRPr="002E60E9">
        <w:rPr>
          <w:rStyle w:val="StyleUnderline"/>
        </w:rPr>
        <w:t xml:space="preserve">the servile media spend most of their time talking about the threats </w:t>
      </w:r>
      <w:r w:rsidRPr="002E60E9">
        <w:rPr>
          <w:sz w:val="10"/>
        </w:rPr>
        <w:t xml:space="preserve">posed by terrorism, immigration, asylum seekers, the international drug trade, the nuclear </w:t>
      </w:r>
      <w:proofErr w:type="spellStart"/>
      <w:r w:rsidRPr="002E60E9">
        <w:rPr>
          <w:sz w:val="10"/>
        </w:rPr>
        <w:t>programmes</w:t>
      </w:r>
      <w:proofErr w:type="spellEnd"/>
      <w:r w:rsidRPr="002E60E9">
        <w:rPr>
          <w:sz w:val="10"/>
        </w:rPr>
        <w:t xml:space="preserve"> of Iran and North Korea, computer hackers, animal rights activism, the threat of China, and a host of other issues which are </w:t>
      </w:r>
      <w:r w:rsidRPr="002E60E9">
        <w:rPr>
          <w:rStyle w:val="StyleUnderline"/>
        </w:rPr>
        <w:t>all</w:t>
      </w:r>
      <w:r w:rsidRPr="002E60E9">
        <w:rPr>
          <w:sz w:val="10"/>
        </w:rPr>
        <w:t xml:space="preserve"> about as </w:t>
      </w:r>
      <w:r w:rsidRPr="002E60E9">
        <w:rPr>
          <w:rStyle w:val="StyleUnderline"/>
        </w:rPr>
        <w:t xml:space="preserve">equally unlikely to affect </w:t>
      </w:r>
      <w:r w:rsidRPr="002E60E9">
        <w:rPr>
          <w:sz w:val="10"/>
        </w:rPr>
        <w:t xml:space="preserve">the health and well-being of </w:t>
      </w:r>
      <w:r w:rsidRPr="002E60E9">
        <w:rPr>
          <w:rStyle w:val="StyleUnderline"/>
        </w:rPr>
        <w:t>you</w:t>
      </w:r>
      <w:r w:rsidRPr="002E60E9">
        <w:rPr>
          <w:sz w:val="10"/>
        </w:rPr>
        <w:t xml:space="preserve"> and your family. Along with this obsessive and perennial discussion of so-called ‘national security issues’, </w:t>
      </w:r>
      <w:r w:rsidRPr="002E60E9">
        <w:rPr>
          <w:rStyle w:val="StyleUnderline"/>
        </w:rPr>
        <w:t>the state spends</w:t>
      </w:r>
      <w:r w:rsidRPr="002E60E9">
        <w:rPr>
          <w:sz w:val="10"/>
        </w:rPr>
        <w:t xml:space="preserve"> truly </w:t>
      </w:r>
      <w:r w:rsidRPr="002E60E9">
        <w:rPr>
          <w:rStyle w:val="StyleUnderline"/>
        </w:rPr>
        <w:t>vast sums</w:t>
      </w:r>
      <w:r w:rsidRPr="002E60E9">
        <w:rPr>
          <w:sz w:val="10"/>
        </w:rPr>
        <w:t xml:space="preserve"> on security measures </w:t>
      </w:r>
      <w:r w:rsidRPr="002E60E9">
        <w:rPr>
          <w:rStyle w:val="StyleUnderline"/>
        </w:rPr>
        <w:t>which have</w:t>
      </w:r>
      <w:r w:rsidRPr="002E60E9">
        <w:rPr>
          <w:sz w:val="10"/>
        </w:rPr>
        <w:t xml:space="preserve"> virtually </w:t>
      </w:r>
      <w:r w:rsidRPr="002E60E9">
        <w:rPr>
          <w:rStyle w:val="StyleUnderline"/>
        </w:rPr>
        <w:t>no</w:t>
      </w:r>
      <w:r w:rsidRPr="002E60E9">
        <w:rPr>
          <w:sz w:val="10"/>
        </w:rPr>
        <w:t xml:space="preserve"> </w:t>
      </w:r>
      <w:r w:rsidRPr="002E60E9">
        <w:rPr>
          <w:rStyle w:val="StyleUnderline"/>
        </w:rPr>
        <w:t>impact on</w:t>
      </w:r>
      <w:r w:rsidRPr="002E60E9">
        <w:rPr>
          <w:sz w:val="10"/>
        </w:rPr>
        <w:t xml:space="preserve"> </w:t>
      </w:r>
      <w:r w:rsidRPr="002E60E9">
        <w:rPr>
          <w:rStyle w:val="StyleUnderline"/>
        </w:rPr>
        <w:t>the actual risk of dying from these threats</w:t>
      </w:r>
      <w:r w:rsidRPr="002E60E9">
        <w:rPr>
          <w:sz w:val="10"/>
        </w:rPr>
        <w:t>, and then engages in massive displays of ‘</w:t>
      </w:r>
      <w:r w:rsidRPr="002E60E9">
        <w:rPr>
          <w:rStyle w:val="Emphasis"/>
        </w:rPr>
        <w:t>security theatre’</w:t>
      </w:r>
      <w:r w:rsidRPr="002E60E9">
        <w:rPr>
          <w:sz w:val="10"/>
        </w:rPr>
        <w:t xml:space="preserv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This display </w:t>
      </w:r>
      <w:r w:rsidRPr="002E60E9">
        <w:rPr>
          <w:rStyle w:val="StyleUnderline"/>
        </w:rPr>
        <w:t>is meant to convince you that these threats are</w:t>
      </w:r>
      <w:r w:rsidRPr="002E60E9">
        <w:rPr>
          <w:sz w:val="10"/>
        </w:rPr>
        <w:t xml:space="preserve"> really, really </w:t>
      </w:r>
      <w:r w:rsidRPr="002E60E9">
        <w:rPr>
          <w:rStyle w:val="StyleUnderline"/>
        </w:rPr>
        <w:t>serious</w:t>
      </w:r>
      <w:r w:rsidRPr="002E60E9">
        <w:rPr>
          <w:sz w:val="10"/>
        </w:rPr>
        <w:t>.</w:t>
      </w:r>
      <w:r w:rsidR="002E60E9" w:rsidRPr="002E60E9">
        <w:rPr>
          <w:sz w:val="12"/>
        </w:rPr>
        <w:t>¶</w:t>
      </w:r>
      <w:r w:rsidRPr="002E60E9">
        <w:rPr>
          <w:sz w:val="10"/>
        </w:rPr>
        <w:t xml:space="preserve"> And while all this is going on, the </w:t>
      </w:r>
      <w:r w:rsidRPr="002E60E9">
        <w:rPr>
          <w:rStyle w:val="StyleUnderline"/>
        </w:rPr>
        <w:t>rulers</w:t>
      </w:r>
      <w:r w:rsidRPr="002E60E9">
        <w:rPr>
          <w:sz w:val="10"/>
        </w:rPr>
        <w:t xml:space="preserve"> of society </w:t>
      </w:r>
      <w:r w:rsidRPr="002E60E9">
        <w:rPr>
          <w:rStyle w:val="StyleUnderline"/>
        </w:rPr>
        <w:t>are hoping that you won’t notice that</w:t>
      </w:r>
      <w:r w:rsidRPr="002E60E9">
        <w:rPr>
          <w:sz w:val="10"/>
        </w:rPr>
        <w:t xml:space="preserve"> </w:t>
      </w:r>
      <w:r w:rsidRPr="002E60E9">
        <w:rPr>
          <w:rStyle w:val="StyleUnderline"/>
        </w:rPr>
        <w:t>increasing</w:t>
      </w:r>
      <w:r w:rsidRPr="002E60E9">
        <w:rPr>
          <w:sz w:val="10"/>
        </w:rPr>
        <w:t xml:space="preserve"> social and economic </w:t>
      </w:r>
      <w:r w:rsidRPr="002E60E9">
        <w:rPr>
          <w:rStyle w:val="StyleUnderline"/>
        </w:rPr>
        <w:t>inequality</w:t>
      </w:r>
      <w:r w:rsidRPr="002E60E9">
        <w:rPr>
          <w:sz w:val="10"/>
        </w:rPr>
        <w:t xml:space="preserve"> in society </w:t>
      </w:r>
      <w:r w:rsidRPr="002E60E9">
        <w:rPr>
          <w:rStyle w:val="StyleUnderline"/>
        </w:rPr>
        <w:t>leads to increased ill health</w:t>
      </w:r>
      <w:r w:rsidRPr="002E60E9">
        <w:rPr>
          <w:sz w:val="10"/>
        </w:rPr>
        <w:t xml:space="preserve"> for a growing underclass; that suicide and crime always rise when unemployment rises; that workplaces remain highly dangerous and kill and maim hundreds of people per year; </w:t>
      </w:r>
      <w:r w:rsidRPr="002E60E9">
        <w:rPr>
          <w:rStyle w:val="StyleUnderline"/>
        </w:rPr>
        <w:t>that there are preventable diseases which plague</w:t>
      </w:r>
      <w:r w:rsidRPr="002E60E9">
        <w:rPr>
          <w:sz w:val="10"/>
        </w:rPr>
        <w:t xml:space="preserve"> the poorer sections of </w:t>
      </w:r>
      <w:r w:rsidRPr="002E60E9">
        <w:rPr>
          <w:rStyle w:val="StyleUnderline"/>
        </w:rPr>
        <w:t>society</w:t>
      </w:r>
      <w:r w:rsidRPr="002E60E9">
        <w:rPr>
          <w:sz w:val="10"/>
        </w:rPr>
        <w:t xml:space="preserve">; that domestic violence kills and injures thousands of women and children annually; </w:t>
      </w:r>
      <w:r w:rsidRPr="002E60E9">
        <w:rPr>
          <w:rStyle w:val="StyleUnderline"/>
        </w:rPr>
        <w:t>and that</w:t>
      </w:r>
      <w:r w:rsidRPr="002E60E9">
        <w:rPr>
          <w:sz w:val="10"/>
        </w:rPr>
        <w:t xml:space="preserve"> globally, </w:t>
      </w:r>
      <w:r w:rsidRPr="002E60E9">
        <w:rPr>
          <w:rStyle w:val="StyleUnderline"/>
        </w:rPr>
        <w:t xml:space="preserve">poverty </w:t>
      </w:r>
      <w:r w:rsidRPr="002E60E9">
        <w:rPr>
          <w:sz w:val="10"/>
        </w:rPr>
        <w:t xml:space="preserve">and </w:t>
      </w:r>
      <w:r w:rsidRPr="002E60E9">
        <w:rPr>
          <w:rStyle w:val="StyleUnderline"/>
        </w:rPr>
        <w:t>preventable disease kills tens of millions</w:t>
      </w:r>
      <w:r w:rsidRPr="002E60E9">
        <w:rPr>
          <w:sz w:val="10"/>
        </w:rPr>
        <w:t xml:space="preserve"> of people needlessly </w:t>
      </w:r>
      <w:r w:rsidRPr="002E60E9">
        <w:rPr>
          <w:rStyle w:val="StyleUnderline"/>
        </w:rPr>
        <w:t>every year</w:t>
      </w:r>
      <w:r w:rsidRPr="002E60E9">
        <w:rPr>
          <w:sz w:val="10"/>
        </w:rPr>
        <w:t>. In other words, they are hoping that you won’t notice how much structural violence there is in the world.</w:t>
      </w:r>
      <w:r w:rsidR="002E60E9" w:rsidRPr="002E60E9">
        <w:rPr>
          <w:sz w:val="12"/>
        </w:rPr>
        <w:t>¶</w:t>
      </w:r>
      <w:r w:rsidRPr="002E60E9">
        <w:rPr>
          <w:sz w:val="10"/>
        </w:rPr>
        <w:t xml:space="preserve"> More than this, they are hoping that you won’t notice that while literally trillions of dollars are spent on military weapons, foreign wars and security theatre (which also arguably do nothing to make any us any safer, and may even make us marginally less safe), that domestic violence </w:t>
      </w:r>
      <w:proofErr w:type="spellStart"/>
      <w:r w:rsidRPr="002E60E9">
        <w:rPr>
          <w:sz w:val="10"/>
        </w:rPr>
        <w:t>programmes</w:t>
      </w:r>
      <w:proofErr w:type="spellEnd"/>
      <w:r w:rsidRPr="002E60E9">
        <w:rPr>
          <w:sz w:val="10"/>
        </w:rPr>
        <w:t xml:space="preserve"> struggle to provide even minimal support for women and children at risk of serious harm from their partners; that underfunded mental health </w:t>
      </w:r>
      <w:proofErr w:type="spellStart"/>
      <w:r w:rsidRPr="002E60E9">
        <w:rPr>
          <w:sz w:val="10"/>
        </w:rPr>
        <w:t>programmes</w:t>
      </w:r>
      <w:proofErr w:type="spellEnd"/>
      <w:r w:rsidRPr="002E60E9">
        <w:rPr>
          <w:sz w:val="10"/>
        </w:rPr>
        <w:t xml:space="preserve"> mean long waiting lists to receive basic care for at-risk individuals; that drug and alcohol rehabilitation </w:t>
      </w:r>
      <w:proofErr w:type="spellStart"/>
      <w:r w:rsidRPr="002E60E9">
        <w:rPr>
          <w:sz w:val="10"/>
        </w:rPr>
        <w:t>programmes</w:t>
      </w:r>
      <w:proofErr w:type="spellEnd"/>
      <w:r w:rsidRPr="002E60E9">
        <w:rPr>
          <w:sz w:val="10"/>
        </w:rPr>
        <w:t xml:space="preserve">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w:t>
      </w:r>
      <w:r w:rsidR="002E60E9" w:rsidRPr="002E60E9">
        <w:rPr>
          <w:sz w:val="12"/>
        </w:rPr>
        <w:t>¶</w:t>
      </w:r>
      <w:r w:rsidRPr="002E60E9">
        <w:rPr>
          <w:sz w:val="10"/>
        </w:rPr>
        <w:t xml:space="preserve"> Of course, </w:t>
      </w:r>
      <w:r w:rsidRPr="002E60E9">
        <w:rPr>
          <w:rStyle w:val="StyleUnderline"/>
        </w:rPr>
        <w:t>none of this is surprising</w:t>
      </w:r>
      <w:r w:rsidRPr="002E60E9">
        <w:rPr>
          <w:sz w:val="10"/>
        </w:rPr>
        <w:t xml:space="preserve">. Politicians are a part of the system; they </w:t>
      </w:r>
      <w:proofErr w:type="gramStart"/>
      <w:r w:rsidRPr="002E60E9">
        <w:rPr>
          <w:sz w:val="10"/>
        </w:rPr>
        <w:t>don’t</w:t>
      </w:r>
      <w:proofErr w:type="gramEnd"/>
      <w:r w:rsidRPr="002E60E9">
        <w:rPr>
          <w:sz w:val="10"/>
        </w:rPr>
        <w:t xml:space="preserve"> want to change it. For them, all the insecurity, death and ill-health caused by capitalist inequality are a price worth paying to keep the basic social structures as they are. A more egalitarian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w:t>
      </w:r>
      <w:r w:rsidRPr="002E60E9">
        <w:rPr>
          <w:rStyle w:val="Emphasis"/>
        </w:rPr>
        <w:t>For politicians looking towards the next election</w:t>
      </w:r>
      <w:r w:rsidRPr="002E60E9">
        <w:rPr>
          <w:sz w:val="10"/>
        </w:rPr>
        <w:t xml:space="preserve">, </w:t>
      </w:r>
      <w:r w:rsidRPr="002E60E9">
        <w:rPr>
          <w:rStyle w:val="StyleUnderline"/>
        </w:rPr>
        <w:t>it is</w:t>
      </w:r>
      <w:r w:rsidRPr="002E60E9">
        <w:rPr>
          <w:sz w:val="10"/>
        </w:rPr>
        <w:t xml:space="preserve"> clearly </w:t>
      </w:r>
      <w:r w:rsidRPr="002E60E9">
        <w:rPr>
          <w:rStyle w:val="StyleUnderline"/>
        </w:rPr>
        <w:t>much easier to paint immigrants as a threat</w:t>
      </w:r>
      <w:r w:rsidRPr="002E60E9">
        <w:rPr>
          <w:sz w:val="10"/>
        </w:rPr>
        <w:t xml:space="preserve"> to social order </w:t>
      </w:r>
      <w:r w:rsidRPr="002E60E9">
        <w:rPr>
          <w:rStyle w:val="StyleUnderline"/>
        </w:rPr>
        <w:t>or pontificate about</w:t>
      </w:r>
      <w:r w:rsidRPr="002E60E9">
        <w:rPr>
          <w:sz w:val="10"/>
        </w:rPr>
        <w:t xml:space="preserve"> the ongoing danger of </w:t>
      </w:r>
      <w:r w:rsidRPr="002E60E9">
        <w:rPr>
          <w:rStyle w:val="StyleUnderline"/>
        </w:rPr>
        <w:t>terrorists</w:t>
      </w:r>
      <w:r w:rsidRPr="002E60E9">
        <w:rPr>
          <w:sz w:val="10"/>
        </w:rPr>
        <w:t xml:space="preserve">. It is also more exciting for the media than stories about how poor people and people of </w:t>
      </w:r>
      <w:proofErr w:type="spellStart"/>
      <w:r w:rsidRPr="002E60E9">
        <w:rPr>
          <w:sz w:val="10"/>
        </w:rPr>
        <w:t>colour</w:t>
      </w:r>
      <w:proofErr w:type="spellEnd"/>
      <w:r w:rsidRPr="002E60E9">
        <w:rPr>
          <w:sz w:val="10"/>
        </w:rPr>
        <w:t xml:space="preserve"> are discriminated against and suffer worse health as a consequence.</w:t>
      </w:r>
      <w:r w:rsidR="002E60E9" w:rsidRPr="002E60E9">
        <w:rPr>
          <w:sz w:val="12"/>
        </w:rPr>
        <w:t>¶</w:t>
      </w:r>
      <w:r w:rsidRPr="002E60E9">
        <w:rPr>
          <w:sz w:val="10"/>
        </w:rPr>
        <w:t xml:space="preserve"> Viewed from this vantage point, </w:t>
      </w:r>
      <w:r w:rsidRPr="002E60E9">
        <w:rPr>
          <w:rStyle w:val="StyleUnderline"/>
        </w:rPr>
        <w:t xml:space="preserve">national security is </w:t>
      </w:r>
      <w:r w:rsidRPr="002E60E9">
        <w:rPr>
          <w:sz w:val="10"/>
        </w:rPr>
        <w:t xml:space="preserve">one massive confidence trick – </w:t>
      </w:r>
      <w:r w:rsidRPr="002E60E9">
        <w:rPr>
          <w:rStyle w:val="StyleUnderline"/>
        </w:rPr>
        <w:t>misdirection on an epic scale.</w:t>
      </w:r>
      <w:r w:rsidRPr="002E60E9">
        <w:rPr>
          <w:sz w:val="10"/>
        </w:rPr>
        <w:t xml:space="preserve"> </w:t>
      </w:r>
      <w:r w:rsidRPr="002E60E9">
        <w:rPr>
          <w:rStyle w:val="StyleUnderline"/>
        </w:rPr>
        <w:t>Its</w:t>
      </w:r>
      <w:r w:rsidRPr="002E60E9">
        <w:rPr>
          <w:sz w:val="10"/>
        </w:rPr>
        <w:t xml:space="preserve"> </w:t>
      </w:r>
      <w:r w:rsidRPr="002E60E9">
        <w:rPr>
          <w:rStyle w:val="StyleUnderline"/>
        </w:rPr>
        <w:t>primary function is to distract you from</w:t>
      </w:r>
      <w:r w:rsidRPr="002E60E9">
        <w:rPr>
          <w:sz w:val="10"/>
        </w:rPr>
        <w:t xml:space="preserve"> the structures and </w:t>
      </w:r>
      <w:r w:rsidRPr="002E60E9">
        <w:rPr>
          <w:rStyle w:val="StyleUnderline"/>
        </w:rPr>
        <w:t>inequalities</w:t>
      </w:r>
      <w:r w:rsidRPr="002E60E9">
        <w:rPr>
          <w:sz w:val="10"/>
        </w:rPr>
        <w:t xml:space="preserve"> in society </w:t>
      </w:r>
      <w:r w:rsidRPr="002E60E9">
        <w:rPr>
          <w:rStyle w:val="StyleUnderline"/>
        </w:rPr>
        <w:t>which are the real threat</w:t>
      </w:r>
      <w:r w:rsidRPr="002E60E9">
        <w:rPr>
          <w:sz w:val="10"/>
        </w:rPr>
        <w:t xml:space="preserve"> to the health and wellbeing of you and your family, </w:t>
      </w:r>
      <w:r w:rsidRPr="002E60E9">
        <w:rPr>
          <w:rStyle w:val="StyleUnderline"/>
        </w:rPr>
        <w:t>and</w:t>
      </w:r>
      <w:r w:rsidRPr="002E60E9">
        <w:rPr>
          <w:sz w:val="10"/>
        </w:rPr>
        <w:t xml:space="preserve"> to convince you </w:t>
      </w:r>
      <w:r w:rsidRPr="002E60E9">
        <w:rPr>
          <w:rStyle w:val="StyleUnderline"/>
        </w:rPr>
        <w:t>to be permanently afraid so that you will</w:t>
      </w:r>
      <w:r w:rsidRPr="002E60E9">
        <w:rPr>
          <w:sz w:val="10"/>
        </w:rPr>
        <w:t xml:space="preserve"> acquiesce to all the security measures which keep you under state control and </w:t>
      </w:r>
      <w:r w:rsidRPr="002E60E9">
        <w:rPr>
          <w:rStyle w:val="StyleUnderline"/>
        </w:rPr>
        <w:t>keep the military</w:t>
      </w:r>
      <w:r w:rsidRPr="002E60E9">
        <w:rPr>
          <w:sz w:val="10"/>
        </w:rPr>
        <w:t xml:space="preserve">-industrial complex </w:t>
      </w:r>
      <w:r w:rsidRPr="002E60E9">
        <w:rPr>
          <w:rStyle w:val="StyleUnderline"/>
        </w:rPr>
        <w:t>ticking</w:t>
      </w:r>
      <w:r w:rsidRPr="002E60E9">
        <w:rPr>
          <w:sz w:val="10"/>
        </w:rPr>
        <w:t xml:space="preserve"> </w:t>
      </w:r>
      <w:r w:rsidRPr="002E60E9">
        <w:rPr>
          <w:rStyle w:val="StyleUnderline"/>
        </w:rPr>
        <w:t>along</w:t>
      </w:r>
      <w:r w:rsidRPr="002E60E9">
        <w:rPr>
          <w:sz w:val="10"/>
        </w:rPr>
        <w:t>.</w:t>
      </w:r>
      <w:r w:rsidR="002E60E9" w:rsidRPr="002E60E9">
        <w:rPr>
          <w:sz w:val="12"/>
        </w:rPr>
        <w:t>¶</w:t>
      </w:r>
      <w:r w:rsidRPr="002E60E9">
        <w:rPr>
          <w:sz w:val="10"/>
        </w:rPr>
        <w:t xml:space="preserve"> Keep this in mind </w:t>
      </w:r>
      <w:r w:rsidRPr="002E60E9">
        <w:rPr>
          <w:rStyle w:val="StyleUnderline"/>
        </w:rPr>
        <w:t>next time you hear a politician talking about the threat</w:t>
      </w:r>
      <w:r w:rsidRPr="002E60E9">
        <w:rPr>
          <w:sz w:val="10"/>
        </w:rPr>
        <w:t xml:space="preserve"> of uncontrolled immigration, the risk posed by asylum seekers or the threat of Iran, or the need to expand counter-terrorism powers. </w:t>
      </w:r>
      <w:r w:rsidRPr="002E60E9">
        <w:rPr>
          <w:rStyle w:val="StyleUnderline"/>
        </w:rPr>
        <w:t>The question is</w:t>
      </w:r>
      <w:r w:rsidRPr="002E60E9">
        <w:rPr>
          <w:sz w:val="10"/>
        </w:rPr>
        <w:t xml:space="preserve">: when politicians are talking about national security, </w:t>
      </w:r>
      <w:r w:rsidRPr="002E60E9">
        <w:rPr>
          <w:rStyle w:val="StyleUnderline"/>
        </w:rPr>
        <w:t xml:space="preserve">what is that they </w:t>
      </w:r>
      <w:proofErr w:type="gramStart"/>
      <w:r w:rsidRPr="002E60E9">
        <w:rPr>
          <w:rStyle w:val="StyleUnderline"/>
        </w:rPr>
        <w:t>don’t</w:t>
      </w:r>
      <w:proofErr w:type="gramEnd"/>
      <w:r w:rsidRPr="002E60E9">
        <w:rPr>
          <w:rStyle w:val="StyleUnderline"/>
        </w:rPr>
        <w:t xml:space="preserve"> want you to think and talk about</w:t>
      </w:r>
      <w:r w:rsidRPr="002E60E9">
        <w:rPr>
          <w:sz w:val="10"/>
        </w:rPr>
        <w:t xml:space="preserve">? What exactly is the misdirection they are engaged in? The truth is, if you think that terrorists or immigrants or asylum seekers or Iran are a greater threat to your safety than the capitalist system, you have been well and truly conned, my friend. </w:t>
      </w:r>
      <w:proofErr w:type="gramStart"/>
      <w:r w:rsidRPr="002E60E9">
        <w:rPr>
          <w:sz w:val="10"/>
        </w:rPr>
        <w:t>Don’t</w:t>
      </w:r>
      <w:proofErr w:type="gramEnd"/>
      <w:r w:rsidRPr="002E60E9">
        <w:rPr>
          <w:sz w:val="10"/>
        </w:rPr>
        <w:t xml:space="preserve"> believe the hype: </w:t>
      </w:r>
      <w:r w:rsidRPr="002E60E9">
        <w:rPr>
          <w:rStyle w:val="StyleUnderline"/>
        </w:rPr>
        <w:t>you’re much more likely to die from any one of several forms of structural violence</w:t>
      </w:r>
      <w:r w:rsidRPr="002E60E9">
        <w:rPr>
          <w:sz w:val="10"/>
        </w:rPr>
        <w:t xml:space="preserve"> in society than you are from immigrants or terrorism. Somehow, we need to challenge the politicians on this fact.</w:t>
      </w:r>
    </w:p>
    <w:p w14:paraId="1A4E6D48" w14:textId="77777777" w:rsidR="0031702E" w:rsidRDefault="0031702E" w:rsidP="0031702E">
      <w:pPr>
        <w:pStyle w:val="Heading4"/>
      </w:pPr>
      <w:r>
        <w:t xml:space="preserve">And, collateral consequences </w:t>
      </w:r>
      <w:r w:rsidRPr="0057522E">
        <w:rPr>
          <w:i/>
          <w:iCs w:val="0"/>
          <w:u w:val="single"/>
        </w:rPr>
        <w:t>EXACERBATE</w:t>
      </w:r>
      <w:r>
        <w:t xml:space="preserve"> other existing racial disparities --- centering criminal justice reform around racial justice is </w:t>
      </w:r>
      <w:r w:rsidRPr="0057522E">
        <w:rPr>
          <w:i/>
          <w:iCs w:val="0"/>
          <w:u w:val="single"/>
        </w:rPr>
        <w:t>ESSENTIAL</w:t>
      </w:r>
    </w:p>
    <w:p w14:paraId="4DC3355A" w14:textId="77777777" w:rsidR="0031702E" w:rsidRDefault="0031702E" w:rsidP="0031702E"/>
    <w:p w14:paraId="54E2A180" w14:textId="77777777" w:rsidR="0031702E" w:rsidRDefault="0031702E" w:rsidP="0031702E">
      <w:pPr>
        <w:rPr>
          <w:rStyle w:val="Style13ptBold"/>
        </w:rPr>
      </w:pPr>
      <w:proofErr w:type="spellStart"/>
      <w:r>
        <w:rPr>
          <w:rStyle w:val="Style13ptBold"/>
        </w:rPr>
        <w:t>Ghandnoosh</w:t>
      </w:r>
      <w:proofErr w:type="spellEnd"/>
      <w:r>
        <w:rPr>
          <w:rStyle w:val="Style13ptBold"/>
        </w:rPr>
        <w:t xml:space="preserve"> and Mauer ‘15</w:t>
      </w:r>
    </w:p>
    <w:p w14:paraId="155A833E" w14:textId="77777777" w:rsidR="0031702E" w:rsidRPr="00D45A48" w:rsidRDefault="0031702E" w:rsidP="0031702E">
      <w:r w:rsidRPr="00D45A48">
        <w:t>(</w:t>
      </w:r>
      <w:proofErr w:type="spellStart"/>
      <w:r w:rsidRPr="00D45A48">
        <w:t>Nazgol</w:t>
      </w:r>
      <w:proofErr w:type="spellEnd"/>
      <w:r w:rsidRPr="00D45A48">
        <w:t xml:space="preserve"> </w:t>
      </w:r>
      <w:proofErr w:type="spellStart"/>
      <w:r w:rsidRPr="00D45A48">
        <w:t>Ghandnoosh</w:t>
      </w:r>
      <w:proofErr w:type="spellEnd"/>
      <w:r w:rsidRPr="00D45A48">
        <w:t xml:space="preserve">, Ph.D., conducts and synthesizes research on criminal justice policies. She has written about racial disparities in the justice system, public opinion about punishment, and the scope of reform efforts, Dr. </w:t>
      </w:r>
      <w:proofErr w:type="spellStart"/>
      <w:r w:rsidRPr="00D45A48">
        <w:t>Ghandnoosh</w:t>
      </w:r>
      <w:proofErr w:type="spellEnd"/>
      <w:r w:rsidRPr="00D45A48">
        <w:t xml:space="preserve"> earned an undergraduate degree from the University of Pennsylvania and a doctorate in sociology from the University of California, Los Angeles, Marc Mauer is the former executive director of The Sentencing Project and one of the country’s leading experts on sentencing policy, race and the criminal justice system. He has directed programs on criminal justice policy reform for 40 years, and is the author of some of the most widely-cited reports and publications in the field, </w:t>
      </w:r>
      <w:proofErr w:type="spellStart"/>
      <w:r w:rsidRPr="00D45A48">
        <w:t>pg</w:t>
      </w:r>
      <w:proofErr w:type="spellEnd"/>
      <w:r w:rsidRPr="00D45A48">
        <w:t xml:space="preserve"> online @ </w:t>
      </w:r>
      <w:hyperlink r:id="rId15" w:history="1">
        <w:r w:rsidRPr="00D45A48">
          <w:rPr>
            <w:rStyle w:val="Hyperlink"/>
          </w:rPr>
          <w:t>http://www.safetyandjusticechallenge.org/wp-content/uploads/2015/05/incorporating-racial-equity-into-criminal-justice-reform.pdf</w:t>
        </w:r>
      </w:hyperlink>
      <w:r w:rsidRPr="00D45A48">
        <w:t xml:space="preserve"> //um-</w:t>
      </w:r>
      <w:proofErr w:type="spellStart"/>
      <w:r w:rsidRPr="00D45A48">
        <w:t>ef</w:t>
      </w:r>
      <w:proofErr w:type="spellEnd"/>
      <w:r w:rsidRPr="00D45A48">
        <w:t>)</w:t>
      </w:r>
    </w:p>
    <w:p w14:paraId="73374E70" w14:textId="680419ED" w:rsidR="00493FB3" w:rsidRPr="00D222BF" w:rsidRDefault="0031702E" w:rsidP="00B55AD5">
      <w:pPr>
        <w:rPr>
          <w:sz w:val="12"/>
        </w:rPr>
      </w:pPr>
      <w:r w:rsidRPr="00BE6017">
        <w:rPr>
          <w:sz w:val="12"/>
        </w:rPr>
        <w:t xml:space="preserve">While there have been notable efforts to address these disparities, </w:t>
      </w:r>
      <w:r w:rsidRPr="00BE6017">
        <w:rPr>
          <w:rStyle w:val="StyleUnderline"/>
        </w:rPr>
        <w:t>many criminal justice reform initiatives do not prioritize such a goal as central to their strategy</w:t>
      </w:r>
      <w:r w:rsidRPr="00BE6017">
        <w:rPr>
          <w:sz w:val="12"/>
        </w:rPr>
        <w:t xml:space="preserve">. That is, </w:t>
      </w:r>
      <w:r w:rsidRPr="00BE6017">
        <w:rPr>
          <w:rStyle w:val="StyleUnderline"/>
        </w:rPr>
        <w:t xml:space="preserve">strategies designed to divert offenders from incarceration or to reduce corrections costs frequently do not proactively examine the likely impact of such reforms </w:t>
      </w:r>
      <w:r w:rsidRPr="00BE6017">
        <w:rPr>
          <w:rStyle w:val="Emphasis"/>
        </w:rPr>
        <w:t>on existing racial disparities.</w:t>
      </w:r>
      <w:r w:rsidRPr="00BE6017">
        <w:rPr>
          <w:sz w:val="12"/>
        </w:rPr>
        <w:t xml:space="preserve"> In part this is due to a belief that reform policies and practices will inevitably benefit offenders across the board. In addition, </w:t>
      </w:r>
      <w:r w:rsidRPr="00BE6017">
        <w:rPr>
          <w:rStyle w:val="StyleUnderline"/>
        </w:rPr>
        <w:t>there is often a perception that such objectives need to be subservient to public safety goals</w:t>
      </w:r>
      <w:r w:rsidRPr="00BE6017">
        <w:rPr>
          <w:sz w:val="12"/>
        </w:rPr>
        <w:t xml:space="preserve">. That is, some would argue that reform initiatives – whether in policing, sentencing, or incarceration – may or may not reduce racial disparity, but </w:t>
      </w:r>
      <w:r w:rsidRPr="00BE6017">
        <w:rPr>
          <w:rStyle w:val="StyleUnderline"/>
        </w:rPr>
        <w:t>that racial fairness needs to be a secondary concern</w:t>
      </w:r>
      <w:r w:rsidRPr="00BE6017">
        <w:rPr>
          <w:sz w:val="12"/>
        </w:rPr>
        <w:t xml:space="preserve">. In fact, there are fundamental reasons why </w:t>
      </w:r>
      <w:r w:rsidRPr="00BE6017">
        <w:rPr>
          <w:rStyle w:val="StyleUnderline"/>
        </w:rPr>
        <w:t>incorporating such a goal into a reform strategy is not only beneficial to the overall goal of racial justice but to public safety concerns as well</w:t>
      </w:r>
      <w:r w:rsidRPr="00BE6017">
        <w:rPr>
          <w:sz w:val="12"/>
        </w:rPr>
        <w:t xml:space="preserve">. These include the following: Reducing racial disparity is an element of a public safety strategy </w:t>
      </w:r>
      <w:r w:rsidRPr="00BE6017">
        <w:rPr>
          <w:rStyle w:val="StyleUnderline"/>
        </w:rPr>
        <w:t>Reform strategies that do not directly tackle racial disparity ignore the multifaceted ways in which public safety is produced</w:t>
      </w:r>
      <w:r w:rsidRPr="00BE6017">
        <w:rPr>
          <w:sz w:val="12"/>
        </w:rPr>
        <w:t xml:space="preserve">. Key among these is the perception of the criminal justice system by the community. In cases such as the large-scale employment of “stop and frisk” tactics in New York City, for example, many youth of color have come to view that the police are not concerned with the safety of their communities, but rather operate as part of a hostile institution that is impeding their life prospects. This in turn affects the receptivity of these young people, as well as others in their communities, to cooperate with law enforcement in crime-reduction activities. This may include reluctance to provide information about neighborhood crime problems, to serve as witnesses in court, or to engage with law enforcement in problem-solving initiatives. </w:t>
      </w:r>
      <w:r w:rsidRPr="00BE6017">
        <w:rPr>
          <w:rStyle w:val="Emphasis"/>
        </w:rPr>
        <w:t xml:space="preserve">Ongoing racial disparities harm communities of color </w:t>
      </w:r>
      <w:r w:rsidRPr="00BE6017">
        <w:rPr>
          <w:rStyle w:val="StyleUnderline"/>
        </w:rPr>
        <w:t>Persistent racial disparities in the justice system have been shown to harm both individuals in the system as well as their families and communities.</w:t>
      </w:r>
      <w:r w:rsidRPr="00BE6017">
        <w:rPr>
          <w:sz w:val="12"/>
        </w:rPr>
        <w:t xml:space="preserve"> This effect is most pronounced in the dramatically high rate of incarceration of African American </w:t>
      </w:r>
      <w:proofErr w:type="gramStart"/>
      <w:r w:rsidRPr="00BE6017">
        <w:rPr>
          <w:sz w:val="12"/>
        </w:rPr>
        <w:t>males in particular</w:t>
      </w:r>
      <w:proofErr w:type="gramEnd"/>
      <w:r w:rsidRPr="00BE6017">
        <w:rPr>
          <w:sz w:val="12"/>
        </w:rPr>
        <w:t xml:space="preserve">. While in certain circumstances incarceration may serve public safety goals through incapacitating persons who present a threat to the community, both the excessive number and length of prison terms serve to exacerbate the negative consequences of confinement. </w:t>
      </w:r>
      <w:r w:rsidRPr="00BE6017">
        <w:rPr>
          <w:rStyle w:val="StyleUnderline"/>
        </w:rPr>
        <w:t>These include the effect of lengthy prison terms on reentering the labor market, maintaining ties with family and community, and gender disparities which affect family formation and parenting options</w:t>
      </w:r>
      <w:r w:rsidRPr="00BE6017">
        <w:rPr>
          <w:sz w:val="12"/>
        </w:rPr>
        <w:t xml:space="preserve">. In addition, </w:t>
      </w:r>
      <w:r w:rsidRPr="00BE6017">
        <w:rPr>
          <w:rStyle w:val="Emphasis"/>
        </w:rPr>
        <w:t xml:space="preserve">the various collateral consequences of felony drug convictions </w:t>
      </w:r>
      <w:proofErr w:type="gramStart"/>
      <w:r w:rsidRPr="00BE6017">
        <w:rPr>
          <w:rStyle w:val="Emphasis"/>
        </w:rPr>
        <w:t>in particular create</w:t>
      </w:r>
      <w:proofErr w:type="gramEnd"/>
      <w:r w:rsidRPr="00BE6017">
        <w:rPr>
          <w:rStyle w:val="Emphasis"/>
        </w:rPr>
        <w:t xml:space="preserve"> additional barriers to securing public housing, welfare and food stamps, and other public benefits</w:t>
      </w:r>
      <w:r w:rsidRPr="00BE6017">
        <w:rPr>
          <w:sz w:val="12"/>
        </w:rPr>
        <w:t xml:space="preserve"> – </w:t>
      </w:r>
      <w:r w:rsidRPr="00BE6017">
        <w:rPr>
          <w:rStyle w:val="Emphasis"/>
        </w:rPr>
        <w:t>even for those not sentenced to prison.</w:t>
      </w:r>
      <w:r w:rsidRPr="00BE6017">
        <w:rPr>
          <w:sz w:val="12"/>
        </w:rPr>
        <w:t xml:space="preserve"> While such issues confront offenders of all racial/ethnic groups, </w:t>
      </w:r>
      <w:r w:rsidRPr="00BE6017">
        <w:rPr>
          <w:rStyle w:val="Emphasis"/>
        </w:rPr>
        <w:t>the disparate impact on communities of color exacerbates existing structural inequities</w:t>
      </w:r>
      <w:r w:rsidRPr="00BE6017">
        <w:rPr>
          <w:sz w:val="12"/>
        </w:rPr>
        <w:t xml:space="preserve">. “Race neutral” reform strategies may inadvertently increase racial disparity </w:t>
      </w:r>
      <w:r w:rsidRPr="00BE6017">
        <w:rPr>
          <w:rStyle w:val="StyleUnderline"/>
        </w:rPr>
        <w:t>Reform strategies that fail to incorporate an explicit goal of reducing racial disparity not only may fail to achieve such goals, but risk exacerbating racial disparity</w:t>
      </w:r>
      <w:r w:rsidRPr="00BE6017">
        <w:rPr>
          <w:sz w:val="12"/>
        </w:rPr>
        <w:t xml:space="preserve"> even if other goals of the initiative may be achieved. As one example, consider the range of alternative sentencing programs being employed in jurisdictions around the nation. Many such programs establish criteria for admission that exclude any defendant with a prior conviction. Such policies almost inevitably will produce disproportionate racial effects, with African Americans being less likely to qualify. This is </w:t>
      </w:r>
      <w:proofErr w:type="gramStart"/>
      <w:r w:rsidRPr="00BE6017">
        <w:rPr>
          <w:sz w:val="12"/>
        </w:rPr>
        <w:t>due to the fact that</w:t>
      </w:r>
      <w:proofErr w:type="gramEnd"/>
      <w:r w:rsidRPr="00BE6017">
        <w:rPr>
          <w:sz w:val="12"/>
        </w:rPr>
        <w:t xml:space="preserve"> African Americans are more likely to have a prior record than white Americans – resulting from both greater involvement in crime and greater scrutiny by law enforcement. The effect is clearly one in which white defendants will disproportionately benefit from access to such programming.</w:t>
      </w:r>
      <w:r w:rsidRPr="0057522E">
        <w:rPr>
          <w:sz w:val="12"/>
        </w:rPr>
        <w:t xml:space="preserve"> </w:t>
      </w:r>
    </w:p>
    <w:p w14:paraId="6D09F023" w14:textId="2F5CE67E" w:rsidR="005243CC" w:rsidRDefault="005243CC" w:rsidP="005243CC">
      <w:pPr>
        <w:pStyle w:val="Heading4"/>
      </w:pPr>
      <w:r>
        <w:t>And, place racial equity first in your decision-making --- the plan is a concrete strategy that allows the judge to directly counter racism</w:t>
      </w:r>
    </w:p>
    <w:p w14:paraId="2772B343" w14:textId="7653DDB0" w:rsidR="005243CC" w:rsidRDefault="005243CC" w:rsidP="00B55AD5"/>
    <w:p w14:paraId="0A6CACAA" w14:textId="3EF6C508" w:rsidR="005243CC" w:rsidRDefault="005243CC" w:rsidP="00B55AD5">
      <w:pPr>
        <w:rPr>
          <w:rStyle w:val="Style13ptBold"/>
        </w:rPr>
      </w:pPr>
      <w:r>
        <w:rPr>
          <w:rStyle w:val="Style13ptBold"/>
        </w:rPr>
        <w:t>Lyles-</w:t>
      </w:r>
      <w:proofErr w:type="spellStart"/>
      <w:r>
        <w:rPr>
          <w:rStyle w:val="Style13ptBold"/>
        </w:rPr>
        <w:t>Chockley</w:t>
      </w:r>
      <w:proofErr w:type="spellEnd"/>
      <w:r>
        <w:rPr>
          <w:rStyle w:val="Style13ptBold"/>
        </w:rPr>
        <w:t xml:space="preserve"> ‘9</w:t>
      </w:r>
    </w:p>
    <w:p w14:paraId="1BF18FF6" w14:textId="46ADBA5B" w:rsidR="005243CC" w:rsidRPr="005243CC" w:rsidRDefault="005243CC" w:rsidP="005243CC">
      <w:r w:rsidRPr="005243CC">
        <w:t>(Adrienne Lyles-</w:t>
      </w:r>
      <w:proofErr w:type="spellStart"/>
      <w:r w:rsidRPr="005243CC">
        <w:t>Chockley</w:t>
      </w:r>
      <w:proofErr w:type="spellEnd"/>
      <w:r w:rsidRPr="005243CC">
        <w:t xml:space="preserve"> Ph.D., University of Colorado at Boulder; J.D., University of Notre Dame, “Transitions to Justice: Prisoner Reentry as an Opportunity to Confront and Counteract Racism,”</w:t>
      </w:r>
      <w:r>
        <w:t xml:space="preserve"> 6 Hastings Race &amp; Poverty L.J. 259 </w:t>
      </w:r>
      <w:proofErr w:type="spellStart"/>
      <w:r w:rsidRPr="005243CC">
        <w:t>pg</w:t>
      </w:r>
      <w:proofErr w:type="spellEnd"/>
      <w:r w:rsidRPr="005243CC">
        <w:t xml:space="preserve"> lexis//um-</w:t>
      </w:r>
      <w:proofErr w:type="spellStart"/>
      <w:r w:rsidRPr="005243CC">
        <w:t>ef</w:t>
      </w:r>
      <w:proofErr w:type="spellEnd"/>
      <w:r w:rsidRPr="005243CC">
        <w:t>)</w:t>
      </w:r>
    </w:p>
    <w:p w14:paraId="27D42CC6" w14:textId="25757E15" w:rsidR="005243CC" w:rsidRDefault="005243CC" w:rsidP="00B55AD5">
      <w:r>
        <w:t>IV. The Power of Reentry to Counteract Racism</w:t>
      </w:r>
    </w:p>
    <w:p w14:paraId="5610719D" w14:textId="4F15529A" w:rsidR="005243CC" w:rsidRPr="005243CC" w:rsidRDefault="005243CC" w:rsidP="00B55AD5">
      <w:pPr>
        <w:rPr>
          <w:sz w:val="14"/>
        </w:rPr>
      </w:pPr>
      <w:r w:rsidRPr="005243CC">
        <w:rPr>
          <w:sz w:val="14"/>
        </w:rPr>
        <w:t xml:space="preserve"> </w:t>
      </w:r>
      <w:r w:rsidRPr="005243CC">
        <w:rPr>
          <w:rStyle w:val="StyleUnderline"/>
        </w:rPr>
        <w:t>The reentry of black ex-offenders presents an opportunity to directly confront racism</w:t>
      </w:r>
      <w:r w:rsidRPr="005243CC">
        <w:rPr>
          <w:sz w:val="14"/>
        </w:rPr>
        <w:t xml:space="preserve">. </w:t>
      </w:r>
      <w:r w:rsidRPr="005243CC">
        <w:rPr>
          <w:rStyle w:val="StyleUnderline"/>
        </w:rPr>
        <w:t xml:space="preserve">Black ex-offenders embarking on reentry represent a </w:t>
      </w:r>
      <w:r w:rsidRPr="005243CC">
        <w:rPr>
          <w:rStyle w:val="Emphasis"/>
        </w:rPr>
        <w:t>concrete population</w:t>
      </w:r>
      <w:r w:rsidRPr="005243CC">
        <w:rPr>
          <w:sz w:val="14"/>
        </w:rPr>
        <w:t xml:space="preserve"> </w:t>
      </w:r>
      <w:r w:rsidRPr="005243CC">
        <w:rPr>
          <w:rStyle w:val="StyleUnderline"/>
        </w:rPr>
        <w:t>that would benefit from</w:t>
      </w:r>
      <w:r w:rsidRPr="005243CC">
        <w:rPr>
          <w:sz w:val="14"/>
        </w:rPr>
        <w:t xml:space="preserve"> </w:t>
      </w:r>
      <w:r w:rsidRPr="005243CC">
        <w:rPr>
          <w:rStyle w:val="Emphasis"/>
        </w:rPr>
        <w:t>specific strategies for overcoming socioeconomic racial disparities and racism</w:t>
      </w:r>
      <w:r w:rsidRPr="005243CC">
        <w:rPr>
          <w:sz w:val="14"/>
        </w:rPr>
        <w:t xml:space="preserve">. </w:t>
      </w:r>
      <w:r w:rsidRPr="005243CC">
        <w:rPr>
          <w:rStyle w:val="StyleUnderline"/>
        </w:rPr>
        <w:t>The process of reentry may promote the interrelated benefits of long-term integration</w:t>
      </w:r>
      <w:r w:rsidRPr="005243CC">
        <w:rPr>
          <w:sz w:val="14"/>
        </w:rPr>
        <w:t xml:space="preserve"> (including active community participation, rights protection, and pro-social contributions) </w:t>
      </w:r>
      <w:r w:rsidRPr="005243CC">
        <w:rPr>
          <w:rStyle w:val="StyleUnderline"/>
        </w:rPr>
        <w:t>and decreased recidivism for ex-offenders and their communities</w:t>
      </w:r>
      <w:r w:rsidRPr="005243CC">
        <w:rPr>
          <w:sz w:val="14"/>
        </w:rPr>
        <w:t xml:space="preserve">. </w:t>
      </w:r>
      <w:r w:rsidRPr="005243CC">
        <w:rPr>
          <w:rStyle w:val="StyleUnderline"/>
        </w:rPr>
        <w:t xml:space="preserve">Black Americans are so </w:t>
      </w:r>
      <w:r w:rsidRPr="005243CC">
        <w:rPr>
          <w:rStyle w:val="Emphasis"/>
        </w:rPr>
        <w:t>disproportionately harmed by the collateral consequences</w:t>
      </w:r>
      <w:r w:rsidRPr="005243CC">
        <w:rPr>
          <w:sz w:val="14"/>
        </w:rPr>
        <w:t xml:space="preserve"> of incarceration </w:t>
      </w:r>
      <w:r w:rsidRPr="005243CC">
        <w:rPr>
          <w:rStyle w:val="Emphasis"/>
        </w:rPr>
        <w:t>that racial equity</w:t>
      </w:r>
      <w:r w:rsidRPr="005243CC">
        <w:rPr>
          <w:sz w:val="14"/>
        </w:rPr>
        <w:t xml:space="preserve"> </w:t>
      </w:r>
      <w:r w:rsidRPr="005243CC">
        <w:rPr>
          <w:rStyle w:val="StyleUnderline"/>
        </w:rPr>
        <w:t>must be at the very core of prisoner reentry planning and programming</w:t>
      </w:r>
      <w:r w:rsidRPr="005243CC">
        <w:rPr>
          <w:sz w:val="14"/>
        </w:rPr>
        <w:t xml:space="preserve">. </w:t>
      </w:r>
      <w:r w:rsidRPr="005243CC">
        <w:rPr>
          <w:rStyle w:val="StyleUnderline"/>
        </w:rPr>
        <w:t>One cannot assume that because a disproportionate majority of incarcerated offenders are black, race is somehow already integrated into prisoner reentry programs</w:t>
      </w:r>
      <w:r w:rsidRPr="005243CC">
        <w:rPr>
          <w:sz w:val="14"/>
        </w:rPr>
        <w:t xml:space="preserve"> currently in place in correctional facilities and communities across the country. </w:t>
      </w:r>
      <w:r w:rsidRPr="005243CC">
        <w:rPr>
          <w:rStyle w:val="Emphasis"/>
        </w:rPr>
        <w:t>It is not.</w:t>
      </w:r>
      <w:r w:rsidRPr="005243CC">
        <w:rPr>
          <w:sz w:val="14"/>
        </w:rPr>
        <w:t xml:space="preserve"> 186 </w:t>
      </w:r>
      <w:r w:rsidRPr="005243CC">
        <w:rPr>
          <w:rStyle w:val="StyleUnderline"/>
        </w:rPr>
        <w:t>Race must be deliberately and explicitly</w:t>
      </w:r>
      <w:r>
        <w:rPr>
          <w:rStyle w:val="StyleUnderline"/>
        </w:rPr>
        <w:t xml:space="preserve"> </w:t>
      </w:r>
      <w:r w:rsidRPr="005243CC">
        <w:rPr>
          <w:sz w:val="14"/>
        </w:rPr>
        <w:t>[*284]</w:t>
      </w:r>
      <w:r>
        <w:rPr>
          <w:rStyle w:val="StyleUnderline"/>
        </w:rPr>
        <w:t xml:space="preserve"> </w:t>
      </w:r>
      <w:r w:rsidRPr="005243CC">
        <w:rPr>
          <w:rStyle w:val="StyleUnderline"/>
        </w:rPr>
        <w:t>confronted by prisoner reentry programming</w:t>
      </w:r>
      <w:r w:rsidRPr="005243CC">
        <w:rPr>
          <w:sz w:val="14"/>
        </w:rPr>
        <w:t xml:space="preserve">. The paramount achievement of any successful offender reentry program is a significant decrease in recidivism rates. </w:t>
      </w:r>
      <w:r w:rsidRPr="005243CC">
        <w:rPr>
          <w:rStyle w:val="StyleUnderline"/>
        </w:rPr>
        <w:t>To decrease recidivism</w:t>
      </w:r>
      <w:r w:rsidRPr="005243CC">
        <w:rPr>
          <w:sz w:val="14"/>
        </w:rPr>
        <w:t xml:space="preserve"> - that is, to decrease the likelihood that ex-offenders will commit new offenses and thereby be re-incarcerated - </w:t>
      </w:r>
      <w:r w:rsidRPr="005243CC">
        <w:rPr>
          <w:rStyle w:val="StyleUnderline"/>
        </w:rPr>
        <w:t>reentry programming must confront and remedy those factors that contribute to criminal behavior in the first place</w:t>
      </w:r>
      <w:r w:rsidRPr="005243CC">
        <w:rPr>
          <w:sz w:val="14"/>
        </w:rPr>
        <w:t xml:space="preserve">. Research has shown that criminal behavior can be predicted for individual offenders </w:t>
      </w:r>
      <w:proofErr w:type="gramStart"/>
      <w:r w:rsidRPr="005243CC">
        <w:rPr>
          <w:sz w:val="14"/>
        </w:rPr>
        <w:t>on the basis of</w:t>
      </w:r>
      <w:proofErr w:type="gramEnd"/>
      <w:r w:rsidRPr="005243CC">
        <w:rPr>
          <w:sz w:val="14"/>
        </w:rPr>
        <w:t xml:space="preserve"> specific factors. 187 Some factors, like criminal history, are "static" and unchangeable while others, like social affiliations, are "dynamic" and changeable. 188 The "strongest predictors of recidivism" include "identification or close relationship with criminal peers, attitudes supportive of a criminal lifestyle, and lack of education or employment skills" 189 - factors that correlate with race. 190 At its most basic and indisputable level, </w:t>
      </w:r>
      <w:r w:rsidRPr="005243CC">
        <w:rPr>
          <w:rStyle w:val="StyleUnderline"/>
        </w:rPr>
        <w:t>race affects our life situations and limits or expands our available options for action</w:t>
      </w:r>
      <w:r w:rsidRPr="005243CC">
        <w:rPr>
          <w:sz w:val="14"/>
        </w:rPr>
        <w:t xml:space="preserve">. 191 </w:t>
      </w:r>
      <w:r w:rsidRPr="005243CC">
        <w:rPr>
          <w:rStyle w:val="StyleUnderline"/>
        </w:rPr>
        <w:t>It determines how other people view us and interact with us and</w:t>
      </w:r>
      <w:r w:rsidRPr="005243CC">
        <w:rPr>
          <w:sz w:val="14"/>
        </w:rPr>
        <w:t xml:space="preserve">, as indicated throughout this article, </w:t>
      </w:r>
      <w:r w:rsidRPr="005243CC">
        <w:rPr>
          <w:rStyle w:val="Emphasis"/>
        </w:rPr>
        <w:t>affects the quality of our education, income, and health</w:t>
      </w:r>
      <w:r w:rsidRPr="005243CC">
        <w:rPr>
          <w:sz w:val="14"/>
        </w:rPr>
        <w:t xml:space="preserve">. </w:t>
      </w:r>
      <w:r w:rsidRPr="005243CC">
        <w:rPr>
          <w:rStyle w:val="StyleUnderline"/>
        </w:rPr>
        <w:t>Reentry programming can target changeable predictors of recidivism that correlate with race and thereby decrease recidivism rates by counteracting socioeconomic conditions disproportionately affecting black ex-offenders</w:t>
      </w:r>
      <w:r w:rsidRPr="005243CC">
        <w:rPr>
          <w:sz w:val="14"/>
        </w:rPr>
        <w:t xml:space="preserve">. Reentry programming can overcome racism by creating opportunities for social and economic parity for ex-offenders. Efforts to involve the community in the business of reentry through "community justice" and "restorative justice" initiatives are ubiquitous. 192 For example, the Department of Labor distributes [*285] millions of dollars annually to state prison systems for the implementation of "prisoner reentry initiatives" for both "pre-release" and "post-release" services for state and local inmates. 193 The Department of Justice sponsors "weed and seed" programs at over 250 locations across the country targeted at "weeding out" criminals and "seeding" community services, 194 and the Federal Bureau of Prisons provides reentry halfway houses. 195 The Departments of Labor and Justice, together with various private foundations, co-sponsor a "Ready4Work" program that assists faith-based and community organizations in providing "transition" services for returning ex-offenders. 196 These programs provide important services that participating ex-offenders would otherwise likely go without, and there is preliminary evidence that they may decrease recidivism rates among participants. 197 Yet </w:t>
      </w:r>
      <w:r w:rsidRPr="005243CC">
        <w:rPr>
          <w:rStyle w:val="StyleUnderline"/>
        </w:rPr>
        <w:t>despite decades of programming and millions of dollars, racial disparities in incarceration and recidivism rates have not decreased</w:t>
      </w:r>
      <w:r w:rsidRPr="005243CC">
        <w:rPr>
          <w:sz w:val="14"/>
        </w:rPr>
        <w:t xml:space="preserve">. In fact, research indicates that these disparities are growing. 198 To illustrate the significance of race on America's [*286] incarceration policies, a team of researchers recently estimated what the size of today's prison population would be if black Americans had the same incarceration rates as their white counterparts. The result: if rates of incarceration were the same, today's jail and prison populations would decrease by 50 percent. 199 Until racial disparities in incarceration and recidivism rates - and in socioeconomic conditions generally - are explicitly confronted and remedied, there is little reason to believe that the crisis of the mass incarceration of black Americans will improve. Fortunately, states are beginning to formally implement policy changes to directly address the rising rate of racial disparities in jail and prison populations. Racial impact statements enable legislators to anticipate any unwarranted racial disparities and consider alternative policies that may accomplish legislative goals without accompanying negative racial effects. 200 Iowa took the lead in 2008 when Governor Chet Culver signed the nation's first racial impact sentencing bill. 201 Connecticut soon followed by enacting legislation requiring examination of the racial impact of new sentencing laws prior to passage. 202 Wisconsin soon followed, creating a Racial Disparities Oversight Commission designed to reduce racial disparities in criminal justice. 203 Many of the numerous reentry programs across the country have yielded a reduction in participant recidivism rates. 204 However, none [*287] of these programs has designed offender reentry policy and programs specifically and exclusively to address racial disparities in incarceration or, even more importantly, the socioeconomic inequalities that fundamentally contribute to those disparities.  205 </w:t>
      </w:r>
      <w:r w:rsidRPr="005243CC">
        <w:rPr>
          <w:rStyle w:val="StyleUnderline"/>
        </w:rPr>
        <w:t xml:space="preserve">Programs designed to counteract racism may not only decrease crime rates and increase public safety </w:t>
      </w:r>
      <w:r w:rsidRPr="005243CC">
        <w:rPr>
          <w:sz w:val="14"/>
        </w:rPr>
        <w:t xml:space="preserve">- which has long been and continues to be the goal of "reintegration programming" - </w:t>
      </w:r>
      <w:r w:rsidRPr="005243CC">
        <w:rPr>
          <w:rStyle w:val="Emphasis"/>
        </w:rPr>
        <w:t>but they may help to eliminate the effects of racism altogether.</w:t>
      </w:r>
    </w:p>
    <w:p w14:paraId="0D6F9DA2" w14:textId="749D6AA0" w:rsidR="008034B5" w:rsidRDefault="008034B5" w:rsidP="00B55AD5"/>
    <w:p w14:paraId="09DF2E52" w14:textId="77777777" w:rsidR="008034B5" w:rsidRDefault="008034B5" w:rsidP="00B55AD5"/>
    <w:p w14:paraId="73B74A02" w14:textId="4BD804B7" w:rsidR="008550B5" w:rsidRDefault="00371F90" w:rsidP="008550B5">
      <w:pPr>
        <w:pStyle w:val="Heading1"/>
      </w:pPr>
      <w:r>
        <w:t>The Advantage</w:t>
      </w:r>
    </w:p>
    <w:p w14:paraId="6991418D" w14:textId="048CA660" w:rsidR="000D0457" w:rsidRDefault="000D0457" w:rsidP="000D0457"/>
    <w:p w14:paraId="5C2B6808" w14:textId="77777777" w:rsidR="000D0457" w:rsidRDefault="000D0457" w:rsidP="00371F90"/>
    <w:p w14:paraId="4F0FED20" w14:textId="7E3EF53E" w:rsidR="00371F90" w:rsidRDefault="00350C69" w:rsidP="00350C69">
      <w:pPr>
        <w:pStyle w:val="Heading2"/>
      </w:pPr>
      <w:proofErr w:type="spellStart"/>
      <w:r>
        <w:t>Inh</w:t>
      </w:r>
      <w:proofErr w:type="spellEnd"/>
      <w:r>
        <w:t>/Status Quo</w:t>
      </w:r>
    </w:p>
    <w:p w14:paraId="50535039" w14:textId="2739688F" w:rsidR="00350C69" w:rsidRDefault="00350C69" w:rsidP="00350C69"/>
    <w:p w14:paraId="606D0539" w14:textId="06364D30" w:rsidR="00350C69" w:rsidRDefault="00350C69" w:rsidP="00350C69">
      <w:pPr>
        <w:pStyle w:val="Heading3"/>
      </w:pPr>
      <w:r>
        <w:t xml:space="preserve">AT: SQ Solves – Next Step/Congress </w:t>
      </w:r>
    </w:p>
    <w:p w14:paraId="6C3BEC26" w14:textId="51DF531B" w:rsidR="00350C69" w:rsidRDefault="00350C69" w:rsidP="00350C69"/>
    <w:p w14:paraId="7F8422D3" w14:textId="0B38E7B3" w:rsidR="00350C69" w:rsidRDefault="00350C69" w:rsidP="00350C69"/>
    <w:p w14:paraId="02B7A69B" w14:textId="7DDB5F36" w:rsidR="00350C69" w:rsidRDefault="00350C69" w:rsidP="00350C69">
      <w:pPr>
        <w:pStyle w:val="Heading4"/>
      </w:pPr>
      <w:r>
        <w:t>Law and Order returning – no broad reforms</w:t>
      </w:r>
    </w:p>
    <w:p w14:paraId="63E083BD" w14:textId="77777777" w:rsidR="00350C69" w:rsidRPr="00350C69" w:rsidRDefault="00350C69" w:rsidP="00350C69"/>
    <w:p w14:paraId="545867E1" w14:textId="77777777" w:rsidR="00603BBE" w:rsidRDefault="00350C69" w:rsidP="00350C69">
      <w:r>
        <w:rPr>
          <w:rStyle w:val="Style13ptBold"/>
        </w:rPr>
        <w:t>Curtis 19</w:t>
      </w:r>
    </w:p>
    <w:p w14:paraId="5A7F4539" w14:textId="1CE3A372" w:rsidR="00350C69" w:rsidRPr="00E0285F" w:rsidRDefault="00603BBE" w:rsidP="00350C69">
      <w:r>
        <w:t xml:space="preserve">(Mary, </w:t>
      </w:r>
      <w:r w:rsidR="00350C69" w:rsidRPr="00350C69">
        <w:t xml:space="preserve">national correspondent for Politics Daily, and is a senior facilitator with The </w:t>
      </w:r>
      <w:proofErr w:type="spellStart"/>
      <w:r w:rsidR="00350C69" w:rsidRPr="00350C69">
        <w:t>OpEd</w:t>
      </w:r>
      <w:proofErr w:type="spellEnd"/>
      <w:r w:rsidR="00350C69" w:rsidRPr="00350C69">
        <w:t xml:space="preserve"> Project “Criminal justice reform had a bipartisan minute. Then 2020 reared its head”, Roll Call, </w:t>
      </w:r>
      <w:r w:rsidRPr="00350C69">
        <w:t xml:space="preserve">8/22/2019, </w:t>
      </w:r>
      <w:proofErr w:type="spellStart"/>
      <w:r>
        <w:t>pg</w:t>
      </w:r>
      <w:proofErr w:type="spellEnd"/>
      <w:r>
        <w:t xml:space="preserve"> online </w:t>
      </w:r>
      <w:hyperlink r:id="rId16" w:history="1">
        <w:r w:rsidR="001B0E45" w:rsidRPr="001C7E84">
          <w:rPr>
            <w:rStyle w:val="Hyperlink"/>
          </w:rPr>
          <w:t>https://www.rollcall.com/2019/08/22/criminal-justice-reform-had-a-bipartisan-minute-then-2020-reared-its-head/</w:t>
        </w:r>
      </w:hyperlink>
      <w:r>
        <w:t>)</w:t>
      </w:r>
    </w:p>
    <w:p w14:paraId="1A3D4290" w14:textId="49D4DFB7" w:rsidR="00350C69" w:rsidRPr="001E73D7" w:rsidRDefault="00350C69" w:rsidP="00350C69">
      <w:pPr>
        <w:rPr>
          <w:rStyle w:val="StyleUnderline"/>
        </w:rPr>
      </w:pPr>
      <w:r w:rsidRPr="00350C69">
        <w:rPr>
          <w:sz w:val="12"/>
        </w:rPr>
        <w:t xml:space="preserve">OPINION — </w:t>
      </w:r>
      <w:r w:rsidRPr="007624ED">
        <w:rPr>
          <w:rStyle w:val="Emphasis"/>
        </w:rPr>
        <w:t xml:space="preserve">That </w:t>
      </w:r>
      <w:proofErr w:type="gramStart"/>
      <w:r w:rsidRPr="007624ED">
        <w:rPr>
          <w:rStyle w:val="Emphasis"/>
        </w:rPr>
        <w:t>didn’t</w:t>
      </w:r>
      <w:proofErr w:type="gramEnd"/>
      <w:r w:rsidRPr="007624ED">
        <w:rPr>
          <w:rStyle w:val="Emphasis"/>
        </w:rPr>
        <w:t xml:space="preserve"> last long</w:t>
      </w:r>
      <w:r w:rsidRPr="007624ED">
        <w:rPr>
          <w:rStyle w:val="StyleUnderline"/>
        </w:rPr>
        <w:t>.</w:t>
      </w:r>
      <w:r w:rsidRPr="00350C69">
        <w:rPr>
          <w:sz w:val="12"/>
        </w:rPr>
        <w:t xml:space="preserve"> For a while, </w:t>
      </w:r>
      <w:r w:rsidRPr="001A2403">
        <w:rPr>
          <w:rStyle w:val="StyleUnderline"/>
        </w:rPr>
        <w:t xml:space="preserve">it looked as though the distance between the parties had narrowed on the issue of criminal justice reform. Bipartisan cooperation passed the </w:t>
      </w:r>
      <w:r w:rsidRPr="001A2403">
        <w:rPr>
          <w:rStyle w:val="Emphasis"/>
        </w:rPr>
        <w:t>First Step Act</w:t>
      </w:r>
      <w:r w:rsidRPr="00350C69">
        <w:rPr>
          <w:sz w:val="12"/>
        </w:rPr>
        <w:t xml:space="preserve">, a small step indeed toward remedying America’s mass incarceration crisis that disproportionately, in a historically skewed system, burdens minorities and the poor in everything from arrests to sentencing. </w:t>
      </w:r>
      <w:r w:rsidRPr="001A2403">
        <w:rPr>
          <w:rStyle w:val="StyleUnderline"/>
        </w:rPr>
        <w:t xml:space="preserve">Increasingly, though, the </w:t>
      </w:r>
      <w:r w:rsidRPr="001A2403">
        <w:rPr>
          <w:rStyle w:val="Emphasis"/>
        </w:rPr>
        <w:t>rhetoric resembles a partisan return</w:t>
      </w:r>
      <w:r w:rsidRPr="001A2403">
        <w:rPr>
          <w:rStyle w:val="StyleUnderline"/>
        </w:rPr>
        <w:t xml:space="preserve"> to form.</w:t>
      </w:r>
      <w:r>
        <w:rPr>
          <w:rStyle w:val="StyleUnderline"/>
        </w:rPr>
        <w:t xml:space="preserve"> </w:t>
      </w:r>
      <w:r w:rsidRPr="00350C69">
        <w:rPr>
          <w:sz w:val="12"/>
          <w:szCs w:val="16"/>
        </w:rPr>
        <w:t xml:space="preserve">But is the public changing? With a nudge from viral videos and reasons to doubt the “official” story, as well as attention paid to inequities built into the history of policing in America, more aware citizens may have evolved more than politicians. </w:t>
      </w:r>
      <w:r w:rsidRPr="004E3657">
        <w:rPr>
          <w:rStyle w:val="StyleUnderline"/>
        </w:rPr>
        <w:t>For past presidential candidates like Richard Nixon, “</w:t>
      </w:r>
      <w:r w:rsidRPr="004E3657">
        <w:rPr>
          <w:rStyle w:val="Emphasis"/>
        </w:rPr>
        <w:t>law and order</w:t>
      </w:r>
      <w:r w:rsidRPr="004E3657">
        <w:rPr>
          <w:rStyle w:val="StyleUnderline"/>
        </w:rPr>
        <w:t>” became mantra as well as code</w:t>
      </w:r>
      <w:r w:rsidRPr="00350C69">
        <w:rPr>
          <w:sz w:val="12"/>
          <w:szCs w:val="16"/>
        </w:rPr>
        <w:t xml:space="preserve">, a promise to protect a silent (white) majority from young people protesting war, African Americans demanding equality, anyone looking to shake up the status quo. It was a page from </w:t>
      </w:r>
      <w:proofErr w:type="gramStart"/>
      <w:r w:rsidRPr="00350C69">
        <w:rPr>
          <w:sz w:val="12"/>
          <w:szCs w:val="16"/>
        </w:rPr>
        <w:t>a very old</w:t>
      </w:r>
      <w:proofErr w:type="gramEnd"/>
      <w:r w:rsidRPr="00350C69">
        <w:rPr>
          <w:sz w:val="12"/>
          <w:szCs w:val="16"/>
        </w:rPr>
        <w:t xml:space="preserve"> playbook — and it worked for those afraid of change. </w:t>
      </w:r>
      <w:r w:rsidRPr="00350C69">
        <w:rPr>
          <w:sz w:val="12"/>
        </w:rPr>
        <w:t xml:space="preserve">You can hear the refrain, amplified, from </w:t>
      </w:r>
      <w:r w:rsidRPr="001A2403">
        <w:rPr>
          <w:rStyle w:val="StyleUnderline"/>
        </w:rPr>
        <w:t>the current president</w:t>
      </w:r>
      <w:r w:rsidRPr="00350C69">
        <w:rPr>
          <w:sz w:val="12"/>
        </w:rPr>
        <w:t xml:space="preserve">, when he </w:t>
      </w:r>
      <w:r w:rsidRPr="001A2403">
        <w:rPr>
          <w:rStyle w:val="Emphasis"/>
        </w:rPr>
        <w:t>bolsters law enforcement</w:t>
      </w:r>
      <w:r w:rsidRPr="001A2403">
        <w:rPr>
          <w:rStyle w:val="StyleUnderline"/>
        </w:rPr>
        <w:t xml:space="preserve"> on the border and speaks of an invasion.</w:t>
      </w:r>
      <w:r w:rsidRPr="00350C69">
        <w:rPr>
          <w:sz w:val="12"/>
        </w:rPr>
        <w:t xml:space="preserve"> Donald </w:t>
      </w:r>
      <w:r w:rsidRPr="001A2403">
        <w:rPr>
          <w:rStyle w:val="StyleUnderline"/>
        </w:rPr>
        <w:t>Trump may take a cue from “consultants” such as Kanye</w:t>
      </w:r>
      <w:r w:rsidRPr="00350C69">
        <w:rPr>
          <w:sz w:val="12"/>
        </w:rPr>
        <w:t xml:space="preserve"> West </w:t>
      </w:r>
      <w:r w:rsidRPr="001A2403">
        <w:rPr>
          <w:rStyle w:val="StyleUnderline"/>
        </w:rPr>
        <w:t>and Kim Kardashian when he intervenes in the individual case of a nonviolent drug offender</w:t>
      </w:r>
      <w:r w:rsidRPr="00350C69">
        <w:rPr>
          <w:sz w:val="12"/>
        </w:rPr>
        <w:t xml:space="preserve"> or feuds with Sweden over a jailed rapper. </w:t>
      </w:r>
      <w:r w:rsidRPr="001A2403">
        <w:rPr>
          <w:rStyle w:val="Emphasis"/>
        </w:rPr>
        <w:t>But</w:t>
      </w:r>
      <w:r w:rsidRPr="001A2403">
        <w:rPr>
          <w:rStyle w:val="StyleUnderline"/>
        </w:rPr>
        <w:t xml:space="preserve"> the president has always seemed more comfortable when he has advised police officers not to be “too nice” to suspects or maligned cities as criminal cesspools</w:t>
      </w:r>
      <w:r w:rsidRPr="00350C69">
        <w:rPr>
          <w:sz w:val="12"/>
        </w:rPr>
        <w:t xml:space="preserve"> — even when the city was El Paso, Texas, relatively peaceful until a white domestic terrorist echoing the president’s words blasted its tranquility to bits. </w:t>
      </w:r>
      <w:r w:rsidRPr="001A2403">
        <w:rPr>
          <w:rStyle w:val="StyleUnderline"/>
        </w:rPr>
        <w:t xml:space="preserve">With </w:t>
      </w:r>
      <w:r w:rsidRPr="001A2403">
        <w:rPr>
          <w:rStyle w:val="Emphasis"/>
        </w:rPr>
        <w:t>2020 looming</w:t>
      </w:r>
      <w:r w:rsidRPr="001A2403">
        <w:rPr>
          <w:rStyle w:val="StyleUnderline"/>
        </w:rPr>
        <w:t xml:space="preserve">, other members of the administration and other </w:t>
      </w:r>
      <w:r w:rsidRPr="001A2403">
        <w:rPr>
          <w:rStyle w:val="Emphasis"/>
        </w:rPr>
        <w:t>Republicans are falling in line</w:t>
      </w:r>
      <w:r w:rsidRPr="001A2403">
        <w:rPr>
          <w:rStyle w:val="StyleUnderline"/>
        </w:rPr>
        <w:t xml:space="preserve"> and </w:t>
      </w:r>
      <w:r w:rsidRPr="001A2403">
        <w:rPr>
          <w:rStyle w:val="Emphasis"/>
        </w:rPr>
        <w:t>reverting to the past</w:t>
      </w:r>
      <w:r w:rsidRPr="001A2403">
        <w:rPr>
          <w:rStyle w:val="StyleUnderline"/>
        </w:rPr>
        <w:t>.</w:t>
      </w:r>
      <w:r>
        <w:rPr>
          <w:rStyle w:val="StyleUnderline"/>
        </w:rPr>
        <w:t xml:space="preserve"> </w:t>
      </w:r>
      <w:r w:rsidRPr="00350C69">
        <w:rPr>
          <w:sz w:val="12"/>
          <w:szCs w:val="16"/>
        </w:rPr>
        <w:t xml:space="preserve">Former Attorney General Jeff Sessions, so eager to release police departments from agreed-upon consent decrees to reform corruption and misconduct, had nothing on successor William Barr. </w:t>
      </w:r>
      <w:r w:rsidRPr="00350C69">
        <w:rPr>
          <w:sz w:val="12"/>
        </w:rPr>
        <w:t xml:space="preserve">In a recent speech to the Fraternal Order of Police conference in New Orleans, </w:t>
      </w:r>
      <w:r w:rsidRPr="004E3657">
        <w:rPr>
          <w:rStyle w:val="StyleUnderline"/>
        </w:rPr>
        <w:t xml:space="preserve">Barr took a </w:t>
      </w:r>
      <w:r w:rsidRPr="004E3657">
        <w:rPr>
          <w:rStyle w:val="Emphasis"/>
        </w:rPr>
        <w:t>partisan blowtorch</w:t>
      </w:r>
      <w:r w:rsidRPr="004E3657">
        <w:rPr>
          <w:rStyle w:val="StyleUnderline"/>
        </w:rPr>
        <w:t xml:space="preserve"> to the legitimacy of duly elected prosecutors, saying the appointment of progressive district attorneys is “demoralizing to law enforcement and dangerous to public safety” because they “spend their time undercutting the police, letting criminals off the hook, and refusing to enforce the law.”</w:t>
      </w:r>
      <w:r>
        <w:rPr>
          <w:rStyle w:val="StyleUnderline"/>
        </w:rPr>
        <w:t xml:space="preserve"> </w:t>
      </w:r>
      <w:r w:rsidRPr="00350C69">
        <w:rPr>
          <w:sz w:val="12"/>
          <w:szCs w:val="16"/>
        </w:rPr>
        <w:t xml:space="preserve">In a column in The Washington Post, Parisa </w:t>
      </w:r>
      <w:proofErr w:type="spellStart"/>
      <w:r w:rsidRPr="00350C69">
        <w:rPr>
          <w:sz w:val="12"/>
          <w:szCs w:val="16"/>
        </w:rPr>
        <w:t>Dehghani-Tafti</w:t>
      </w:r>
      <w:proofErr w:type="spellEnd"/>
      <w:r w:rsidRPr="00350C69">
        <w:rPr>
          <w:sz w:val="12"/>
          <w:szCs w:val="16"/>
        </w:rPr>
        <w:t xml:space="preserve">, Democratic nominee for commonwealth’s attorney in Arlington, Mark Gonzalez, district attorney for Nueces County, Texas, and Wesley Bell, county prosecutor for St. Louis County, Missouri, hit back, writing: “We are dedicated to safety and justice. We understand that our current criminal legal system throws away too many people, breaks up too many families, destroys too many communities and wastes too much money. And we refuse to accept that a wealthy democracy cannot figure out how to keep its people safe without criminalizing as many things as possible, prosecuting as hard as possible and punishing people for as long as possible.” These are officials who campaigned on the promise to respect all citizens instead of reflexively treating entire populations as potential perps. As someone who grew up in an urban neighborhood that was at once under protected and over policed, I recognize the challenges these prosecutors were elected to alleviate. Because of videos and education, the general public and those not affected by unequal treatment have learned, as well, of the names and cases of Tamir Rice, Sandra Bland, Philando Castile — and the list goes on. Former Chicago Mayor Rahm Emanuel’s decision not to run for another term was hastened by the delayed release of the video of Officer Jason Van Dyke, now serving time for his crime, shooting 17-year-old Laquan McDonald 16 times. When Daniel Pantaleo, the New York City officer who placed Eric Garner in an illegal chokehold before he died, recently was fired, the police union president was the loudest voice objecting to the move, and now Patrick Lynch is hinting at a work slowdown in response. To those haunted by the voice of Garner saying “I can’t breathe” 11 times and the sight of officers and EMT personnel standing by, Pantaleo was lucky no charges were filed. Props must also be given to efforts such as The New York Times’ “1619 Project,” which examines, it says, “the consequences of slavery” and the contributions of black Americans at the very center of the story we tell ourselves about who we are. Its all-too-true stories draw the line from injustices then to those that persist, including the fact that law enforcement throughout the country’s history was often the brutal enforcer of repressive policies. </w:t>
      </w:r>
      <w:r w:rsidRPr="001E73D7">
        <w:rPr>
          <w:rStyle w:val="StyleUnderline"/>
        </w:rPr>
        <w:t xml:space="preserve">In the 2020 presidential race, </w:t>
      </w:r>
      <w:r w:rsidRPr="001E73D7">
        <w:rPr>
          <w:rStyle w:val="Emphasis"/>
        </w:rPr>
        <w:t>Democratic candidates</w:t>
      </w:r>
      <w:r w:rsidRPr="001E73D7">
        <w:rPr>
          <w:rStyle w:val="StyleUnderline"/>
        </w:rPr>
        <w:t xml:space="preserve"> are </w:t>
      </w:r>
      <w:r w:rsidRPr="001E73D7">
        <w:rPr>
          <w:rStyle w:val="Emphasis"/>
        </w:rPr>
        <w:t>not afraid to be vocal</w:t>
      </w:r>
      <w:r w:rsidRPr="001E73D7">
        <w:rPr>
          <w:rStyle w:val="StyleUnderline"/>
        </w:rPr>
        <w:t xml:space="preserve"> about criminal justice and police reform plans.</w:t>
      </w:r>
      <w:r w:rsidRPr="00350C69">
        <w:rPr>
          <w:sz w:val="12"/>
        </w:rPr>
        <w:t xml:space="preserve"> In fact, candidates have had to explain their past records as mayors and prosecutors and, in front-runner Joe Biden’s case, his role in helping to write the 1994 crime bill, acknowledged to have played a large role in the mass incarceration that followed. </w:t>
      </w:r>
      <w:proofErr w:type="gramStart"/>
      <w:r w:rsidRPr="001E73D7">
        <w:rPr>
          <w:rStyle w:val="StyleUnderline"/>
        </w:rPr>
        <w:t>It’s</w:t>
      </w:r>
      <w:proofErr w:type="gramEnd"/>
      <w:r w:rsidRPr="001E73D7">
        <w:rPr>
          <w:rStyle w:val="StyleUnderline"/>
        </w:rPr>
        <w:t xml:space="preserve"> a big change from when Democrats were reluctant to speak out, afraid of being judged “soft on crime.”</w:t>
      </w:r>
      <w:r>
        <w:rPr>
          <w:rStyle w:val="StyleUnderline"/>
        </w:rPr>
        <w:t xml:space="preserve"> </w:t>
      </w:r>
      <w:r w:rsidRPr="00350C69">
        <w:rPr>
          <w:sz w:val="12"/>
        </w:rPr>
        <w:t xml:space="preserve">So, </w:t>
      </w:r>
      <w:r w:rsidRPr="001E73D7">
        <w:rPr>
          <w:rStyle w:val="StyleUnderline"/>
        </w:rPr>
        <w:t xml:space="preserve">while for a moment it seemed Democrats and Republicans might be moving closer to a tentative truce on the issue, unfortunately the importance of seeking a more just “justice” is becoming, like so much else, </w:t>
      </w:r>
      <w:r w:rsidRPr="001E73D7">
        <w:rPr>
          <w:rStyle w:val="Emphasis"/>
        </w:rPr>
        <w:t>another opportunity to disagree</w:t>
      </w:r>
      <w:r w:rsidRPr="001E73D7">
        <w:rPr>
          <w:rStyle w:val="StyleUnderline"/>
        </w:rPr>
        <w:t>.</w:t>
      </w:r>
    </w:p>
    <w:p w14:paraId="1136A72B" w14:textId="77777777" w:rsidR="008A4D8F" w:rsidRDefault="008A4D8F" w:rsidP="008A4D8F">
      <w:pPr>
        <w:pStyle w:val="Heading3"/>
      </w:pPr>
      <w:r>
        <w:t>AT: Status Quo Solves: Assistance</w:t>
      </w:r>
    </w:p>
    <w:p w14:paraId="3E1BE7BD" w14:textId="77777777" w:rsidR="008A4D8F" w:rsidRDefault="008A4D8F" w:rsidP="008A4D8F"/>
    <w:p w14:paraId="4AD9E924" w14:textId="77777777" w:rsidR="008A4D8F" w:rsidRDefault="008A4D8F" w:rsidP="008A4D8F"/>
    <w:p w14:paraId="6052C358" w14:textId="77777777" w:rsidR="008A4D8F" w:rsidRDefault="008A4D8F" w:rsidP="008A4D8F">
      <w:pPr>
        <w:pStyle w:val="Heading4"/>
      </w:pPr>
      <w:r>
        <w:t>And, GOP and Trump are cutting assistance programs --- not expanding them</w:t>
      </w:r>
    </w:p>
    <w:p w14:paraId="089E7A3D" w14:textId="7928F4A0" w:rsidR="008A4D8F" w:rsidRDefault="008A4D8F" w:rsidP="008A4D8F"/>
    <w:p w14:paraId="333D9F61" w14:textId="13B3C12E" w:rsidR="008A4D8F" w:rsidRDefault="008A4D8F" w:rsidP="008A4D8F">
      <w:pPr>
        <w:rPr>
          <w:rStyle w:val="Style13ptBold"/>
        </w:rPr>
      </w:pPr>
      <w:r w:rsidRPr="008A4D8F">
        <w:rPr>
          <w:rStyle w:val="Style13ptBold"/>
        </w:rPr>
        <w:t>Stern</w:t>
      </w:r>
      <w:r>
        <w:rPr>
          <w:rStyle w:val="Style13ptBold"/>
        </w:rPr>
        <w:t xml:space="preserve"> 4/17/20</w:t>
      </w:r>
    </w:p>
    <w:p w14:paraId="7206B257" w14:textId="22CBAB49" w:rsidR="008A4D8F" w:rsidRPr="008A4D8F" w:rsidRDefault="008A4D8F" w:rsidP="008A4D8F">
      <w:r w:rsidRPr="008A4D8F">
        <w:t xml:space="preserve">(Scott, “COVID-19 and Welfare Queens,” </w:t>
      </w:r>
      <w:proofErr w:type="spellStart"/>
      <w:r w:rsidRPr="008A4D8F">
        <w:t>pg</w:t>
      </w:r>
      <w:proofErr w:type="spellEnd"/>
      <w:r w:rsidRPr="008A4D8F">
        <w:t xml:space="preserve"> online @ </w:t>
      </w:r>
      <w:hyperlink r:id="rId17" w:history="1">
        <w:r w:rsidRPr="008A4D8F">
          <w:rPr>
            <w:rStyle w:val="Hyperlink"/>
          </w:rPr>
          <w:t>http://bostonreview.net/class-inequality/scott-w-stern-covid-19-and-welfare-queens</w:t>
        </w:r>
      </w:hyperlink>
      <w:r w:rsidRPr="008A4D8F">
        <w:t xml:space="preserve"> //um-</w:t>
      </w:r>
      <w:proofErr w:type="spellStart"/>
      <w:r w:rsidRPr="008A4D8F">
        <w:t>ef</w:t>
      </w:r>
      <w:proofErr w:type="spellEnd"/>
      <w:r w:rsidRPr="008A4D8F">
        <w:t>)</w:t>
      </w:r>
    </w:p>
    <w:p w14:paraId="42B6C824" w14:textId="77777777" w:rsidR="008A4D8F" w:rsidRPr="008A4D8F" w:rsidRDefault="008A4D8F" w:rsidP="008A4D8F">
      <w:r w:rsidRPr="008A4D8F">
        <w:rPr>
          <w:rStyle w:val="StyleUnderline"/>
        </w:rPr>
        <w:t xml:space="preserve">In the original Republican version of the CARES Act, the $2 trillion dollar stimulus package that will give most Americans $1,200, poor families were supposed to get just half the financial assistance that middle-class families received. The act that passed did not contain this provision, but the fact that it was proposed at all is telling. Many Republicans believe that low-income individuals are undeserving of aid—and so resistant to work that financial assistance </w:t>
      </w:r>
      <w:proofErr w:type="gramStart"/>
      <w:r w:rsidRPr="008A4D8F">
        <w:rPr>
          <w:rStyle w:val="StyleUnderline"/>
        </w:rPr>
        <w:t>in the midst of</w:t>
      </w:r>
      <w:proofErr w:type="gramEnd"/>
      <w:r w:rsidRPr="008A4D8F">
        <w:rPr>
          <w:rStyle w:val="StyleUnderline"/>
        </w:rPr>
        <w:t xml:space="preserve"> a pandemic might incentivize them to stay unemployed</w:t>
      </w:r>
      <w:r w:rsidRPr="008A4D8F">
        <w:t xml:space="preserve">. And, as legal scholar </w:t>
      </w:r>
      <w:proofErr w:type="spellStart"/>
      <w:r w:rsidRPr="008A4D8F">
        <w:t>Mehrsa</w:t>
      </w:r>
      <w:proofErr w:type="spellEnd"/>
      <w:r w:rsidRPr="008A4D8F">
        <w:t xml:space="preserve"> </w:t>
      </w:r>
      <w:proofErr w:type="spellStart"/>
      <w:r w:rsidRPr="008A4D8F">
        <w:t>Baradaran</w:t>
      </w:r>
      <w:proofErr w:type="spellEnd"/>
      <w:r w:rsidRPr="008A4D8F">
        <w:t xml:space="preserve"> has pointed out, </w:t>
      </w:r>
      <w:r w:rsidRPr="008A4D8F">
        <w:rPr>
          <w:rStyle w:val="StyleUnderline"/>
        </w:rPr>
        <w:t>the final version of the act still deems many people “undeserving”: those who work in the adult entertainment industry, for instance, are ineligible for stimulus money, and individuals with felony convictions cannot receive small business loans</w:t>
      </w:r>
      <w:r w:rsidRPr="008A4D8F">
        <w:t xml:space="preserve">. None of this is terribly surprising. Indeed, Donald </w:t>
      </w:r>
      <w:r w:rsidRPr="008A4D8F">
        <w:rPr>
          <w:rStyle w:val="Emphasis"/>
        </w:rPr>
        <w:t>Trump has been trying to gut social programs for years. Just months ago, he proposed a budget that included staggering cuts to food stamps, Medicaid, and housing assistance</w:t>
      </w:r>
      <w:r w:rsidRPr="008A4D8F">
        <w:t xml:space="preserve">. A federal judge recently put a stop to a Trump administration plan to kick 700,000 Americans </w:t>
      </w:r>
      <w:proofErr w:type="gramStart"/>
      <w:r w:rsidRPr="008A4D8F">
        <w:t>off of</w:t>
      </w:r>
      <w:proofErr w:type="gramEnd"/>
      <w:r w:rsidRPr="008A4D8F">
        <w:t xml:space="preserve"> food stamps in the midst of the pandemic.</w:t>
      </w:r>
    </w:p>
    <w:p w14:paraId="211D7900" w14:textId="2CDD5947" w:rsidR="00350C69" w:rsidRPr="008A4D8F" w:rsidRDefault="008A4D8F" w:rsidP="008A4D8F">
      <w:r w:rsidRPr="008A4D8F">
        <w:t xml:space="preserve"> </w:t>
      </w:r>
    </w:p>
    <w:p w14:paraId="49161C2E" w14:textId="7043F629" w:rsidR="008A4D8F" w:rsidRDefault="008A4D8F" w:rsidP="008A4D8F"/>
    <w:p w14:paraId="7A4780D9" w14:textId="4C600BBB" w:rsidR="008A4D8F" w:rsidRDefault="00751272" w:rsidP="00751272">
      <w:pPr>
        <w:pStyle w:val="Heading3"/>
      </w:pPr>
      <w:r>
        <w:t xml:space="preserve">AT: States Solve/SQ </w:t>
      </w:r>
      <w:proofErr w:type="spellStart"/>
      <w:r>
        <w:t>legis</w:t>
      </w:r>
      <w:proofErr w:type="spellEnd"/>
    </w:p>
    <w:p w14:paraId="1BAEEEA9" w14:textId="21068830" w:rsidR="00751272" w:rsidRDefault="00751272" w:rsidP="00751272"/>
    <w:p w14:paraId="1F06B075" w14:textId="77777777" w:rsidR="00751272" w:rsidRDefault="00751272" w:rsidP="00751272">
      <w:pPr>
        <w:pStyle w:val="Heading4"/>
      </w:pPr>
      <w:r>
        <w:t>State solutions in the status quo are too narrowly tailored</w:t>
      </w:r>
    </w:p>
    <w:p w14:paraId="5EAC3292" w14:textId="77777777" w:rsidR="00751272" w:rsidRDefault="00751272" w:rsidP="00751272"/>
    <w:p w14:paraId="0F1D027A" w14:textId="77777777" w:rsidR="00751272" w:rsidRDefault="00751272" w:rsidP="00751272">
      <w:pPr>
        <w:rPr>
          <w:rStyle w:val="Style13ptBold"/>
        </w:rPr>
      </w:pPr>
      <w:r>
        <w:rPr>
          <w:rStyle w:val="Style13ptBold"/>
        </w:rPr>
        <w:t>Subramanian et al ‘14</w:t>
      </w:r>
    </w:p>
    <w:p w14:paraId="66F4CA53" w14:textId="77777777" w:rsidR="00751272" w:rsidRDefault="00751272" w:rsidP="00751272">
      <w:r w:rsidRPr="007101F6">
        <w:t>(</w:t>
      </w:r>
      <w:r>
        <w:t xml:space="preserve">Ram Subramanian, Rebecka Moreno, and Sophia </w:t>
      </w:r>
      <w:proofErr w:type="spellStart"/>
      <w:r>
        <w:t>Gebreselassie</w:t>
      </w:r>
      <w:proofErr w:type="spellEnd"/>
      <w:r>
        <w:t xml:space="preserve">, </w:t>
      </w:r>
      <w:r w:rsidRPr="007101F6">
        <w:t xml:space="preserve">“Relief in Sight? States Rethink the Collateral Consequences of Criminal Conviction, 2009-2014,” </w:t>
      </w:r>
      <w:proofErr w:type="spellStart"/>
      <w:r w:rsidRPr="007101F6">
        <w:t>pg</w:t>
      </w:r>
      <w:proofErr w:type="spellEnd"/>
      <w:r w:rsidRPr="007101F6">
        <w:t xml:space="preserve"> online @ </w:t>
      </w:r>
      <w:hyperlink r:id="rId18" w:history="1">
        <w:r w:rsidRPr="007101F6">
          <w:rPr>
            <w:rStyle w:val="Hyperlink"/>
          </w:rPr>
          <w:t>https://www.vera.org/downloads/Publications/relief-in-sight-states-rethink-the-collateral-consequences-of-criminal-conviction-2009-2014/legacy_downloads/states-rethink-collateral-consequences-report-v4.pdf</w:t>
        </w:r>
      </w:hyperlink>
      <w:r w:rsidRPr="007101F6">
        <w:t xml:space="preserve"> //um-</w:t>
      </w:r>
      <w:proofErr w:type="spellStart"/>
      <w:r w:rsidRPr="007101F6">
        <w:t>ef</w:t>
      </w:r>
      <w:proofErr w:type="spellEnd"/>
      <w:r w:rsidRPr="007101F6">
        <w:t>)</w:t>
      </w:r>
    </w:p>
    <w:p w14:paraId="5802C158" w14:textId="77777777" w:rsidR="00751272" w:rsidRDefault="00751272" w:rsidP="00751272">
      <w:r w:rsidRPr="00DD3EAF">
        <w:rPr>
          <w:rStyle w:val="StyleUnderline"/>
        </w:rPr>
        <w:t>Much of recent legislation is narrowly tailored in terms of which offenders and offenses it impacts, limiting its potential. For instance, recent legislation that creates or expands expungement or sealing mechanisms typically does not go beyond first- or second-time low-level offenders</w:t>
      </w:r>
      <w:r>
        <w:t xml:space="preserve"> (most often misdemeanor or low-level felony offenders), </w:t>
      </w:r>
      <w:r w:rsidRPr="00DD3EAF">
        <w:rPr>
          <w:rStyle w:val="StyleUnderline"/>
        </w:rPr>
        <w:t>and only applies to certain types of offenses</w:t>
      </w:r>
      <w:r>
        <w:t xml:space="preserve">, typically drug or property offenses. </w:t>
      </w:r>
      <w:r w:rsidRPr="00DD3EAF">
        <w:rPr>
          <w:rStyle w:val="StyleUnderline"/>
        </w:rPr>
        <w:t>Offenders who are most often disqualified are those with lengthy criminal histories or who are considered habitual offenders; and whole categories of offenses are frequently excluded from the purview of new or existing relief mechanisms—typically, all violent or sexual offenses.</w:t>
      </w:r>
      <w:r>
        <w:t xml:space="preserve"> While many of these exclusions on their face may make sense, </w:t>
      </w:r>
      <w:r w:rsidRPr="00DD3EAF">
        <w:rPr>
          <w:rStyle w:val="StyleUnderline"/>
        </w:rPr>
        <w:t>a lengthy criminal history may nonetheless be made up entirely of property, drug, or fraud-related charges.</w:t>
      </w:r>
      <w:r>
        <w:t xml:space="preserve"> For instance, the label of violent or nonviolent as a demarcation for eligibility can be a blunt tool that excludes some non-serious offenders since violent offenses are typically broadly defined. Often, to be considered “violent” the law only requires that an individual possess a weapon while committing an offense, even when not used, or never intended to be used. Additionally, some offenses, such as burglary and drug trafficking, that often do not involve force or violence are nevertheless classified as violent.62 These categories are fundamentally too broad. Relief should be made available on a case-by-case basis and use risk assessments from corrections officials and others.</w:t>
      </w:r>
    </w:p>
    <w:p w14:paraId="12A35529" w14:textId="77777777" w:rsidR="00751272" w:rsidRPr="00751272" w:rsidRDefault="00751272" w:rsidP="00751272"/>
    <w:p w14:paraId="03B7D497" w14:textId="77777777" w:rsidR="008A4D8F" w:rsidRPr="00350C69" w:rsidRDefault="008A4D8F" w:rsidP="00350C69"/>
    <w:p w14:paraId="3108D265" w14:textId="77777777" w:rsidR="00371F90" w:rsidRDefault="00371F90" w:rsidP="00371F90"/>
    <w:p w14:paraId="77553A53" w14:textId="0BFA6C2A" w:rsidR="00603BBE" w:rsidRDefault="00C003D2" w:rsidP="00603BBE">
      <w:pPr>
        <w:pStyle w:val="Heading2"/>
      </w:pPr>
      <w:r>
        <w:t>General</w:t>
      </w:r>
      <w:r w:rsidR="00603BBE">
        <w:t xml:space="preserve"> Internals</w:t>
      </w:r>
    </w:p>
    <w:p w14:paraId="1BAB7924" w14:textId="77777777" w:rsidR="00603BBE" w:rsidRDefault="00603BBE" w:rsidP="00603BBE">
      <w:pPr>
        <w:pStyle w:val="Heading3"/>
      </w:pPr>
      <w:r>
        <w:t>Internals: CC’s Deny Benefits</w:t>
      </w:r>
    </w:p>
    <w:p w14:paraId="1C531EA4" w14:textId="77777777" w:rsidR="00603BBE" w:rsidRPr="00066293" w:rsidRDefault="00603BBE" w:rsidP="00603BBE"/>
    <w:p w14:paraId="3BCB34C6" w14:textId="77777777" w:rsidR="00603BBE" w:rsidRDefault="00603BBE" w:rsidP="00603BBE">
      <w:pPr>
        <w:pStyle w:val="Heading4"/>
      </w:pPr>
      <w:r>
        <w:t>And, those collateral consequences disproportionately target people of color and African American communities in particular --- denying them housing, government benefits, and voting rights and are modeled internationally</w:t>
      </w:r>
    </w:p>
    <w:p w14:paraId="7DB4566F" w14:textId="77777777" w:rsidR="00603BBE" w:rsidRPr="00361D7A" w:rsidRDefault="00603BBE" w:rsidP="00603BBE"/>
    <w:p w14:paraId="0A64DD9C" w14:textId="77777777" w:rsidR="00603BBE" w:rsidRDefault="00603BBE" w:rsidP="00603BBE">
      <w:pPr>
        <w:rPr>
          <w:rStyle w:val="Style13ptBold"/>
        </w:rPr>
      </w:pPr>
      <w:proofErr w:type="spellStart"/>
      <w:r>
        <w:rPr>
          <w:rStyle w:val="Style13ptBold"/>
        </w:rPr>
        <w:t>Pinard</w:t>
      </w:r>
      <w:proofErr w:type="spellEnd"/>
      <w:r>
        <w:rPr>
          <w:rStyle w:val="Style13ptBold"/>
        </w:rPr>
        <w:t xml:space="preserve"> ‘10</w:t>
      </w:r>
    </w:p>
    <w:p w14:paraId="5A9651C2" w14:textId="77777777" w:rsidR="00603BBE" w:rsidRDefault="00603BBE" w:rsidP="00603BBE">
      <w:r w:rsidRPr="00361D7A">
        <w:t xml:space="preserve">(Michael, Professor, University of Maryland School of Law, “COLLATERAL CONSEQUENCES OF CRIMINAL CONVICTIONS: CONFRONTING ISSUES OF RACE AND DIGNITY, 85 N.Y.U.L. Rev. 457,” </w:t>
      </w:r>
      <w:proofErr w:type="spellStart"/>
      <w:r w:rsidRPr="00361D7A">
        <w:t>pg</w:t>
      </w:r>
      <w:proofErr w:type="spellEnd"/>
      <w:r w:rsidRPr="00361D7A">
        <w:t xml:space="preserve"> lexis//um-</w:t>
      </w:r>
      <w:proofErr w:type="spellStart"/>
      <w:r w:rsidRPr="00361D7A">
        <w:t>ef</w:t>
      </w:r>
      <w:proofErr w:type="spellEnd"/>
      <w:r w:rsidRPr="00361D7A">
        <w:t>)</w:t>
      </w:r>
    </w:p>
    <w:p w14:paraId="53CB6022" w14:textId="77777777" w:rsidR="00603BBE" w:rsidRDefault="00603BBE" w:rsidP="00603BBE">
      <w:pPr>
        <w:rPr>
          <w:sz w:val="12"/>
        </w:rPr>
      </w:pPr>
      <w:r w:rsidRPr="00386C6C">
        <w:rPr>
          <w:sz w:val="12"/>
        </w:rPr>
        <w:t xml:space="preserve">A new comparative examination of collateral consequences is needed now because reentry has become a pressing issue both in the United States and abroad. </w:t>
      </w:r>
      <w:r w:rsidRPr="00361D7A">
        <w:rPr>
          <w:rStyle w:val="StyleUnderline"/>
        </w:rPr>
        <w:t>Collateral consequences define to a large extent the legal status of individuals with criminal records and can make it quite difficult for these individuals to move past their sentences and to reintegrate successfully into their communities</w:t>
      </w:r>
      <w:r w:rsidRPr="00386C6C">
        <w:rPr>
          <w:sz w:val="12"/>
        </w:rPr>
        <w:t xml:space="preserve">. Countries across the globe are devoting increased attention and resources to the various needs of individuals exiting prisons and returning to their communities. 36Link to the text of the note These countries are also considering reentry strategies and implementing programs with the hopes of facilitating reintegration and reducing recidivism. 37Link to the text of the note </w:t>
      </w:r>
      <w:r w:rsidRPr="00361D7A">
        <w:rPr>
          <w:rStyle w:val="Emphasis"/>
        </w:rPr>
        <w:t>In the United States, reentry has reached a critical point</w:t>
      </w:r>
      <w:r w:rsidRPr="00386C6C">
        <w:rPr>
          <w:sz w:val="12"/>
        </w:rPr>
        <w:t xml:space="preserve"> </w:t>
      </w:r>
      <w:r w:rsidRPr="00361D7A">
        <w:rPr>
          <w:rStyle w:val="StyleUnderline"/>
        </w:rPr>
        <w:t>as communities absorb record numbers of individuals exiting correctional institutions</w:t>
      </w:r>
      <w:r w:rsidRPr="00386C6C">
        <w:rPr>
          <w:sz w:val="12"/>
        </w:rPr>
        <w:t xml:space="preserve">. 38Link to the text of the note </w:t>
      </w:r>
      <w:proofErr w:type="gramStart"/>
      <w:r w:rsidRPr="00386C6C">
        <w:rPr>
          <w:sz w:val="12"/>
        </w:rPr>
        <w:t>The</w:t>
      </w:r>
      <w:proofErr w:type="gramEnd"/>
      <w:r w:rsidRPr="00386C6C">
        <w:rPr>
          <w:sz w:val="12"/>
        </w:rPr>
        <w:t xml:space="preserve"> numerous </w:t>
      </w:r>
      <w:r w:rsidRPr="00361D7A">
        <w:rPr>
          <w:rStyle w:val="StyleUnderline"/>
        </w:rPr>
        <w:t>collateral consequences</w:t>
      </w:r>
      <w:r w:rsidRPr="00386C6C">
        <w:rPr>
          <w:sz w:val="12"/>
        </w:rPr>
        <w:t xml:space="preserve"> that attach to [*468] convictions </w:t>
      </w:r>
      <w:r w:rsidRPr="00361D7A">
        <w:rPr>
          <w:rStyle w:val="StyleUnderline"/>
        </w:rPr>
        <w:t>frustrate reintegration for both individuals and whole communities</w:t>
      </w:r>
      <w:r w:rsidRPr="00386C6C">
        <w:rPr>
          <w:sz w:val="12"/>
        </w:rPr>
        <w:t xml:space="preserve">. 39Link to the text of the note Because so many individuals are now being released each year from U.S. prisons, 40Link to the text of the note these consequences are affecting greater numbers of individuals, 41Link to the text of the note and, by extension, greater numbers of families 42Link to the text of the note and communities. </w:t>
      </w:r>
      <w:r w:rsidRPr="00361D7A">
        <w:rPr>
          <w:rStyle w:val="StyleUnderline"/>
        </w:rPr>
        <w:t>Studies show that a relatively small number of communities - specifically, neighborhoods in U.S. urban centers - disproportionately absorb the reentering population</w:t>
      </w:r>
      <w:r w:rsidRPr="00386C6C">
        <w:rPr>
          <w:sz w:val="12"/>
        </w:rPr>
        <w:t xml:space="preserve">. 43Link to the text of the note </w:t>
      </w:r>
      <w:proofErr w:type="gramStart"/>
      <w:r w:rsidRPr="00386C6C">
        <w:rPr>
          <w:sz w:val="12"/>
        </w:rPr>
        <w:t>As</w:t>
      </w:r>
      <w:proofErr w:type="gramEnd"/>
      <w:r w:rsidRPr="00386C6C">
        <w:rPr>
          <w:sz w:val="12"/>
        </w:rPr>
        <w:t xml:space="preserve"> a result, these communities face particularly difficult challenges in reintegrating [*469] returning individuals. 44Link to the text of the note Thus, assessing the extent to which the legal processes in the United States stigmatize individuals with criminal records compared to the legal processes in the Comparison Countries is of great import for reentering individuals, their families, and their communities. In addition, comparative analysis of collateral consequences is fruitful because </w:t>
      </w:r>
      <w:r w:rsidRPr="00361D7A">
        <w:rPr>
          <w:rStyle w:val="Emphasis"/>
        </w:rPr>
        <w:t>U.S. criminal justice policies appear to have influenced policies implemented in other countries</w:t>
      </w:r>
      <w:r w:rsidRPr="00386C6C">
        <w:rPr>
          <w:sz w:val="12"/>
        </w:rPr>
        <w:t xml:space="preserve">, 45Link to the text of the note </w:t>
      </w:r>
      <w:r w:rsidRPr="00361D7A">
        <w:rPr>
          <w:rStyle w:val="Emphasis"/>
        </w:rPr>
        <w:t>including policies relating to individuals with criminal records</w:t>
      </w:r>
      <w:r w:rsidRPr="00386C6C">
        <w:rPr>
          <w:sz w:val="12"/>
        </w:rPr>
        <w:t xml:space="preserve">. 46Link to the text of the note </w:t>
      </w:r>
      <w:proofErr w:type="gramStart"/>
      <w:r w:rsidRPr="00386C6C">
        <w:rPr>
          <w:sz w:val="12"/>
        </w:rPr>
        <w:t>The</w:t>
      </w:r>
      <w:proofErr w:type="gramEnd"/>
      <w:r w:rsidRPr="00386C6C">
        <w:rPr>
          <w:sz w:val="12"/>
        </w:rPr>
        <w:t xml:space="preserve"> international impact of U.S. punishment schemes makes comparative analysis particularly useful. Other countries have adopted some U.S. policies while rejecting others. For example, in the wake of the widespread adoption of sex offender registration requirements in the United States, 47Link to the text of the note the Comparison Countries all enacted similar but significantly less expansive laws. 48Link to the text of the note Comparative analysis can thus illustrate alternative options for policymakers interested in reform. [*470] B. Race, Dignity, and Collateral Consequences Comparative analysis also illuminates the role that race and concepts of dignity play in collateral consequence policies. As will be detailed below, </w:t>
      </w:r>
      <w:r w:rsidRPr="00C4677E">
        <w:rPr>
          <w:rStyle w:val="Emphasis"/>
        </w:rPr>
        <w:t>a significant correlation exists between collateral consequences and race in the United States.</w:t>
      </w:r>
      <w:r w:rsidRPr="00386C6C">
        <w:rPr>
          <w:sz w:val="12"/>
        </w:rPr>
        <w:t xml:space="preserve"> </w:t>
      </w:r>
      <w:r w:rsidRPr="00C4677E">
        <w:rPr>
          <w:rStyle w:val="StyleUnderline"/>
        </w:rPr>
        <w:t>Felon disenfranchisement, the most long-standing of these consequences</w:t>
      </w:r>
      <w:r w:rsidRPr="00386C6C">
        <w:rPr>
          <w:sz w:val="12"/>
        </w:rPr>
        <w:t xml:space="preserve">, originated during the colonial era in the United States and continues, in various forms, in </w:t>
      </w:r>
      <w:proofErr w:type="gramStart"/>
      <w:r w:rsidRPr="00386C6C">
        <w:rPr>
          <w:sz w:val="12"/>
        </w:rPr>
        <w:t>the vast majority of</w:t>
      </w:r>
      <w:proofErr w:type="gramEnd"/>
      <w:r w:rsidRPr="00386C6C">
        <w:rPr>
          <w:sz w:val="12"/>
        </w:rPr>
        <w:t xml:space="preserve"> states today. Post-Reconstruction disenfranchisement laws, </w:t>
      </w:r>
      <w:r w:rsidRPr="00C4677E">
        <w:rPr>
          <w:rStyle w:val="StyleUnderline"/>
        </w:rPr>
        <w:t>tailored to exclude African Americans from voting, were rooted in race</w:t>
      </w:r>
      <w:r w:rsidRPr="00386C6C">
        <w:rPr>
          <w:sz w:val="12"/>
        </w:rPr>
        <w:t xml:space="preserve">. </w:t>
      </w:r>
      <w:r w:rsidRPr="00C4677E">
        <w:rPr>
          <w:rStyle w:val="StyleUnderline"/>
        </w:rPr>
        <w:t>Other collateral consequences - such as restrictions on welfare and housing benefits - dramatically increased in the 1980s and 1990s</w:t>
      </w:r>
      <w:r w:rsidRPr="00386C6C">
        <w:rPr>
          <w:sz w:val="12"/>
        </w:rPr>
        <w:t xml:space="preserve"> in number and severity. Unlike the post-Reconstruction disenfranchisement laws, </w:t>
      </w:r>
      <w:r w:rsidRPr="00C4677E">
        <w:rPr>
          <w:rStyle w:val="StyleUnderline"/>
        </w:rPr>
        <w:t>these consequences were not explicitly rooted in racial animus</w:t>
      </w:r>
      <w:r w:rsidRPr="00386C6C">
        <w:rPr>
          <w:sz w:val="12"/>
        </w:rPr>
        <w:t xml:space="preserve">. </w:t>
      </w:r>
      <w:r w:rsidRPr="00C4677E">
        <w:rPr>
          <w:rStyle w:val="StyleUnderline"/>
        </w:rPr>
        <w:t>However, this significant expansion occurred during the same time that the U.S. criminal justice system waged the "war on drugs" that led to the exploding incarceration rates that continue to disproportionately impact individuals and communities of color today</w:t>
      </w:r>
      <w:r w:rsidRPr="00386C6C">
        <w:rPr>
          <w:sz w:val="12"/>
        </w:rPr>
        <w:t xml:space="preserve">. Indeed, several of </w:t>
      </w:r>
      <w:r w:rsidRPr="00C4677E">
        <w:rPr>
          <w:rStyle w:val="Emphasis"/>
        </w:rPr>
        <w:t>the consequences</w:t>
      </w:r>
      <w:r w:rsidRPr="00386C6C">
        <w:rPr>
          <w:sz w:val="12"/>
        </w:rPr>
        <w:t xml:space="preserve"> enacted during these decades specifically targeted drug offenses, which are well-known to </w:t>
      </w:r>
      <w:r w:rsidRPr="00C4677E">
        <w:rPr>
          <w:rStyle w:val="Emphasis"/>
        </w:rPr>
        <w:t>disproportionately impact African Americans and Latinos</w:t>
      </w:r>
      <w:r w:rsidRPr="00386C6C">
        <w:rPr>
          <w:sz w:val="12"/>
        </w:rPr>
        <w:t xml:space="preserve">. [*471] A comparative examination highlights the fact that </w:t>
      </w:r>
      <w:r w:rsidRPr="00C4677E">
        <w:rPr>
          <w:rStyle w:val="Emphasis"/>
        </w:rPr>
        <w:t>race is significantly intertwined with current U.S. collateral consequence policies and practices</w:t>
      </w:r>
      <w:r w:rsidRPr="00386C6C">
        <w:rPr>
          <w:sz w:val="12"/>
        </w:rPr>
        <w:t xml:space="preserve">. Accordingly, this Article will examine collateral consequences in countries whose criminal justice systems have significant similarities to the U.S. criminal justice system. </w:t>
      </w:r>
      <w:proofErr w:type="gramStart"/>
      <w:r w:rsidRPr="00386C6C">
        <w:rPr>
          <w:sz w:val="12"/>
        </w:rPr>
        <w:t>In particular, it</w:t>
      </w:r>
      <w:proofErr w:type="gramEnd"/>
      <w:r w:rsidRPr="00386C6C">
        <w:rPr>
          <w:sz w:val="12"/>
        </w:rPr>
        <w:t xml:space="preserve"> will illustrate the ways in which the Comparison Countries have accounted for the racially disparate impacts of their criminal justice practices. 52Link to the text of the note This Article's comparative analysis will also focus on </w:t>
      </w:r>
      <w:r w:rsidRPr="00C4677E">
        <w:rPr>
          <w:rStyle w:val="Emphasis"/>
        </w:rPr>
        <w:t xml:space="preserve">the relationship between collateral consequences and </w:t>
      </w:r>
      <w:r w:rsidRPr="00386C6C">
        <w:rPr>
          <w:sz w:val="12"/>
        </w:rPr>
        <w:t>the concept of</w:t>
      </w:r>
      <w:r w:rsidRPr="00C4677E">
        <w:rPr>
          <w:rStyle w:val="Emphasis"/>
        </w:rPr>
        <w:t xml:space="preserve"> human dignity</w:t>
      </w:r>
      <w:r w:rsidRPr="00386C6C">
        <w:rPr>
          <w:sz w:val="12"/>
        </w:rPr>
        <w:t xml:space="preserve">. Canada and South Africa, two countries that have embraced broad international human rights notions of dignity, impose fewer and less severe legal restrictions on individuals with criminal records than does the United States. 54Link to the text of the note Similarly, England, Canada, and South Africa also have legal provisions - in the form of pardons or national expungement provisions - that more readily forgive individuals for their past legal transgressions. 55Link to the text of the note </w:t>
      </w:r>
      <w:r w:rsidRPr="00C4677E">
        <w:rPr>
          <w:rStyle w:val="StyleUnderline"/>
        </w:rPr>
        <w:t>The United States, in contrast, conceptualizes dignity very narrowly</w:t>
      </w:r>
      <w:r w:rsidRPr="00386C6C">
        <w:rPr>
          <w:sz w:val="12"/>
        </w:rPr>
        <w:t xml:space="preserve">. 56Link to the text of the note </w:t>
      </w:r>
      <w:proofErr w:type="gramStart"/>
      <w:r w:rsidRPr="00386C6C">
        <w:rPr>
          <w:sz w:val="12"/>
        </w:rPr>
        <w:t>As</w:t>
      </w:r>
      <w:proofErr w:type="gramEnd"/>
      <w:r w:rsidRPr="00386C6C">
        <w:rPr>
          <w:sz w:val="12"/>
        </w:rPr>
        <w:t xml:space="preserve"> a result, </w:t>
      </w:r>
      <w:r w:rsidRPr="00C4677E">
        <w:rPr>
          <w:rStyle w:val="Emphasis"/>
        </w:rPr>
        <w:t xml:space="preserve">the legal stigma that attaches to a criminal record in the United States is </w:t>
      </w:r>
      <w:r w:rsidRPr="00386C6C">
        <w:rPr>
          <w:sz w:val="12"/>
        </w:rPr>
        <w:t>more</w:t>
      </w:r>
      <w:r w:rsidRPr="00C4677E">
        <w:rPr>
          <w:rStyle w:val="Emphasis"/>
        </w:rPr>
        <w:t xml:space="preserve"> permanent</w:t>
      </w:r>
      <w:r w:rsidRPr="00386C6C">
        <w:rPr>
          <w:sz w:val="12"/>
        </w:rPr>
        <w:t xml:space="preserve"> than in other countries with similar criminal justice systems. </w:t>
      </w:r>
    </w:p>
    <w:p w14:paraId="3C33DE54" w14:textId="73395738" w:rsidR="00603BBE" w:rsidRDefault="00664B3C" w:rsidP="00603BBE">
      <w:pPr>
        <w:pStyle w:val="Heading3"/>
      </w:pPr>
      <w:r>
        <w:t xml:space="preserve">Internals: </w:t>
      </w:r>
      <w:r w:rsidR="00603BBE">
        <w:t xml:space="preserve">CC’s Criminalize </w:t>
      </w:r>
    </w:p>
    <w:p w14:paraId="2CE51E86" w14:textId="77777777" w:rsidR="00603BBE" w:rsidRPr="00670B39" w:rsidRDefault="00603BBE" w:rsidP="00603BBE"/>
    <w:p w14:paraId="6CD0C4A2" w14:textId="77777777" w:rsidR="00603BBE" w:rsidRDefault="00603BBE" w:rsidP="00603BBE">
      <w:pPr>
        <w:pStyle w:val="Heading4"/>
      </w:pPr>
      <w:r>
        <w:t>Collateral consequences uphold the criminalization of minorities and cause increasingly disparate effects after incarceration due to mass inconsistency</w:t>
      </w:r>
    </w:p>
    <w:p w14:paraId="20145F68" w14:textId="77777777" w:rsidR="00603BBE" w:rsidRPr="00425C6B" w:rsidRDefault="00603BBE" w:rsidP="00603BBE"/>
    <w:p w14:paraId="489CE9A1" w14:textId="77777777" w:rsidR="00603BBE" w:rsidRDefault="00603BBE" w:rsidP="00603BBE">
      <w:pPr>
        <w:spacing w:line="240" w:lineRule="auto"/>
      </w:pPr>
      <w:r>
        <w:rPr>
          <w:rStyle w:val="Style13ptBold"/>
        </w:rPr>
        <w:t xml:space="preserve">Chin 02 </w:t>
      </w:r>
      <w:r>
        <w:rPr>
          <w:rStyle w:val="Style13ptBold"/>
          <w:b w:val="0"/>
          <w:bCs w:val="0"/>
          <w:sz w:val="22"/>
          <w:szCs w:val="18"/>
        </w:rPr>
        <w:t>(</w:t>
      </w:r>
      <w:r w:rsidRPr="00F356DB">
        <w:t>Gabriel "Jack" Chin is a teacher and scholar of Immigration Law, Criminal Procedure, and Race and Law</w:t>
      </w:r>
      <w:r>
        <w:t xml:space="preserve"> at UC Davis School of Law, “</w:t>
      </w:r>
      <w:r w:rsidRPr="00F356DB">
        <w:t>Race, The War on Drugs, and the Collateral</w:t>
      </w:r>
      <w:r>
        <w:t xml:space="preserve"> </w:t>
      </w:r>
      <w:r w:rsidRPr="00F356DB">
        <w:t>Consequences of Criminal Conviction</w:t>
      </w:r>
      <w:r>
        <w:t>”, 11/12/02,</w:t>
      </w:r>
      <w:r w:rsidRPr="00F356DB">
        <w:t xml:space="preserve"> </w:t>
      </w:r>
      <w:r>
        <w:t>p. 261-265)</w:t>
      </w:r>
      <w:proofErr w:type="spellStart"/>
      <w:r>
        <w:t>kiihnl</w:t>
      </w:r>
      <w:proofErr w:type="spellEnd"/>
    </w:p>
    <w:p w14:paraId="46BB9EF4" w14:textId="77777777" w:rsidR="00603BBE" w:rsidRPr="00B702B5" w:rsidRDefault="00603BBE" w:rsidP="00603BBE">
      <w:pPr>
        <w:rPr>
          <w:b/>
          <w:bCs/>
          <w:u w:val="single"/>
        </w:rPr>
      </w:pPr>
      <w:r w:rsidRPr="00BC78B0">
        <w:rPr>
          <w:sz w:val="16"/>
          <w:szCs w:val="16"/>
          <w:shd w:val="clear" w:color="auto" w:fill="FAF9F8"/>
        </w:rPr>
        <w:br/>
      </w:r>
      <w:r w:rsidRPr="00931276">
        <w:rPr>
          <w:sz w:val="16"/>
          <w:szCs w:val="16"/>
        </w:rPr>
        <w:t>II. CONTEMPORARY COLLATERAL CONSEQUENCES</w:t>
      </w:r>
      <w:r>
        <w:t xml:space="preserve"> </w:t>
      </w:r>
      <w:r w:rsidRPr="00931276">
        <w:rPr>
          <w:b/>
          <w:bCs/>
          <w:u w:val="single"/>
        </w:rPr>
        <w:t>The history of</w:t>
      </w:r>
      <w:r w:rsidRPr="00B702B5">
        <w:rPr>
          <w:b/>
          <w:bCs/>
          <w:u w:val="single"/>
        </w:rPr>
        <w:t xml:space="preserve"> drug policy and of </w:t>
      </w:r>
      <w:r w:rsidRPr="00931276">
        <w:rPr>
          <w:b/>
          <w:bCs/>
          <w:u w:val="single"/>
        </w:rPr>
        <w:t xml:space="preserve">collateral consequences reflects an unfortunate tendency to criminalize </w:t>
      </w:r>
      <w:r w:rsidRPr="00B702B5">
        <w:rPr>
          <w:b/>
          <w:bCs/>
          <w:u w:val="single"/>
        </w:rPr>
        <w:t xml:space="preserve">conduct thought to have been engaged in by </w:t>
      </w:r>
      <w:r w:rsidRPr="00931276">
        <w:rPr>
          <w:b/>
          <w:bCs/>
          <w:u w:val="single"/>
        </w:rPr>
        <w:t>minority groups</w:t>
      </w:r>
      <w:r w:rsidRPr="00931276">
        <w:rPr>
          <w:sz w:val="16"/>
          <w:szCs w:val="16"/>
        </w:rPr>
        <w:t xml:space="preserve">, and to impose special punishments on those convicted of such crimes and not others. </w:t>
      </w:r>
      <w:r w:rsidRPr="00B702B5">
        <w:rPr>
          <w:b/>
          <w:bCs/>
          <w:u w:val="single"/>
        </w:rPr>
        <w:t>That history persists to this day</w:t>
      </w:r>
      <w:r w:rsidRPr="00931276">
        <w:rPr>
          <w:sz w:val="16"/>
          <w:szCs w:val="16"/>
        </w:rPr>
        <w:t xml:space="preserve">. Of course, collateral consequences are not restricted to drug offenses. A person convicted of any felony will face severe collateral consequences. </w:t>
      </w:r>
      <w:r w:rsidRPr="00931276">
        <w:rPr>
          <w:b/>
          <w:bCs/>
          <w:u w:val="single"/>
        </w:rPr>
        <w:t>Felons lose many of the fundamental rights that are the hallmark of full citizenship</w:t>
      </w:r>
      <w:r w:rsidRPr="00B702B5">
        <w:rPr>
          <w:b/>
          <w:bCs/>
          <w:u w:val="single"/>
        </w:rPr>
        <w:t>. Felons cannot serve on federal juries,19 are disenfranchised in many states,20 and are ineligible for the security clearance necessary for many jobs in government or with federal contractors</w:t>
      </w:r>
      <w:r w:rsidRPr="00931276">
        <w:rPr>
          <w:sz w:val="16"/>
          <w:szCs w:val="16"/>
        </w:rPr>
        <w:t>.21 They may be imprisoned if they possess a firearm,22 and cannot enlist in the military.23 Congress created financial incentives for states to exclude those with criminal convictions from public housing24 and to enact sex-offender registration laws.25 The Adoption and Safe Families Act of 1997 prohibits individuals with certain criminal convictions from being approved as foster or adoptive parents.26</w:t>
      </w:r>
      <w:r>
        <w:rPr>
          <w:sz w:val="16"/>
          <w:szCs w:val="16"/>
        </w:rPr>
        <w:t xml:space="preserve"> </w:t>
      </w:r>
      <w:r w:rsidRPr="00931276">
        <w:rPr>
          <w:sz w:val="16"/>
          <w:szCs w:val="16"/>
        </w:rPr>
        <w:t xml:space="preserve">Yet, under current law </w:t>
      </w:r>
      <w:r w:rsidRPr="00931276">
        <w:rPr>
          <w:b/>
          <w:bCs/>
          <w:u w:val="single"/>
        </w:rPr>
        <w:t>drug offenses are subjected to more and harsher collateral consequences</w:t>
      </w:r>
      <w:r w:rsidRPr="00B702B5">
        <w:rPr>
          <w:b/>
          <w:bCs/>
          <w:u w:val="single"/>
        </w:rPr>
        <w:t xml:space="preserve"> than any other category of crime</w:t>
      </w:r>
      <w:r w:rsidRPr="00931276">
        <w:rPr>
          <w:sz w:val="16"/>
          <w:szCs w:val="16"/>
        </w:rPr>
        <w:t xml:space="preserve">. Those convicted of drug offenses are subject to </w:t>
      </w:r>
      <w:proofErr w:type="gramStart"/>
      <w:r w:rsidRPr="00931276">
        <w:rPr>
          <w:sz w:val="16"/>
          <w:szCs w:val="16"/>
        </w:rPr>
        <w:t>a number of</w:t>
      </w:r>
      <w:proofErr w:type="gramEnd"/>
      <w:r w:rsidRPr="00931276">
        <w:rPr>
          <w:sz w:val="16"/>
          <w:szCs w:val="16"/>
        </w:rPr>
        <w:t xml:space="preserve"> additional penalties. </w:t>
      </w:r>
      <w:r w:rsidRPr="00B702B5">
        <w:rPr>
          <w:b/>
          <w:bCs/>
          <w:u w:val="single"/>
        </w:rPr>
        <w:t>Federal law provides that as part of the criminal sentence for a drug offense, state judges as well as federal may deny any or all federal benefits to those convicted of drug possession</w:t>
      </w:r>
      <w:r w:rsidRPr="00931276">
        <w:rPr>
          <w:sz w:val="16"/>
          <w:szCs w:val="16"/>
        </w:rPr>
        <w:t>27 or drug trafficking.28 Federal benefits include the issuance of any grant, contract, loan, professional license, or commercial license provided by an agency of the United States or by appropriated funds of the United States, but not earned retirement or health benefits.29 The Bureau of Justice Assistance lists more than 750 benefits potentially affected, including 162 by the Department of Education alone.30</w:t>
      </w:r>
      <w:r>
        <w:rPr>
          <w:sz w:val="16"/>
          <w:szCs w:val="16"/>
        </w:rPr>
        <w:t xml:space="preserve"> </w:t>
      </w:r>
      <w:r w:rsidRPr="00B702B5">
        <w:rPr>
          <w:b/>
          <w:bCs/>
          <w:u w:val="single"/>
        </w:rPr>
        <w:t>If benefits are not removed as part of a sentence, they may be eliminated by other provisions of law that operate automatically</w:t>
      </w:r>
      <w:r w:rsidRPr="00931276">
        <w:rPr>
          <w:sz w:val="16"/>
          <w:szCs w:val="16"/>
        </w:rPr>
        <w:t xml:space="preserve">.31 Those convicted of felony distribution of a controlled substance are ineligible to participate in most federally-funded health care programs;32 those with misdemeanor distribution convictions may be excluded in the discretion of the Secretary of Health and Human Services.33 Those convicted of a state or federal felony involving distribution, possession, or use of a controlled substance are ineligible for Temporary Aid to Needy Families and Food Stamps.34 </w:t>
      </w:r>
      <w:r w:rsidRPr="00931276">
        <w:rPr>
          <w:b/>
          <w:bCs/>
          <w:u w:val="single"/>
        </w:rPr>
        <w:t>Persons convicted of a drug-related offense</w:t>
      </w:r>
      <w:r w:rsidRPr="004F1BC8">
        <w:t xml:space="preserve"> </w:t>
      </w:r>
      <w:r w:rsidRPr="00931276">
        <w:rPr>
          <w:sz w:val="16"/>
          <w:szCs w:val="16"/>
        </w:rPr>
        <w:t xml:space="preserve">may not receive federal educational aid,35 or the Hope Scholarship Credit.36 They </w:t>
      </w:r>
      <w:r w:rsidRPr="00931276">
        <w:rPr>
          <w:b/>
          <w:bCs/>
          <w:u w:val="single"/>
        </w:rPr>
        <w:t>are</w:t>
      </w:r>
      <w:r w:rsidRPr="004F1BC8">
        <w:t xml:space="preserve"> </w:t>
      </w:r>
      <w:r w:rsidRPr="00931276">
        <w:rPr>
          <w:sz w:val="16"/>
          <w:szCs w:val="16"/>
        </w:rPr>
        <w:t>also</w:t>
      </w:r>
      <w:r w:rsidRPr="004F1BC8">
        <w:t xml:space="preserve"> </w:t>
      </w:r>
      <w:r w:rsidRPr="00931276">
        <w:rPr>
          <w:b/>
          <w:bCs/>
          <w:u w:val="single"/>
        </w:rPr>
        <w:t>ineligible for employment</w:t>
      </w:r>
      <w:r w:rsidRPr="00B702B5">
        <w:rPr>
          <w:b/>
          <w:bCs/>
          <w:u w:val="single"/>
        </w:rPr>
        <w:t xml:space="preserve"> in certain federally-regulated industries such as airlines.37 Congress required states to revoke or suspend the drivers licenses of those convicted of drug felonies</w:t>
      </w:r>
      <w:r w:rsidRPr="004F1BC8">
        <w:t xml:space="preserve"> </w:t>
      </w:r>
      <w:r w:rsidRPr="00931276">
        <w:rPr>
          <w:sz w:val="16"/>
          <w:szCs w:val="16"/>
        </w:rPr>
        <w:t>or suffer reduction of federal highway funds.38 Congress required public housing agencies and owners of federally subsidized housing to evict tenants if a member of the household is using a controlled substance or, in some cases, has used a controlled substance in the past.39</w:t>
      </w:r>
      <w:r>
        <w:rPr>
          <w:sz w:val="16"/>
          <w:szCs w:val="16"/>
        </w:rPr>
        <w:t xml:space="preserve"> </w:t>
      </w:r>
      <w:r w:rsidRPr="00931276">
        <w:rPr>
          <w:b/>
          <w:bCs/>
          <w:u w:val="single"/>
        </w:rPr>
        <w:t>Deportation is a particularly significant collateral consequence imposed on non-citizens</w:t>
      </w:r>
      <w:r w:rsidRPr="00B702B5">
        <w:rPr>
          <w:b/>
          <w:bCs/>
          <w:u w:val="single"/>
        </w:rPr>
        <w:t xml:space="preserve"> who are convicted of drug offenses</w:t>
      </w:r>
      <w:r w:rsidRPr="00931276">
        <w:rPr>
          <w:sz w:val="16"/>
          <w:szCs w:val="16"/>
        </w:rPr>
        <w:t xml:space="preserve">. A non-citizen is deemed an aggravated felon if convicted of one or more of </w:t>
      </w:r>
      <w:proofErr w:type="gramStart"/>
      <w:r w:rsidRPr="00931276">
        <w:rPr>
          <w:sz w:val="16"/>
          <w:szCs w:val="16"/>
        </w:rPr>
        <w:t>a number of</w:t>
      </w:r>
      <w:proofErr w:type="gramEnd"/>
      <w:r w:rsidRPr="00931276">
        <w:rPr>
          <w:sz w:val="16"/>
          <w:szCs w:val="16"/>
        </w:rPr>
        <w:t xml:space="preserve"> crimes specified in the Immigration and Nationality Act; 40 </w:t>
      </w:r>
      <w:r w:rsidRPr="00B702B5">
        <w:rPr>
          <w:b/>
          <w:bCs/>
          <w:u w:val="single"/>
        </w:rPr>
        <w:t>aggravated felons are subject to removal with few if any grounds for relief or waiver</w:t>
      </w:r>
      <w:r w:rsidRPr="00931276">
        <w:rPr>
          <w:sz w:val="16"/>
          <w:szCs w:val="16"/>
        </w:rPr>
        <w:t>. An odd feature of aggravated felonies is that they can be misdemeanors.41 For example, [</w:t>
      </w:r>
      <w:proofErr w:type="spellStart"/>
      <w:r w:rsidRPr="00931276">
        <w:rPr>
          <w:sz w:val="16"/>
          <w:szCs w:val="16"/>
        </w:rPr>
        <w:t>i</w:t>
      </w:r>
      <w:proofErr w:type="spellEnd"/>
      <w:r w:rsidRPr="00931276">
        <w:rPr>
          <w:sz w:val="16"/>
          <w:szCs w:val="16"/>
        </w:rPr>
        <w:t>]</w:t>
      </w:r>
      <w:proofErr w:type="spellStart"/>
      <w:r w:rsidRPr="00931276">
        <w:rPr>
          <w:sz w:val="16"/>
          <w:szCs w:val="16"/>
        </w:rPr>
        <w:t>llicit</w:t>
      </w:r>
      <w:proofErr w:type="spellEnd"/>
      <w:r w:rsidRPr="00931276">
        <w:rPr>
          <w:sz w:val="16"/>
          <w:szCs w:val="16"/>
        </w:rPr>
        <w:t xml:space="preserve"> trafficking in a controlled substance is an aggravated felony</w:t>
      </w:r>
      <w:r>
        <w:rPr>
          <w:sz w:val="16"/>
          <w:szCs w:val="16"/>
        </w:rPr>
        <w:t xml:space="preserve"> </w:t>
      </w:r>
      <w:r w:rsidRPr="00931276">
        <w:rPr>
          <w:sz w:val="16"/>
          <w:szCs w:val="16"/>
        </w:rPr>
        <w:t>by statute,42 even if the conviction constitutes a misdemeanor under state law.43 Another provision of the Immigration and Nationality Act makes deportable</w:t>
      </w:r>
      <w:r>
        <w:rPr>
          <w:sz w:val="16"/>
          <w:szCs w:val="16"/>
        </w:rPr>
        <w:t xml:space="preserve"> </w:t>
      </w:r>
      <w:r w:rsidRPr="00931276">
        <w:rPr>
          <w:sz w:val="16"/>
          <w:szCs w:val="16"/>
        </w:rPr>
        <w:t>[a]</w:t>
      </w:r>
      <w:proofErr w:type="spellStart"/>
      <w:r w:rsidRPr="00931276">
        <w:rPr>
          <w:sz w:val="16"/>
          <w:szCs w:val="16"/>
        </w:rPr>
        <w:t>ny</w:t>
      </w:r>
      <w:proofErr w:type="spellEnd"/>
      <w:r w:rsidRPr="00931276">
        <w:rPr>
          <w:sz w:val="16"/>
          <w:szCs w:val="16"/>
        </w:rPr>
        <w:t xml:space="preserve"> alien who at any time after admission has been convicted of a violation of . . . any law or regulation of a State, the United States, or a foreign country relating to controlled substances . . .</w:t>
      </w:r>
      <w:r>
        <w:rPr>
          <w:sz w:val="16"/>
          <w:szCs w:val="16"/>
        </w:rPr>
        <w:t xml:space="preserve"> </w:t>
      </w:r>
      <w:r w:rsidRPr="00931276">
        <w:rPr>
          <w:sz w:val="16"/>
          <w:szCs w:val="16"/>
        </w:rPr>
        <w:t>other than a single offense involving possession for one’s own use of 30 grams or less of marijuana.44</w:t>
      </w:r>
      <w:r>
        <w:rPr>
          <w:sz w:val="16"/>
          <w:szCs w:val="16"/>
        </w:rPr>
        <w:t xml:space="preserve"> </w:t>
      </w:r>
      <w:r w:rsidRPr="00931276">
        <w:rPr>
          <w:sz w:val="16"/>
          <w:szCs w:val="16"/>
        </w:rPr>
        <w:t xml:space="preserve">Thus, </w:t>
      </w:r>
      <w:r w:rsidRPr="00B702B5">
        <w:rPr>
          <w:b/>
          <w:bCs/>
          <w:u w:val="single"/>
        </w:rPr>
        <w:t>any drug violation other than a minor marijuana offense can lead to deportation of a non-citizen.</w:t>
      </w:r>
      <w:r>
        <w:t xml:space="preserve"> </w:t>
      </w:r>
      <w:r w:rsidRPr="00B702B5">
        <w:rPr>
          <w:b/>
          <w:bCs/>
          <w:u w:val="single"/>
        </w:rPr>
        <w:t>The Supreme Court has recognized that being subject to enhanced or recidivist sentencing in a future prosecution is a collateral consequence of conviction</w:t>
      </w:r>
      <w:r w:rsidRPr="00931276">
        <w:rPr>
          <w:sz w:val="16"/>
          <w:szCs w:val="16"/>
        </w:rPr>
        <w:t>.45 Among the most severe forms of enhanced or recidivist sentencing are reserved for drug dealers, those accused of manufacture, importation, or distribution of controlled substances rather than mere possessors. The Federal Sentencing Guidelines define a career offender as a defendant over eighteen who is convicted of a violent crime or of a controlled substance offense, and has two prior controlled substance offenses or violent convictions, or at least one of each.46 A controlled substance offense is a crime punishable by more than one year involving manufacture, import, export, distribution or dispensing of a controlled substance.47</w:t>
      </w:r>
      <w:r>
        <w:rPr>
          <w:sz w:val="16"/>
          <w:szCs w:val="16"/>
        </w:rPr>
        <w:t xml:space="preserve"> </w:t>
      </w:r>
      <w:r w:rsidRPr="00931276">
        <w:rPr>
          <w:b/>
          <w:bCs/>
          <w:u w:val="single"/>
        </w:rPr>
        <w:t>Drug convictions can even justify imposition of a death sentence</w:t>
      </w:r>
      <w:r w:rsidRPr="00B702B5">
        <w:rPr>
          <w:b/>
          <w:bCs/>
          <w:u w:val="single"/>
        </w:rPr>
        <w:t>. The federal death penalty statute deems it an aggravating factor if the defendant has two or more prior convictions</w:t>
      </w:r>
      <w:r w:rsidRPr="004F1BC8">
        <w:t xml:space="preserve"> </w:t>
      </w:r>
      <w:r w:rsidRPr="00931276">
        <w:rPr>
          <w:sz w:val="16"/>
          <w:szCs w:val="16"/>
        </w:rPr>
        <w:t>for State or Federal offenses punishable by a term of imprisonment of more than one year, committed on different occasions, involving the distribution of a controlled substance.48 None of this is to suggest that the imprisonment and fines imposed on convicted drug offenders are trivial. In 1998, 65% of those convicted of</w:t>
      </w:r>
      <w:r>
        <w:rPr>
          <w:sz w:val="16"/>
          <w:szCs w:val="16"/>
        </w:rPr>
        <w:t xml:space="preserve"> </w:t>
      </w:r>
      <w:r w:rsidRPr="00931276">
        <w:rPr>
          <w:sz w:val="16"/>
          <w:szCs w:val="16"/>
        </w:rPr>
        <w:t xml:space="preserve">drug possession in state court and 71% of those convicted of trafficking were sentenced to incarceration.49 Yet the mean sentences were twelve months for possession and nineteen months for trafficking.50 </w:t>
      </w:r>
      <w:r w:rsidRPr="00B702B5">
        <w:rPr>
          <w:b/>
          <w:bCs/>
          <w:u w:val="single"/>
        </w:rPr>
        <w:t>Virtually all drug offenders convicted of crimes will return to society, where managing collateral consequences will be a continuing issue.</w:t>
      </w:r>
      <w:r>
        <w:rPr>
          <w:b/>
          <w:bCs/>
          <w:u w:val="single"/>
        </w:rPr>
        <w:t xml:space="preserve"> </w:t>
      </w:r>
      <w:r w:rsidRPr="00931276">
        <w:rPr>
          <w:sz w:val="16"/>
          <w:szCs w:val="16"/>
        </w:rPr>
        <w:t>III. RACIAL DISPARITY IN DRUG PROSECUTIONS</w:t>
      </w:r>
      <w:r>
        <w:rPr>
          <w:sz w:val="16"/>
          <w:szCs w:val="16"/>
        </w:rPr>
        <w:t xml:space="preserve"> </w:t>
      </w:r>
      <w:r w:rsidRPr="00931276">
        <w:rPr>
          <w:sz w:val="16"/>
          <w:szCs w:val="16"/>
        </w:rPr>
        <w:t>The raw numbers are shocking. At year-end 2000, over 2,000,000 people were in prison, jail, or some other form of detention in the United States; of these, more than 1.3 million had been convicted of a crime and sentenced to a state or federal prison term, almost twice as many as had been imprisoned</w:t>
      </w:r>
      <w:r>
        <w:rPr>
          <w:sz w:val="16"/>
          <w:szCs w:val="16"/>
        </w:rPr>
        <w:t xml:space="preserve"> </w:t>
      </w:r>
      <w:r w:rsidRPr="00931276">
        <w:rPr>
          <w:sz w:val="16"/>
          <w:szCs w:val="16"/>
        </w:rPr>
        <w:t xml:space="preserve">in1990.51 The prison population is not racially representative of the population as a whole. </w:t>
      </w:r>
      <w:r w:rsidRPr="00931276">
        <w:rPr>
          <w:b/>
          <w:bCs/>
          <w:u w:val="single"/>
        </w:rPr>
        <w:t>Although</w:t>
      </w:r>
      <w:r w:rsidRPr="00B702B5">
        <w:rPr>
          <w:b/>
          <w:bCs/>
          <w:u w:val="single"/>
        </w:rPr>
        <w:t xml:space="preserve"> according to the Census Bureau </w:t>
      </w:r>
      <w:r w:rsidRPr="00931276">
        <w:rPr>
          <w:b/>
          <w:bCs/>
          <w:u w:val="single"/>
        </w:rPr>
        <w:t>African Americans made up only 12.9% of the population in 2000</w:t>
      </w:r>
      <w:r w:rsidRPr="00B702B5">
        <w:rPr>
          <w:b/>
          <w:bCs/>
          <w:u w:val="single"/>
        </w:rPr>
        <w:t xml:space="preserve">, 52 </w:t>
      </w:r>
      <w:r w:rsidRPr="008B6D2A">
        <w:rPr>
          <w:b/>
          <w:bCs/>
          <w:u w:val="single"/>
        </w:rPr>
        <w:t>t</w:t>
      </w:r>
      <w:r w:rsidRPr="00931276">
        <w:rPr>
          <w:b/>
          <w:bCs/>
          <w:u w:val="single"/>
        </w:rPr>
        <w:t>hey were 46.2% of those incarcerated</w:t>
      </w:r>
      <w:r w:rsidRPr="00931276">
        <w:rPr>
          <w:sz w:val="16"/>
          <w:szCs w:val="16"/>
        </w:rPr>
        <w:t>; the 12.5% of the population which was Latino or Hispanic made up 16.4% of the prison</w:t>
      </w:r>
      <w:r>
        <w:rPr>
          <w:sz w:val="16"/>
          <w:szCs w:val="16"/>
        </w:rPr>
        <w:t xml:space="preserve"> </w:t>
      </w:r>
      <w:r w:rsidRPr="00931276">
        <w:rPr>
          <w:sz w:val="16"/>
          <w:szCs w:val="16"/>
        </w:rPr>
        <w:t xml:space="preserve">population.53 Thus, 449 white males out of every 100,000 in the population were in custody pursuant to a sentence, compared with 1,220 out of every 100,000 Hispanic males and 3,457 of every 100,000 African American males. </w:t>
      </w:r>
      <w:r w:rsidRPr="00B702B5">
        <w:rPr>
          <w:b/>
          <w:bCs/>
          <w:u w:val="single"/>
        </w:rPr>
        <w:t>The rates for women followed the same pattern</w:t>
      </w:r>
      <w:r w:rsidRPr="00931276">
        <w:rPr>
          <w:sz w:val="16"/>
          <w:szCs w:val="16"/>
        </w:rPr>
        <w:t>; out of every 100,000 in the population, 205 African American women, 60 Hispanic women and 34 white women were imprisoned.54</w:t>
      </w:r>
      <w:r>
        <w:rPr>
          <w:sz w:val="16"/>
          <w:szCs w:val="16"/>
        </w:rPr>
        <w:t xml:space="preserve"> </w:t>
      </w:r>
      <w:r w:rsidRPr="00931276">
        <w:rPr>
          <w:b/>
          <w:bCs/>
          <w:u w:val="single"/>
        </w:rPr>
        <w:t>Collateral consequences</w:t>
      </w:r>
      <w:r w:rsidRPr="00B702B5">
        <w:rPr>
          <w:b/>
          <w:bCs/>
          <w:u w:val="single"/>
        </w:rPr>
        <w:t xml:space="preserve">, likewise, </w:t>
      </w:r>
      <w:r w:rsidRPr="00931276">
        <w:rPr>
          <w:b/>
          <w:bCs/>
          <w:u w:val="single"/>
        </w:rPr>
        <w:t>have substantial racially disparate effects</w:t>
      </w:r>
      <w:r w:rsidRPr="00931276">
        <w:rPr>
          <w:sz w:val="16"/>
          <w:szCs w:val="16"/>
        </w:rPr>
        <w:t xml:space="preserve">. A study of felon disenfranchisement shows that 3.9 million adults are permanently disenfranchised, including 1.4 million African American men. </w:t>
      </w:r>
      <w:r w:rsidRPr="00B702B5">
        <w:rPr>
          <w:b/>
          <w:bCs/>
          <w:u w:val="single"/>
        </w:rPr>
        <w:t>In ten states, one-fifth or more of African American men are permanently disenfranchised.55</w:t>
      </w:r>
    </w:p>
    <w:p w14:paraId="26CDCBD6" w14:textId="3B64BC78" w:rsidR="00603BBE" w:rsidRDefault="00664B3C" w:rsidP="00603BBE">
      <w:pPr>
        <w:pStyle w:val="Heading3"/>
      </w:pPr>
      <w:r>
        <w:t xml:space="preserve">Internals: </w:t>
      </w:r>
      <w:r w:rsidR="00603BBE">
        <w:t>CC = Civil Death</w:t>
      </w:r>
    </w:p>
    <w:p w14:paraId="40119860" w14:textId="77777777" w:rsidR="00603BBE" w:rsidRDefault="00603BBE" w:rsidP="00603BBE">
      <w:pPr>
        <w:pStyle w:val="Heading4"/>
      </w:pPr>
      <w:r>
        <w:t>Collateral consequences carry the penalty of civil death---this causes the broad taking of civil rights and makes millions unequal in front of the law</w:t>
      </w:r>
    </w:p>
    <w:p w14:paraId="7E0F6739" w14:textId="77777777" w:rsidR="00603BBE" w:rsidRPr="00425C6B" w:rsidRDefault="00603BBE" w:rsidP="00603BBE"/>
    <w:p w14:paraId="2FF7F96F" w14:textId="77777777" w:rsidR="00603BBE" w:rsidRPr="005E46A4" w:rsidRDefault="00603BBE" w:rsidP="00603BBE">
      <w:pPr>
        <w:rPr>
          <w:rStyle w:val="Style13ptBold"/>
          <w:b w:val="0"/>
          <w:bCs w:val="0"/>
          <w:sz w:val="22"/>
        </w:rPr>
      </w:pPr>
      <w:r w:rsidRPr="005E46A4">
        <w:rPr>
          <w:rStyle w:val="Style13ptBold"/>
        </w:rPr>
        <w:t>Chin 12</w:t>
      </w:r>
      <w:r w:rsidRPr="005E46A4">
        <w:t xml:space="preserve"> (Gabriel "Jack" Chin is a teacher and scholar of Immigration Law, Criminal Procedure, and Race and Law at UC Davis School of Law, “</w:t>
      </w:r>
      <w:hyperlink r:id="rId19" w:history="1">
        <w:r w:rsidRPr="005E46A4">
          <w:rPr>
            <w:rStyle w:val="Hyperlink"/>
          </w:rPr>
          <w:t>THE NEW CIVIL DEATH: RETHINKING PUNISHMENT IN THE ERA OF MASS CONVICTION</w:t>
        </w:r>
      </w:hyperlink>
      <w:r w:rsidRPr="005E46A4">
        <w:t>”, May 2012, p. 1799-1803)</w:t>
      </w:r>
      <w:proofErr w:type="spellStart"/>
      <w:r w:rsidRPr="005E46A4">
        <w:t>kiihnl</w:t>
      </w:r>
      <w:proofErr w:type="spellEnd"/>
    </w:p>
    <w:p w14:paraId="5728D763" w14:textId="77777777" w:rsidR="00603BBE" w:rsidRPr="00BC78B0" w:rsidRDefault="00603BBE" w:rsidP="00603BBE">
      <w:pPr>
        <w:rPr>
          <w:sz w:val="16"/>
          <w:szCs w:val="16"/>
        </w:rPr>
      </w:pPr>
      <w:r w:rsidRPr="00BC78B0">
        <w:rPr>
          <w:sz w:val="16"/>
          <w:szCs w:val="16"/>
        </w:rPr>
        <w:t>B. The New Civil Death in the Regulatory State</w:t>
      </w:r>
    </w:p>
    <w:p w14:paraId="54DBD66B" w14:textId="77777777" w:rsidR="00603BBE" w:rsidRPr="00BC78B0" w:rsidRDefault="00603BBE" w:rsidP="00603BBE">
      <w:pPr>
        <w:rPr>
          <w:sz w:val="16"/>
          <w:szCs w:val="16"/>
        </w:rPr>
      </w:pPr>
      <w:r w:rsidRPr="0024753B">
        <w:t xml:space="preserve"> </w:t>
      </w:r>
      <w:r w:rsidRPr="00BC78B0">
        <w:rPr>
          <w:b/>
          <w:bCs/>
          <w:u w:val="single"/>
        </w:rPr>
        <w:t>Even as civil death</w:t>
      </w:r>
      <w:r w:rsidRPr="00B702B5">
        <w:rPr>
          <w:b/>
          <w:bCs/>
          <w:u w:val="single"/>
        </w:rPr>
        <w:t xml:space="preserve"> as an institution bearing that name </w:t>
      </w:r>
      <w:r w:rsidRPr="00BC78B0">
        <w:rPr>
          <w:b/>
          <w:bCs/>
          <w:u w:val="single"/>
        </w:rPr>
        <w:t>withered, it was replaced with a new version - a pervasive system of collateral consequences</w:t>
      </w:r>
      <w:r w:rsidRPr="00B702B5">
        <w:rPr>
          <w:b/>
          <w:bCs/>
          <w:u w:val="single"/>
        </w:rPr>
        <w:t xml:space="preserve"> applicable to people convicted of crimes</w:t>
      </w:r>
      <w:r w:rsidRPr="00BC78B0">
        <w:rPr>
          <w:sz w:val="16"/>
          <w:szCs w:val="16"/>
        </w:rPr>
        <w:t xml:space="preserve">. Historically, such a judgment meant that the person was dead in the eyes of the law; now, the judgment means that the person has a "shattered character."  </w:t>
      </w:r>
      <w:r w:rsidRPr="00BC78B0">
        <w:rPr>
          <w:sz w:val="16"/>
          <w:szCs w:val="16"/>
        </w:rPr>
        <w:footnoteReference w:customMarkFollows="1" w:id="14"/>
        <w:t xml:space="preserve">47 This is not merely a moral observation. </w:t>
      </w:r>
      <w:r w:rsidRPr="00B702B5">
        <w:rPr>
          <w:b/>
          <w:bCs/>
          <w:u w:val="single"/>
        </w:rPr>
        <w:t>It gives rise to a legal status making convicted persons subject to restrictions on freedom, benefits, and rights</w:t>
      </w:r>
      <w:r w:rsidRPr="00BC78B0">
        <w:rPr>
          <w:sz w:val="16"/>
          <w:szCs w:val="16"/>
        </w:rPr>
        <w:t xml:space="preserve">. Indeed, the Supreme Court has recognized that "[a] felon customarily suffers the loss of substantial rights."  </w:t>
      </w:r>
      <w:r w:rsidRPr="00BC78B0">
        <w:rPr>
          <w:sz w:val="16"/>
          <w:szCs w:val="16"/>
        </w:rPr>
        <w:footnoteReference w:customMarkFollows="1" w:id="15"/>
        <w:t xml:space="preserve">48 However, these effects are not limited to those with felony convictions, as "[a] wide range of civil disabilities may result from misdemeanor convictions."  </w:t>
      </w:r>
      <w:r w:rsidRPr="00BC78B0">
        <w:rPr>
          <w:sz w:val="16"/>
          <w:szCs w:val="16"/>
        </w:rPr>
        <w:footnoteReference w:customMarkFollows="1" w:id="16"/>
        <w:t xml:space="preserve">49 Every conviction implies a permanent change, because these disabilities will "carry through life."  </w:t>
      </w:r>
      <w:r w:rsidRPr="00BC78B0">
        <w:rPr>
          <w:sz w:val="16"/>
          <w:szCs w:val="16"/>
        </w:rPr>
        <w:footnoteReference w:customMarkFollows="1" w:id="17"/>
        <w:t xml:space="preserve">50 </w:t>
      </w:r>
      <w:r w:rsidRPr="00B702B5">
        <w:rPr>
          <w:b/>
          <w:bCs/>
          <w:u w:val="single"/>
        </w:rPr>
        <w:t xml:space="preserve">For citizens, </w:t>
      </w:r>
      <w:r w:rsidRPr="00BC78B0">
        <w:rPr>
          <w:b/>
          <w:bCs/>
          <w:u w:val="single"/>
        </w:rPr>
        <w:t>a prominent collateral</w:t>
      </w:r>
      <w:r w:rsidRPr="0024753B">
        <w:t xml:space="preserve">  </w:t>
      </w:r>
      <w:r w:rsidRPr="00BC78B0">
        <w:rPr>
          <w:sz w:val="16"/>
          <w:szCs w:val="16"/>
        </w:rPr>
        <w:t xml:space="preserve">[*1800]  </w:t>
      </w:r>
      <w:r w:rsidRPr="00BC78B0">
        <w:rPr>
          <w:b/>
          <w:bCs/>
          <w:u w:val="single"/>
        </w:rPr>
        <w:t>consequence is the loss of civil rights</w:t>
      </w:r>
      <w:r w:rsidRPr="0024753B">
        <w:t xml:space="preserve">  </w:t>
      </w:r>
      <w:r w:rsidRPr="00BC78B0">
        <w:rPr>
          <w:sz w:val="16"/>
          <w:szCs w:val="16"/>
        </w:rPr>
        <w:footnoteReference w:customMarkFollows="1" w:id="18"/>
        <w:t>51: "</w:t>
      </w:r>
      <w:r w:rsidRPr="00B702B5">
        <w:rPr>
          <w:b/>
          <w:bCs/>
          <w:u w:val="single"/>
        </w:rPr>
        <w:t>A convicted criminal may be disenfranchised, lose the right to hold federal or state office, be barred from entering certain professions, be subject to impeachment when testifying as a witness, be disqualified from serving as a juror, and may be subject to divorce</w:t>
      </w:r>
      <w:r w:rsidRPr="00BC78B0">
        <w:rPr>
          <w:sz w:val="16"/>
          <w:szCs w:val="16"/>
        </w:rPr>
        <w:t xml:space="preserve">."  </w:t>
      </w:r>
      <w:r w:rsidRPr="00BC78B0">
        <w:rPr>
          <w:sz w:val="16"/>
          <w:szCs w:val="16"/>
        </w:rPr>
        <w:footnoteReference w:customMarkFollows="1" w:id="19"/>
        <w:t xml:space="preserve">52 To this ever-increasing list may be added the loss of the right to keep and bear arms.  </w:t>
      </w:r>
      <w:r w:rsidRPr="00BC78B0">
        <w:rPr>
          <w:sz w:val="16"/>
          <w:szCs w:val="16"/>
        </w:rPr>
        <w:footnoteReference w:customMarkFollows="1" w:id="20"/>
        <w:t xml:space="preserve">53 For noncitizens, conviction may result in deportation.  </w:t>
      </w:r>
      <w:r w:rsidRPr="00BC78B0">
        <w:rPr>
          <w:sz w:val="16"/>
          <w:szCs w:val="16"/>
        </w:rPr>
        <w:footnoteReference w:customMarkFollows="1" w:id="21"/>
        <w:t>54</w:t>
      </w:r>
    </w:p>
    <w:p w14:paraId="10BD9E77" w14:textId="77777777" w:rsidR="00603BBE" w:rsidRPr="00BC78B0" w:rsidRDefault="00603BBE" w:rsidP="00603BBE">
      <w:pPr>
        <w:rPr>
          <w:sz w:val="16"/>
          <w:szCs w:val="16"/>
        </w:rPr>
      </w:pPr>
      <w:r w:rsidRPr="00BC78B0">
        <w:rPr>
          <w:b/>
          <w:bCs/>
          <w:u w:val="single"/>
        </w:rPr>
        <w:t>The effects of the loss of status are particularly profound given the many areas of life now subject to governmental regulation</w:t>
      </w:r>
      <w:r w:rsidRPr="00BC78B0">
        <w:rPr>
          <w:sz w:val="16"/>
          <w:szCs w:val="16"/>
        </w:rPr>
        <w:t xml:space="preserve">. Conviction potentially affects many aspects of family relations, including, for example, the ability to adopt, be a foster parent, or retain custody of one's own children.  </w:t>
      </w:r>
      <w:r w:rsidRPr="00BC78B0">
        <w:rPr>
          <w:sz w:val="16"/>
          <w:szCs w:val="16"/>
        </w:rPr>
        <w:footnoteReference w:customMarkFollows="1" w:id="22"/>
        <w:t xml:space="preserve">55 </w:t>
      </w:r>
      <w:r w:rsidRPr="00B702B5">
        <w:rPr>
          <w:b/>
          <w:bCs/>
          <w:u w:val="single"/>
        </w:rPr>
        <w:t>Conviction can make one ineligible for public employment, such as in the military and law enforcement.</w:t>
      </w:r>
      <w:r w:rsidRPr="0024753B">
        <w:t xml:space="preserve"> </w:t>
      </w:r>
      <w:r w:rsidRPr="00BC78B0">
        <w:rPr>
          <w:sz w:val="16"/>
          <w:szCs w:val="16"/>
        </w:rPr>
        <w:t xml:space="preserve"> </w:t>
      </w:r>
      <w:r w:rsidRPr="00BC78B0">
        <w:rPr>
          <w:sz w:val="16"/>
          <w:szCs w:val="16"/>
        </w:rPr>
        <w:footnoteReference w:customMarkFollows="1" w:id="23"/>
        <w:t xml:space="preserve">56 It can preclude private employment, including working in regulated industries, </w:t>
      </w:r>
      <w:r w:rsidRPr="00BC78B0">
        <w:rPr>
          <w:sz w:val="16"/>
          <w:szCs w:val="16"/>
        </w:rPr>
        <w:footnoteReference w:customMarkFollows="1" w:id="24"/>
        <w:t xml:space="preserve">57 with government contractors, </w:t>
      </w:r>
      <w:r w:rsidRPr="00BC78B0">
        <w:rPr>
          <w:sz w:val="16"/>
          <w:szCs w:val="16"/>
        </w:rPr>
        <w:footnoteReference w:customMarkFollows="1" w:id="25"/>
        <w:t>58 or in fields requiring a security clearance.</w:t>
      </w:r>
    </w:p>
    <w:p w14:paraId="5574FBAB" w14:textId="77777777" w:rsidR="00603BBE" w:rsidRPr="00BC78B0" w:rsidRDefault="00603BBE" w:rsidP="00603BBE">
      <w:pPr>
        <w:rPr>
          <w:sz w:val="16"/>
          <w:szCs w:val="16"/>
        </w:rPr>
      </w:pPr>
      <w:r w:rsidRPr="0024753B">
        <w:t> </w:t>
      </w:r>
      <w:r w:rsidRPr="00BC78B0">
        <w:rPr>
          <w:sz w:val="16"/>
          <w:szCs w:val="16"/>
        </w:rPr>
        <w:t>[*1801</w:t>
      </w:r>
      <w:proofErr w:type="gramStart"/>
      <w:r w:rsidRPr="00BC78B0">
        <w:rPr>
          <w:sz w:val="16"/>
          <w:szCs w:val="16"/>
        </w:rPr>
        <w:t>]  Conviction</w:t>
      </w:r>
      <w:proofErr w:type="gramEnd"/>
      <w:r w:rsidRPr="00BC78B0">
        <w:rPr>
          <w:sz w:val="16"/>
          <w:szCs w:val="16"/>
        </w:rPr>
        <w:t xml:space="preserve"> can also restrict one's ability to hold a government contract, to obtain government licenses and permits, or to collect a vested public pension.  </w:t>
      </w:r>
      <w:r w:rsidRPr="00BC78B0">
        <w:rPr>
          <w:sz w:val="16"/>
          <w:szCs w:val="16"/>
        </w:rPr>
        <w:footnoteReference w:customMarkFollows="1" w:id="26"/>
        <w:t xml:space="preserve">59 Those convicted of certain crimes may lose the right to drive a car.  </w:t>
      </w:r>
      <w:r w:rsidRPr="00BC78B0">
        <w:rPr>
          <w:sz w:val="16"/>
          <w:szCs w:val="16"/>
        </w:rPr>
        <w:footnoteReference w:customMarkFollows="1" w:id="27"/>
        <w:t xml:space="preserve">60 Persons convicted of sex offenses usually </w:t>
      </w:r>
      <w:proofErr w:type="gramStart"/>
      <w:r w:rsidRPr="00BC78B0">
        <w:rPr>
          <w:sz w:val="16"/>
          <w:szCs w:val="16"/>
        </w:rPr>
        <w:t>have to</w:t>
      </w:r>
      <w:proofErr w:type="gramEnd"/>
      <w:r w:rsidRPr="00BC78B0">
        <w:rPr>
          <w:sz w:val="16"/>
          <w:szCs w:val="16"/>
        </w:rPr>
        <w:t xml:space="preserve"> register, may be excluded from living in particular areas, and are even subject to post-incarceration civil confinement.  </w:t>
      </w:r>
      <w:r w:rsidRPr="00BC78B0">
        <w:rPr>
          <w:sz w:val="16"/>
          <w:szCs w:val="16"/>
        </w:rPr>
        <w:footnoteReference w:customMarkFollows="1" w:id="28"/>
        <w:t>61</w:t>
      </w:r>
    </w:p>
    <w:p w14:paraId="03E7B10E" w14:textId="77777777" w:rsidR="00603BBE" w:rsidRPr="00BC78B0" w:rsidRDefault="00603BBE" w:rsidP="00603BBE">
      <w:pPr>
        <w:rPr>
          <w:sz w:val="16"/>
          <w:szCs w:val="16"/>
        </w:rPr>
      </w:pPr>
      <w:r w:rsidRPr="00BC78B0">
        <w:rPr>
          <w:sz w:val="16"/>
          <w:szCs w:val="16"/>
        </w:rPr>
        <w:t xml:space="preserve">Again, </w:t>
      </w:r>
      <w:r w:rsidRPr="00B702B5">
        <w:rPr>
          <w:b/>
          <w:bCs/>
          <w:u w:val="single"/>
        </w:rPr>
        <w:t>the phenomenon addressed here is the myriad legal consequences of conviction imposed by law.</w:t>
      </w:r>
      <w:r w:rsidRPr="0024753B">
        <w:t xml:space="preserve"> </w:t>
      </w:r>
      <w:r w:rsidRPr="00BC78B0">
        <w:rPr>
          <w:sz w:val="16"/>
          <w:szCs w:val="16"/>
        </w:rPr>
        <w:t xml:space="preserve">There is a general problem of reentry of released prisoners and reintegration of anyone with a criminal record.  </w:t>
      </w:r>
      <w:r w:rsidRPr="00BC78B0">
        <w:rPr>
          <w:sz w:val="16"/>
          <w:szCs w:val="16"/>
        </w:rPr>
        <w:footnoteReference w:customMarkFollows="1" w:id="29"/>
        <w:t xml:space="preserve">62 </w:t>
      </w:r>
      <w:r w:rsidRPr="00B702B5">
        <w:rPr>
          <w:b/>
          <w:bCs/>
          <w:u w:val="single"/>
        </w:rPr>
        <w:t>Having a criminal history generates a range of social effects, most prominently including employment discrimination and other forms of market discrimination</w:t>
      </w:r>
      <w:r w:rsidRPr="00BC78B0">
        <w:rPr>
          <w:sz w:val="16"/>
          <w:szCs w:val="16"/>
        </w:rPr>
        <w:t xml:space="preserve">. Conviction may result in psychological effects and impair future employability because of forced removal from the labor market. As important and problematic as these limitations are, they are not directly at issue here. Here, the focus is on penalties imposed by positive law, by or at the command of the government itself.  </w:t>
      </w:r>
      <w:r w:rsidRPr="00BC78B0">
        <w:rPr>
          <w:sz w:val="16"/>
          <w:szCs w:val="16"/>
        </w:rPr>
        <w:footnoteReference w:customMarkFollows="1" w:id="30"/>
        <w:t>63</w:t>
      </w:r>
    </w:p>
    <w:p w14:paraId="6A802912" w14:textId="77777777" w:rsidR="00603BBE" w:rsidRPr="00BC78B0" w:rsidRDefault="00603BBE" w:rsidP="00603BBE">
      <w:pPr>
        <w:rPr>
          <w:sz w:val="16"/>
          <w:szCs w:val="16"/>
        </w:rPr>
      </w:pPr>
      <w:r w:rsidRPr="00BC78B0">
        <w:rPr>
          <w:sz w:val="16"/>
          <w:szCs w:val="16"/>
        </w:rPr>
        <w:t xml:space="preserve">There are differences between traditional civil death and its modern form. Today, a convicted person does not lose her right to sue, one of the features of historical common law and statutory </w:t>
      </w:r>
      <w:proofErr w:type="gramStart"/>
      <w:r w:rsidRPr="00BC78B0">
        <w:rPr>
          <w:sz w:val="16"/>
          <w:szCs w:val="16"/>
        </w:rPr>
        <w:t>civil  [</w:t>
      </w:r>
      <w:proofErr w:type="gramEnd"/>
      <w:r w:rsidRPr="00BC78B0">
        <w:rPr>
          <w:sz w:val="16"/>
          <w:szCs w:val="16"/>
        </w:rPr>
        <w:t xml:space="preserve">*1802]  death.  </w:t>
      </w:r>
      <w:r w:rsidRPr="00BC78B0">
        <w:rPr>
          <w:sz w:val="16"/>
          <w:szCs w:val="16"/>
        </w:rPr>
        <w:footnoteReference w:customMarkFollows="1" w:id="31"/>
        <w:t xml:space="preserve">64 The new civil death is also not as harsh as expatriation, in that a modern citizen subject to civil death nevertheless remains a citizen and therefore may continue to reside in the United States.  </w:t>
      </w:r>
      <w:r w:rsidRPr="00BC78B0">
        <w:rPr>
          <w:sz w:val="16"/>
          <w:szCs w:val="16"/>
        </w:rPr>
        <w:footnoteReference w:customMarkFollows="1" w:id="32"/>
        <w:t>65</w:t>
      </w:r>
    </w:p>
    <w:p w14:paraId="51B48037" w14:textId="77777777" w:rsidR="00603BBE" w:rsidRPr="00BC78B0" w:rsidRDefault="00603BBE" w:rsidP="00603BBE">
      <w:pPr>
        <w:rPr>
          <w:sz w:val="16"/>
          <w:szCs w:val="16"/>
        </w:rPr>
      </w:pPr>
      <w:r w:rsidRPr="00BC78B0">
        <w:rPr>
          <w:sz w:val="16"/>
          <w:szCs w:val="16"/>
        </w:rPr>
        <w:t xml:space="preserve">On the other hand, </w:t>
      </w:r>
      <w:r w:rsidRPr="00BC78B0">
        <w:rPr>
          <w:b/>
          <w:bCs/>
          <w:u w:val="single"/>
        </w:rPr>
        <w:t>modern civil death is harsher and more severe</w:t>
      </w:r>
      <w:r w:rsidRPr="00B702B5">
        <w:rPr>
          <w:b/>
          <w:bCs/>
          <w:u w:val="single"/>
        </w:rPr>
        <w:t xml:space="preserve"> in several important ways. First, extinction of equal legal status affects a wider range of interests than it did in past decades</w:t>
      </w:r>
      <w:r w:rsidRPr="00BC78B0">
        <w:rPr>
          <w:sz w:val="16"/>
          <w:szCs w:val="16"/>
        </w:rPr>
        <w:t xml:space="preserve">. In England and even in early to mid-twentieth century America, there were fewer public benefits to lose.  </w:t>
      </w:r>
      <w:r w:rsidRPr="00BC78B0">
        <w:rPr>
          <w:sz w:val="16"/>
          <w:szCs w:val="16"/>
        </w:rPr>
        <w:footnoteReference w:customMarkFollows="1" w:id="33"/>
        <w:t xml:space="preserve">66 </w:t>
      </w:r>
      <w:r w:rsidRPr="00B702B5">
        <w:rPr>
          <w:b/>
          <w:bCs/>
          <w:u w:val="single"/>
        </w:rPr>
        <w:t>In addition, there were then many fewer businesses and professions for which one did not need a license</w:t>
      </w:r>
      <w:r w:rsidRPr="00BC78B0">
        <w:rPr>
          <w:sz w:val="16"/>
          <w:szCs w:val="16"/>
        </w:rPr>
        <w:t xml:space="preserve">, a permit, or the ability to obtain a government contract.  </w:t>
      </w:r>
      <w:r w:rsidRPr="00BC78B0">
        <w:rPr>
          <w:sz w:val="16"/>
          <w:szCs w:val="16"/>
        </w:rPr>
        <w:footnoteReference w:customMarkFollows="1" w:id="34"/>
        <w:t xml:space="preserve">67 Now, for a person who must work for a living, </w:t>
      </w:r>
      <w:r w:rsidRPr="00BC78B0">
        <w:rPr>
          <w:b/>
          <w:bCs/>
          <w:u w:val="single"/>
        </w:rPr>
        <w:t>loss of the right to do business with the government</w:t>
      </w:r>
      <w:r w:rsidRPr="0024753B">
        <w:t xml:space="preserve"> </w:t>
      </w:r>
      <w:r w:rsidRPr="00BC78B0">
        <w:rPr>
          <w:sz w:val="16"/>
          <w:szCs w:val="16"/>
        </w:rPr>
        <w:t xml:space="preserve">- or work in any regulated industry - </w:t>
      </w:r>
      <w:r w:rsidRPr="00BC78B0">
        <w:rPr>
          <w:b/>
          <w:bCs/>
          <w:u w:val="single"/>
        </w:rPr>
        <w:t>could result in exclusion as complete as civil death</w:t>
      </w:r>
      <w:r w:rsidRPr="0024753B">
        <w:t xml:space="preserve"> </w:t>
      </w:r>
      <w:r w:rsidRPr="00BC78B0">
        <w:rPr>
          <w:sz w:val="16"/>
          <w:szCs w:val="16"/>
        </w:rPr>
        <w:t>under the nineteenth-century statutes.</w:t>
      </w:r>
    </w:p>
    <w:p w14:paraId="14A78E4E" w14:textId="77777777" w:rsidR="00603BBE" w:rsidRPr="00BC78B0" w:rsidRDefault="00603BBE" w:rsidP="00603BBE">
      <w:pPr>
        <w:rPr>
          <w:b/>
          <w:bCs/>
          <w:u w:val="single"/>
        </w:rPr>
      </w:pPr>
      <w:r w:rsidRPr="00BC78B0">
        <w:rPr>
          <w:sz w:val="16"/>
          <w:szCs w:val="16"/>
        </w:rPr>
        <w:t xml:space="preserve">The disabilities are also stickier. While the new civil death, like the old, can be mitigated through pardon and other forms of legal </w:t>
      </w:r>
      <w:proofErr w:type="gramStart"/>
      <w:r w:rsidRPr="00BC78B0">
        <w:rPr>
          <w:sz w:val="16"/>
          <w:szCs w:val="16"/>
        </w:rPr>
        <w:t xml:space="preserve">relief,  </w:t>
      </w:r>
      <w:r w:rsidRPr="00BC78B0">
        <w:rPr>
          <w:sz w:val="16"/>
          <w:szCs w:val="16"/>
        </w:rPr>
        <w:footnoteReference w:customMarkFollows="1" w:id="35"/>
        <w:t>68</w:t>
      </w:r>
      <w:proofErr w:type="gramEnd"/>
      <w:r w:rsidRPr="00BC78B0">
        <w:rPr>
          <w:sz w:val="16"/>
          <w:szCs w:val="16"/>
        </w:rPr>
        <w:t xml:space="preserve"> pardon was a much more realistic hope for convicted persons in the past than it is now.  </w:t>
      </w:r>
      <w:r w:rsidRPr="00BC78B0">
        <w:rPr>
          <w:sz w:val="16"/>
          <w:szCs w:val="16"/>
        </w:rPr>
        <w:footnoteReference w:customMarkFollows="1" w:id="36"/>
        <w:t xml:space="preserve">69 Moreover, while historically the disabilities of </w:t>
      </w:r>
      <w:proofErr w:type="gramStart"/>
      <w:r w:rsidRPr="00BC78B0">
        <w:rPr>
          <w:sz w:val="16"/>
          <w:szCs w:val="16"/>
        </w:rPr>
        <w:t>civil  [</w:t>
      </w:r>
      <w:proofErr w:type="gramEnd"/>
      <w:r w:rsidRPr="00BC78B0">
        <w:rPr>
          <w:sz w:val="16"/>
          <w:szCs w:val="16"/>
        </w:rPr>
        <w:t xml:space="preserve">*1803]  death generally applied only in the state of conviction,  </w:t>
      </w:r>
      <w:r w:rsidRPr="00BC78B0">
        <w:rPr>
          <w:sz w:val="16"/>
          <w:szCs w:val="16"/>
        </w:rPr>
        <w:footnoteReference w:customMarkFollows="1" w:id="37"/>
        <w:t xml:space="preserve">70 now </w:t>
      </w:r>
      <w:r w:rsidRPr="00B702B5">
        <w:rPr>
          <w:b/>
          <w:bCs/>
          <w:u w:val="single"/>
        </w:rPr>
        <w:t>a conviction in one jurisdiction generally has effects across the entire country</w:t>
      </w:r>
      <w:r w:rsidRPr="00BC78B0">
        <w:rPr>
          <w:sz w:val="16"/>
          <w:szCs w:val="16"/>
        </w:rPr>
        <w:t xml:space="preserve">.  </w:t>
      </w:r>
      <w:r w:rsidRPr="00BC78B0">
        <w:rPr>
          <w:sz w:val="16"/>
          <w:szCs w:val="16"/>
        </w:rPr>
        <w:footnoteReference w:customMarkFollows="1" w:id="38"/>
        <w:t xml:space="preserve">71 </w:t>
      </w:r>
      <w:r w:rsidRPr="00B702B5">
        <w:rPr>
          <w:b/>
          <w:bCs/>
          <w:u w:val="single"/>
        </w:rPr>
        <w:t>Often one jurisdiction will impose a disability without regard to whether the jurisdiction of conviction does so</w:t>
      </w:r>
      <w:r w:rsidRPr="00BC78B0">
        <w:rPr>
          <w:sz w:val="16"/>
          <w:szCs w:val="16"/>
        </w:rPr>
        <w:t xml:space="preserve">.  </w:t>
      </w:r>
      <w:r w:rsidRPr="00BC78B0">
        <w:rPr>
          <w:sz w:val="16"/>
          <w:szCs w:val="16"/>
        </w:rPr>
        <w:footnoteReference w:customMarkFollows="1" w:id="39"/>
        <w:t xml:space="preserve">72 </w:t>
      </w:r>
      <w:r w:rsidRPr="00B702B5">
        <w:rPr>
          <w:b/>
          <w:bCs/>
          <w:u w:val="single"/>
        </w:rPr>
        <w:t xml:space="preserve">In </w:t>
      </w:r>
      <w:proofErr w:type="gramStart"/>
      <w:r w:rsidRPr="00B702B5">
        <w:rPr>
          <w:b/>
          <w:bCs/>
          <w:u w:val="single"/>
        </w:rPr>
        <w:t>both of these</w:t>
      </w:r>
      <w:proofErr w:type="gramEnd"/>
      <w:r w:rsidRPr="00B702B5">
        <w:rPr>
          <w:b/>
          <w:bCs/>
          <w:u w:val="single"/>
        </w:rPr>
        <w:t xml:space="preserve"> ways, </w:t>
      </w:r>
      <w:r w:rsidRPr="00BC78B0">
        <w:rPr>
          <w:b/>
          <w:bCs/>
          <w:u w:val="single"/>
        </w:rPr>
        <w:t>the new civil death is more difficult to escape than the old.</w:t>
      </w:r>
    </w:p>
    <w:p w14:paraId="7B0B1562" w14:textId="6F223F38" w:rsidR="00603BBE" w:rsidRDefault="00AF0B0E" w:rsidP="00603BBE">
      <w:pPr>
        <w:pStyle w:val="Heading3"/>
      </w:pPr>
      <w:r>
        <w:t xml:space="preserve">Internals: </w:t>
      </w:r>
      <w:r w:rsidR="00603BBE">
        <w:t xml:space="preserve">CC </w:t>
      </w:r>
      <w:proofErr w:type="spellStart"/>
      <w:r w:rsidR="00603BBE">
        <w:t>Exac</w:t>
      </w:r>
      <w:proofErr w:type="spellEnd"/>
      <w:r w:rsidR="00603BBE">
        <w:t xml:space="preserve"> </w:t>
      </w:r>
      <w:proofErr w:type="spellStart"/>
      <w:r w:rsidR="00603BBE">
        <w:t>ineq</w:t>
      </w:r>
      <w:proofErr w:type="spellEnd"/>
    </w:p>
    <w:p w14:paraId="734042A4" w14:textId="77777777" w:rsidR="00603BBE" w:rsidRPr="0057522E" w:rsidRDefault="00603BBE" w:rsidP="00603BBE"/>
    <w:p w14:paraId="0349791B" w14:textId="77777777" w:rsidR="00603BBE" w:rsidRDefault="00603BBE" w:rsidP="00603BBE">
      <w:pPr>
        <w:pStyle w:val="Heading4"/>
      </w:pPr>
      <w:bookmarkStart w:id="2" w:name="_Hlk44538018"/>
      <w:r>
        <w:t xml:space="preserve">And, collateral consequences </w:t>
      </w:r>
      <w:r w:rsidRPr="0057522E">
        <w:rPr>
          <w:i/>
          <w:iCs w:val="0"/>
          <w:u w:val="single"/>
        </w:rPr>
        <w:t>EXACERBATE</w:t>
      </w:r>
      <w:r>
        <w:t xml:space="preserve"> other existing racial disparities --- centering criminal justice reform around racial justice is </w:t>
      </w:r>
      <w:r w:rsidRPr="0057522E">
        <w:rPr>
          <w:i/>
          <w:iCs w:val="0"/>
          <w:u w:val="single"/>
        </w:rPr>
        <w:t>ESSENTIAL</w:t>
      </w:r>
    </w:p>
    <w:p w14:paraId="34B7A719" w14:textId="594B05EB" w:rsidR="00603BBE" w:rsidRDefault="00AF0B0E" w:rsidP="00603BBE">
      <w:r>
        <w:t>1AC card….</w:t>
      </w:r>
    </w:p>
    <w:p w14:paraId="04923CF6" w14:textId="77777777" w:rsidR="00603BBE" w:rsidRDefault="00603BBE" w:rsidP="00603BBE">
      <w:pPr>
        <w:rPr>
          <w:rStyle w:val="Style13ptBold"/>
        </w:rPr>
      </w:pPr>
      <w:proofErr w:type="spellStart"/>
      <w:r>
        <w:rPr>
          <w:rStyle w:val="Style13ptBold"/>
        </w:rPr>
        <w:t>Ghandnoosh</w:t>
      </w:r>
      <w:proofErr w:type="spellEnd"/>
      <w:r>
        <w:rPr>
          <w:rStyle w:val="Style13ptBold"/>
        </w:rPr>
        <w:t xml:space="preserve"> and Mauer ‘15</w:t>
      </w:r>
    </w:p>
    <w:p w14:paraId="7939496F" w14:textId="77777777" w:rsidR="00603BBE" w:rsidRPr="00D45A48" w:rsidRDefault="00603BBE" w:rsidP="00603BBE">
      <w:r w:rsidRPr="00D45A48">
        <w:t>(</w:t>
      </w:r>
      <w:proofErr w:type="spellStart"/>
      <w:r w:rsidRPr="00D45A48">
        <w:t>Nazgol</w:t>
      </w:r>
      <w:proofErr w:type="spellEnd"/>
      <w:r w:rsidRPr="00D45A48">
        <w:t xml:space="preserve"> </w:t>
      </w:r>
      <w:proofErr w:type="spellStart"/>
      <w:r w:rsidRPr="00D45A48">
        <w:t>Ghandnoosh</w:t>
      </w:r>
      <w:proofErr w:type="spellEnd"/>
      <w:r w:rsidRPr="00D45A48">
        <w:t xml:space="preserve">, Ph.D., conducts and synthesizes research on criminal justice policies. She has written about racial disparities in the justice system, public opinion about punishment, and the scope of reform efforts, Dr. </w:t>
      </w:r>
      <w:proofErr w:type="spellStart"/>
      <w:r w:rsidRPr="00D45A48">
        <w:t>Ghandnoosh</w:t>
      </w:r>
      <w:proofErr w:type="spellEnd"/>
      <w:r w:rsidRPr="00D45A48">
        <w:t xml:space="preserve"> earned an undergraduate degree from the University of Pennsylvania and a doctorate in sociology from the University of California, Los Angeles, Marc Mauer is the former executive director of The Sentencing Project and one of the country’s leading experts on sentencing policy, race and the criminal justice system. He has directed programs on criminal justice policy reform for 40 years, and is the author of some of the most widely-cited reports and publications in the field, </w:t>
      </w:r>
      <w:proofErr w:type="spellStart"/>
      <w:r w:rsidRPr="00D45A48">
        <w:t>pg</w:t>
      </w:r>
      <w:proofErr w:type="spellEnd"/>
      <w:r w:rsidRPr="00D45A48">
        <w:t xml:space="preserve"> online @ </w:t>
      </w:r>
      <w:hyperlink r:id="rId20" w:history="1">
        <w:r w:rsidRPr="00D45A48">
          <w:rPr>
            <w:rStyle w:val="Hyperlink"/>
          </w:rPr>
          <w:t>http://www.safetyandjusticechallenge.org/wp-content/uploads/2015/05/incorporating-racial-equity-into-criminal-justice-reform.pdf</w:t>
        </w:r>
      </w:hyperlink>
      <w:r w:rsidRPr="00D45A48">
        <w:t xml:space="preserve"> //um-</w:t>
      </w:r>
      <w:proofErr w:type="spellStart"/>
      <w:r w:rsidRPr="00D45A48">
        <w:t>ef</w:t>
      </w:r>
      <w:proofErr w:type="spellEnd"/>
      <w:r w:rsidRPr="00D45A48">
        <w:t>)</w:t>
      </w:r>
    </w:p>
    <w:p w14:paraId="25C31DA3" w14:textId="77777777" w:rsidR="00603BBE" w:rsidRPr="0057522E" w:rsidRDefault="00603BBE" w:rsidP="00603BBE">
      <w:pPr>
        <w:rPr>
          <w:sz w:val="12"/>
        </w:rPr>
      </w:pPr>
      <w:r w:rsidRPr="0057522E">
        <w:rPr>
          <w:sz w:val="12"/>
        </w:rPr>
        <w:t xml:space="preserve">While there have been notable efforts to address these disparities, </w:t>
      </w:r>
      <w:r w:rsidRPr="0057522E">
        <w:rPr>
          <w:rStyle w:val="StyleUnderline"/>
        </w:rPr>
        <w:t>many criminal justice reform</w:t>
      </w:r>
      <w:r>
        <w:rPr>
          <w:rStyle w:val="StyleUnderline"/>
        </w:rPr>
        <w:t xml:space="preserve"> </w:t>
      </w:r>
      <w:r w:rsidRPr="0057522E">
        <w:rPr>
          <w:rStyle w:val="StyleUnderline"/>
        </w:rPr>
        <w:t>initiatives do not prioritize such a goal as central to their strategy</w:t>
      </w:r>
      <w:r w:rsidRPr="0057522E">
        <w:rPr>
          <w:sz w:val="12"/>
        </w:rPr>
        <w:t xml:space="preserve">. That is, </w:t>
      </w:r>
      <w:r w:rsidRPr="0057522E">
        <w:rPr>
          <w:rStyle w:val="StyleUnderline"/>
        </w:rPr>
        <w:t>strategies designed to</w:t>
      </w:r>
      <w:r>
        <w:rPr>
          <w:rStyle w:val="StyleUnderline"/>
        </w:rPr>
        <w:t xml:space="preserve"> </w:t>
      </w:r>
      <w:r w:rsidRPr="0057522E">
        <w:rPr>
          <w:rStyle w:val="StyleUnderline"/>
        </w:rPr>
        <w:t>divert offenders from incarceration or to reduce corrections costs frequently do not proactively</w:t>
      </w:r>
      <w:r>
        <w:rPr>
          <w:rStyle w:val="StyleUnderline"/>
        </w:rPr>
        <w:t xml:space="preserve"> </w:t>
      </w:r>
      <w:r w:rsidRPr="0057522E">
        <w:rPr>
          <w:rStyle w:val="StyleUnderline"/>
        </w:rPr>
        <w:t xml:space="preserve">examine the likely impact of such reforms </w:t>
      </w:r>
      <w:r w:rsidRPr="0057522E">
        <w:rPr>
          <w:rStyle w:val="Emphasis"/>
        </w:rPr>
        <w:t>on existing racial disparities.</w:t>
      </w:r>
      <w:r w:rsidRPr="0057522E">
        <w:rPr>
          <w:sz w:val="12"/>
        </w:rPr>
        <w:t xml:space="preserve"> In part this is due to a belief that reform policies and practices will inevitably benefit offenders across the board. In addition, </w:t>
      </w:r>
      <w:r w:rsidRPr="0057522E">
        <w:rPr>
          <w:rStyle w:val="StyleUnderline"/>
        </w:rPr>
        <w:t>there is often a perception that such objectives need to be subservient to public safety goals</w:t>
      </w:r>
      <w:r w:rsidRPr="0057522E">
        <w:rPr>
          <w:sz w:val="12"/>
        </w:rPr>
        <w:t xml:space="preserve">. That is, some would argue that reform initiatives – whether in policing, sentencing, or incarceration – may or may not reduce racial disparity, but </w:t>
      </w:r>
      <w:r w:rsidRPr="0057522E">
        <w:rPr>
          <w:rStyle w:val="StyleUnderline"/>
        </w:rPr>
        <w:t>that racial fairness needs to be a secondary concern</w:t>
      </w:r>
      <w:r w:rsidRPr="0057522E">
        <w:rPr>
          <w:sz w:val="12"/>
        </w:rPr>
        <w:t xml:space="preserve">. In fact, there are fundamental reasons why </w:t>
      </w:r>
      <w:r w:rsidRPr="0057522E">
        <w:rPr>
          <w:rStyle w:val="StyleUnderline"/>
        </w:rPr>
        <w:t>incorporating such a goal into a reform strategy is not</w:t>
      </w:r>
      <w:r>
        <w:rPr>
          <w:rStyle w:val="StyleUnderline"/>
        </w:rPr>
        <w:t xml:space="preserve"> </w:t>
      </w:r>
      <w:r w:rsidRPr="0057522E">
        <w:rPr>
          <w:rStyle w:val="StyleUnderline"/>
        </w:rPr>
        <w:t>only beneficial to the overall goal of racial justice but to public safety concerns as well</w:t>
      </w:r>
      <w:r w:rsidRPr="0057522E">
        <w:rPr>
          <w:sz w:val="12"/>
        </w:rPr>
        <w:t xml:space="preserve">. These include the following: Reducing racial disparity is an element of a public safety strategy </w:t>
      </w:r>
      <w:r w:rsidRPr="0057522E">
        <w:rPr>
          <w:rStyle w:val="StyleUnderline"/>
        </w:rPr>
        <w:t>Reform strategies that do not directly tackle racial disparity ignore the multifaceted ways in which</w:t>
      </w:r>
      <w:r>
        <w:rPr>
          <w:rStyle w:val="StyleUnderline"/>
        </w:rPr>
        <w:t xml:space="preserve"> </w:t>
      </w:r>
      <w:r w:rsidRPr="0057522E">
        <w:rPr>
          <w:rStyle w:val="StyleUnderline"/>
        </w:rPr>
        <w:t>public safety is produced</w:t>
      </w:r>
      <w:r w:rsidRPr="0057522E">
        <w:rPr>
          <w:sz w:val="12"/>
        </w:rPr>
        <w:t xml:space="preserve">. Key among these is the perception of the criminal justice system by the community. In cases such as the large-scale employment of “stop and frisk” tactics in New York City, for example, many youth of color have come to view that the police are not concerned with the safety of their communities, but rather operate as part of a hostile institution that is impeding their life prospects. This in turn affects the receptivity of these young people, as well as others in their communities, to cooperate with law enforcement in crime-reduction activities. This may include reluctance to provide information about neighborhood crime problems, to serve as witnesses in court, or to engage with law enforcement in problem-solving initiatives. </w:t>
      </w:r>
      <w:r w:rsidRPr="0057522E">
        <w:rPr>
          <w:rStyle w:val="Emphasis"/>
        </w:rPr>
        <w:t>Ongoing racial disparities harm communities of color</w:t>
      </w:r>
      <w:r>
        <w:rPr>
          <w:rStyle w:val="Emphasis"/>
        </w:rPr>
        <w:t xml:space="preserve"> </w:t>
      </w:r>
      <w:r w:rsidRPr="0057522E">
        <w:rPr>
          <w:rStyle w:val="StyleUnderline"/>
        </w:rPr>
        <w:t>Persistent racial disparities in the justice system have been shown to harm both individuals in the</w:t>
      </w:r>
      <w:r>
        <w:rPr>
          <w:rStyle w:val="StyleUnderline"/>
        </w:rPr>
        <w:t xml:space="preserve"> </w:t>
      </w:r>
      <w:r w:rsidRPr="0057522E">
        <w:rPr>
          <w:rStyle w:val="StyleUnderline"/>
        </w:rPr>
        <w:t>system as well as their families and communities.</w:t>
      </w:r>
      <w:r w:rsidRPr="0057522E">
        <w:rPr>
          <w:sz w:val="12"/>
        </w:rPr>
        <w:t xml:space="preserve"> This effect is most pronounced in the dramatically high rate of incarceration of African American </w:t>
      </w:r>
      <w:proofErr w:type="gramStart"/>
      <w:r w:rsidRPr="0057522E">
        <w:rPr>
          <w:sz w:val="12"/>
        </w:rPr>
        <w:t>males in particular</w:t>
      </w:r>
      <w:proofErr w:type="gramEnd"/>
      <w:r w:rsidRPr="0057522E">
        <w:rPr>
          <w:sz w:val="12"/>
        </w:rPr>
        <w:t xml:space="preserve">. While in certain circumstances incarceration may serve public safety goals through incapacitating persons who present a threat to the community, both the excessive number and length of prison terms serve to exacerbate the negative consequences of confinement. </w:t>
      </w:r>
      <w:r w:rsidRPr="0057522E">
        <w:rPr>
          <w:rStyle w:val="StyleUnderline"/>
        </w:rPr>
        <w:t>These include the effect of lengthy prison terms on</w:t>
      </w:r>
      <w:r>
        <w:rPr>
          <w:rStyle w:val="StyleUnderline"/>
        </w:rPr>
        <w:t xml:space="preserve"> </w:t>
      </w:r>
      <w:r w:rsidRPr="0057522E">
        <w:rPr>
          <w:rStyle w:val="StyleUnderline"/>
        </w:rPr>
        <w:t>reentering the labor market, maintaining ties with family and community, and gender disparities</w:t>
      </w:r>
      <w:r>
        <w:rPr>
          <w:rStyle w:val="StyleUnderline"/>
        </w:rPr>
        <w:t xml:space="preserve"> </w:t>
      </w:r>
      <w:r w:rsidRPr="0057522E">
        <w:rPr>
          <w:rStyle w:val="StyleUnderline"/>
        </w:rPr>
        <w:t>which affect family formation and parenting options</w:t>
      </w:r>
      <w:r w:rsidRPr="0057522E">
        <w:rPr>
          <w:sz w:val="12"/>
        </w:rPr>
        <w:t xml:space="preserve">. In addition, </w:t>
      </w:r>
      <w:r w:rsidRPr="0057522E">
        <w:rPr>
          <w:rStyle w:val="Emphasis"/>
        </w:rPr>
        <w:t>the various collateral</w:t>
      </w:r>
      <w:r>
        <w:rPr>
          <w:rStyle w:val="Emphasis"/>
        </w:rPr>
        <w:t xml:space="preserve"> </w:t>
      </w:r>
      <w:r w:rsidRPr="0057522E">
        <w:rPr>
          <w:rStyle w:val="Emphasis"/>
        </w:rPr>
        <w:t xml:space="preserve">consequences of felony drug convictions </w:t>
      </w:r>
      <w:proofErr w:type="gramStart"/>
      <w:r w:rsidRPr="0057522E">
        <w:rPr>
          <w:rStyle w:val="Emphasis"/>
        </w:rPr>
        <w:t>in particular create</w:t>
      </w:r>
      <w:proofErr w:type="gramEnd"/>
      <w:r w:rsidRPr="0057522E">
        <w:rPr>
          <w:rStyle w:val="Emphasis"/>
        </w:rPr>
        <w:t xml:space="preserve"> additional barriers to securing public</w:t>
      </w:r>
      <w:r>
        <w:rPr>
          <w:rStyle w:val="Emphasis"/>
        </w:rPr>
        <w:t xml:space="preserve"> </w:t>
      </w:r>
      <w:r w:rsidRPr="0057522E">
        <w:rPr>
          <w:rStyle w:val="Emphasis"/>
        </w:rPr>
        <w:t>housing, welfare and food stamps, and other public benefits</w:t>
      </w:r>
      <w:r w:rsidRPr="0057522E">
        <w:rPr>
          <w:sz w:val="12"/>
        </w:rPr>
        <w:t xml:space="preserve"> – </w:t>
      </w:r>
      <w:r w:rsidRPr="0057522E">
        <w:rPr>
          <w:rStyle w:val="Emphasis"/>
        </w:rPr>
        <w:t>even for those not sentenced to</w:t>
      </w:r>
      <w:r>
        <w:rPr>
          <w:rStyle w:val="Emphasis"/>
        </w:rPr>
        <w:t xml:space="preserve"> </w:t>
      </w:r>
      <w:r w:rsidRPr="0057522E">
        <w:rPr>
          <w:rStyle w:val="Emphasis"/>
        </w:rPr>
        <w:t>prison.</w:t>
      </w:r>
      <w:r w:rsidRPr="0057522E">
        <w:rPr>
          <w:sz w:val="12"/>
        </w:rPr>
        <w:t xml:space="preserve"> While such issues confront offenders of all racial/ethnic groups, </w:t>
      </w:r>
      <w:r w:rsidRPr="0057522E">
        <w:rPr>
          <w:rStyle w:val="Emphasis"/>
        </w:rPr>
        <w:t>the disparate impact on</w:t>
      </w:r>
      <w:r>
        <w:rPr>
          <w:rStyle w:val="Emphasis"/>
        </w:rPr>
        <w:t xml:space="preserve"> </w:t>
      </w:r>
      <w:r w:rsidRPr="0057522E">
        <w:rPr>
          <w:rStyle w:val="Emphasis"/>
        </w:rPr>
        <w:t>communities of color exacerbates existing structural inequities</w:t>
      </w:r>
      <w:r w:rsidRPr="0057522E">
        <w:rPr>
          <w:sz w:val="12"/>
        </w:rPr>
        <w:t xml:space="preserve">. “Race neutral” reform strategies may inadvertently increase racial disparity </w:t>
      </w:r>
      <w:r w:rsidRPr="0057522E">
        <w:rPr>
          <w:rStyle w:val="StyleUnderline"/>
        </w:rPr>
        <w:t>Reform strategies that fail to incorporate an explicit goal of reducing racial disparity not only may</w:t>
      </w:r>
      <w:r>
        <w:rPr>
          <w:rStyle w:val="StyleUnderline"/>
        </w:rPr>
        <w:t xml:space="preserve"> </w:t>
      </w:r>
      <w:r w:rsidRPr="0057522E">
        <w:rPr>
          <w:rStyle w:val="StyleUnderline"/>
        </w:rPr>
        <w:t>fail to achieve such goals, but risk exacerbating racial disparity</w:t>
      </w:r>
      <w:r w:rsidRPr="0057522E">
        <w:rPr>
          <w:sz w:val="12"/>
        </w:rPr>
        <w:t xml:space="preserve"> even if other goals of the initiative may be achieved. As one example, consider the range of alternative sentencing programs being employed in jurisdictions around the nation. Many such programs establish criteria for admission that exclude any defendant with a prior conviction. Such policies almost inevitably will produce disproportionate racial effects, with African Americans being less likely to qualify. This is </w:t>
      </w:r>
      <w:proofErr w:type="gramStart"/>
      <w:r w:rsidRPr="0057522E">
        <w:rPr>
          <w:sz w:val="12"/>
        </w:rPr>
        <w:t>due to the fact that</w:t>
      </w:r>
      <w:proofErr w:type="gramEnd"/>
      <w:r w:rsidRPr="0057522E">
        <w:rPr>
          <w:sz w:val="12"/>
        </w:rPr>
        <w:t xml:space="preserve"> African Americans are more likely to have a prior record than white Americans – resulting from both greater involvement in crime and greater scrutiny by law enforcement. The effect is clearly one in which white defendants will disproportionately benefit from access to such programming. </w:t>
      </w:r>
    </w:p>
    <w:bookmarkEnd w:id="2"/>
    <w:p w14:paraId="4954C8DC" w14:textId="77777777" w:rsidR="00603BBE" w:rsidRDefault="00603BBE" w:rsidP="00603BBE"/>
    <w:p w14:paraId="54AA872C" w14:textId="77777777" w:rsidR="00603BBE" w:rsidRDefault="00603BBE" w:rsidP="00603BBE"/>
    <w:p w14:paraId="2D10885D" w14:textId="77777777" w:rsidR="00603BBE" w:rsidRDefault="00603BBE" w:rsidP="00603BBE"/>
    <w:p w14:paraId="36FE1C28" w14:textId="524C2AEA" w:rsidR="00C003D2" w:rsidRDefault="00AF0B0E" w:rsidP="00C003D2">
      <w:pPr>
        <w:pStyle w:val="Heading3"/>
      </w:pPr>
      <w:r>
        <w:t>Internals: CC = Exclusion/Stigma</w:t>
      </w:r>
    </w:p>
    <w:p w14:paraId="4D8AFEE7" w14:textId="77777777" w:rsidR="00C003D2" w:rsidRPr="008F7C1E" w:rsidRDefault="00C003D2" w:rsidP="00C003D2"/>
    <w:p w14:paraId="6861C2A0" w14:textId="77777777" w:rsidR="00C003D2" w:rsidRDefault="00C003D2" w:rsidP="00C003D2">
      <w:pPr>
        <w:pStyle w:val="Heading4"/>
      </w:pPr>
      <w:r>
        <w:t xml:space="preserve">Collateral consequence heightens </w:t>
      </w:r>
      <w:r>
        <w:rPr>
          <w:u w:val="single"/>
        </w:rPr>
        <w:t>recidivism</w:t>
      </w:r>
      <w:r>
        <w:t xml:space="preserve"> – </w:t>
      </w:r>
      <w:r w:rsidRPr="0068637E">
        <w:rPr>
          <w:u w:val="single"/>
        </w:rPr>
        <w:t>stigmatization</w:t>
      </w:r>
      <w:r>
        <w:t xml:space="preserve">, </w:t>
      </w:r>
      <w:r w:rsidRPr="0068637E">
        <w:rPr>
          <w:u w:val="single"/>
        </w:rPr>
        <w:t>restrictions on voting</w:t>
      </w:r>
      <w:r>
        <w:t xml:space="preserve">, and </w:t>
      </w:r>
      <w:r w:rsidRPr="0068637E">
        <w:rPr>
          <w:u w:val="single"/>
        </w:rPr>
        <w:t>feelings of exclusion</w:t>
      </w:r>
      <w:r>
        <w:t xml:space="preserve"> deck restorative justice </w:t>
      </w:r>
    </w:p>
    <w:p w14:paraId="097464BF" w14:textId="77777777" w:rsidR="00C003D2" w:rsidRPr="0068637E" w:rsidRDefault="00C003D2" w:rsidP="00C003D2">
      <w:proofErr w:type="spellStart"/>
      <w:r w:rsidRPr="0068637E">
        <w:rPr>
          <w:rStyle w:val="Style13ptBold"/>
        </w:rPr>
        <w:t>Sohoni</w:t>
      </w:r>
      <w:proofErr w:type="spellEnd"/>
      <w:r w:rsidRPr="0068637E">
        <w:rPr>
          <w:rStyle w:val="Style13ptBold"/>
        </w:rPr>
        <w:t xml:space="preserve"> ’13</w:t>
      </w:r>
      <w:r>
        <w:t xml:space="preserve"> (Tracy; Director and Doctor of Philosophy; Received feedback from Professor Raymond </w:t>
      </w:r>
      <w:proofErr w:type="spellStart"/>
      <w:r>
        <w:t>Parnestor</w:t>
      </w:r>
      <w:proofErr w:type="spellEnd"/>
      <w:r>
        <w:t xml:space="preserve">, Department of Criminology and Criminal Justice; 2013; “THE EFFECT OF COLLATERAL CONSEQUENCE LAWS ON STATE RATES OF RETURNS TO PRISON”; </w:t>
      </w:r>
      <w:hyperlink r:id="rId21" w:history="1">
        <w:r w:rsidRPr="00D2075E">
          <w:rPr>
            <w:rStyle w:val="Hyperlink"/>
          </w:rPr>
          <w:t>https://www.ncjrs.gov/pdffiles1/nij/grants/247569.pdf</w:t>
        </w:r>
      </w:hyperlink>
      <w:r>
        <w:t xml:space="preserve">; US Department of Justice; accessed: 06/21/2020; </w:t>
      </w:r>
      <w:proofErr w:type="spellStart"/>
      <w:r>
        <w:t>MohulA</w:t>
      </w:r>
      <w:proofErr w:type="spellEnd"/>
      <w:r>
        <w:t>)</w:t>
      </w:r>
    </w:p>
    <w:p w14:paraId="5149A716" w14:textId="77777777" w:rsidR="00C003D2" w:rsidRPr="00867B23" w:rsidRDefault="00C003D2" w:rsidP="00C003D2">
      <w:pPr>
        <w:rPr>
          <w:rStyle w:val="StyleUnderline"/>
        </w:rPr>
      </w:pPr>
      <w:r w:rsidRPr="007D6B87">
        <w:rPr>
          <w:sz w:val="16"/>
        </w:rPr>
        <w:t xml:space="preserve">There are </w:t>
      </w:r>
      <w:proofErr w:type="gramStart"/>
      <w:r w:rsidRPr="007D6B87">
        <w:rPr>
          <w:sz w:val="16"/>
        </w:rPr>
        <w:t>a number of</w:t>
      </w:r>
      <w:proofErr w:type="gramEnd"/>
      <w:r w:rsidRPr="007D6B87">
        <w:rPr>
          <w:sz w:val="16"/>
        </w:rPr>
        <w:t xml:space="preserve"> mechanisms by which we would expect collateral consequence laws to be related to higher rates of recidivism. </w:t>
      </w:r>
      <w:r w:rsidRPr="00867B23">
        <w:rPr>
          <w:rStyle w:val="StyleUnderline"/>
        </w:rPr>
        <w:t>Chief among the</w:t>
      </w:r>
      <w:r>
        <w:rPr>
          <w:rStyle w:val="StyleUnderline"/>
        </w:rPr>
        <w:t xml:space="preserve"> </w:t>
      </w:r>
      <w:r w:rsidRPr="00867B23">
        <w:rPr>
          <w:rStyle w:val="StyleUnderline"/>
        </w:rPr>
        <w:t>explanations by previous scholars are the effects of collateral consequence laws on the</w:t>
      </w:r>
      <w:r>
        <w:rPr>
          <w:rStyle w:val="StyleUnderline"/>
        </w:rPr>
        <w:t xml:space="preserve"> </w:t>
      </w:r>
      <w:r w:rsidRPr="00867B23">
        <w:rPr>
          <w:rStyle w:val="StyleUnderline"/>
        </w:rPr>
        <w:t>ability of offenders to support themselves financially, the barriers these laws place in the</w:t>
      </w:r>
      <w:r>
        <w:rPr>
          <w:rStyle w:val="StyleUnderline"/>
        </w:rPr>
        <w:t xml:space="preserve"> </w:t>
      </w:r>
      <w:r w:rsidRPr="00867B23">
        <w:rPr>
          <w:rStyle w:val="Emphasis"/>
        </w:rPr>
        <w:t>ability of offenders to form or rekindle pro-social bonds</w:t>
      </w:r>
      <w:r w:rsidRPr="00867B23">
        <w:rPr>
          <w:rStyle w:val="StyleUnderline"/>
        </w:rPr>
        <w:t>, and finally the effect these laws</w:t>
      </w:r>
      <w:r>
        <w:rPr>
          <w:rStyle w:val="StyleUnderline"/>
        </w:rPr>
        <w:t xml:space="preserve"> </w:t>
      </w:r>
      <w:r w:rsidRPr="00867B23">
        <w:rPr>
          <w:rStyle w:val="StyleUnderline"/>
        </w:rPr>
        <w:t xml:space="preserve">may have in </w:t>
      </w:r>
      <w:r w:rsidRPr="00867B23">
        <w:rPr>
          <w:rStyle w:val="Emphasis"/>
        </w:rPr>
        <w:t>fostering feelings of exclusion.</w:t>
      </w:r>
      <w:r>
        <w:rPr>
          <w:rStyle w:val="Emphasis"/>
        </w:rPr>
        <w:t xml:space="preserve"> </w:t>
      </w:r>
      <w:r w:rsidRPr="007D6B87">
        <w:rPr>
          <w:sz w:val="16"/>
        </w:rPr>
        <w:t xml:space="preserve">First, given that collateral consequences make </w:t>
      </w:r>
      <w:r w:rsidRPr="00867B23">
        <w:rPr>
          <w:rStyle w:val="Emphasis"/>
        </w:rPr>
        <w:t>it more difficult for offenders to</w:t>
      </w:r>
      <w:r>
        <w:rPr>
          <w:rStyle w:val="Emphasis"/>
        </w:rPr>
        <w:t xml:space="preserve"> </w:t>
      </w:r>
      <w:r w:rsidRPr="00867B23">
        <w:rPr>
          <w:rStyle w:val="Emphasis"/>
        </w:rPr>
        <w:t>find steady employment</w:t>
      </w:r>
      <w:r w:rsidRPr="007D6B87">
        <w:rPr>
          <w:sz w:val="16"/>
        </w:rPr>
        <w:t xml:space="preserve">, </w:t>
      </w:r>
      <w:r w:rsidRPr="00867B23">
        <w:rPr>
          <w:rStyle w:val="StyleUnderline"/>
        </w:rPr>
        <w:t>directly in restricting access to certain occupations and</w:t>
      </w:r>
      <w:r>
        <w:rPr>
          <w:rStyle w:val="StyleUnderline"/>
        </w:rPr>
        <w:t xml:space="preserve"> </w:t>
      </w:r>
      <w:r w:rsidRPr="00867B23">
        <w:rPr>
          <w:rStyle w:val="StyleUnderline"/>
        </w:rPr>
        <w:t xml:space="preserve">occupational licenses and informally through </w:t>
      </w:r>
      <w:r w:rsidRPr="00867B23">
        <w:rPr>
          <w:rStyle w:val="Emphasis"/>
        </w:rPr>
        <w:t>stigmatization</w:t>
      </w:r>
      <w:r w:rsidRPr="00867B23">
        <w:rPr>
          <w:rStyle w:val="StyleUnderline"/>
        </w:rPr>
        <w:t xml:space="preserve"> of the criminal record and</w:t>
      </w:r>
      <w:r>
        <w:rPr>
          <w:rStyle w:val="StyleUnderline"/>
        </w:rPr>
        <w:t xml:space="preserve"> </w:t>
      </w:r>
      <w:r w:rsidRPr="00867B23">
        <w:rPr>
          <w:rStyle w:val="StyleUnderline"/>
        </w:rPr>
        <w:t xml:space="preserve">difficulty in accessing transportation due to </w:t>
      </w:r>
      <w:r w:rsidRPr="00867B23">
        <w:rPr>
          <w:rStyle w:val="Emphasis"/>
        </w:rPr>
        <w:t>restrictions</w:t>
      </w:r>
      <w:r w:rsidRPr="00867B23">
        <w:rPr>
          <w:rStyle w:val="StyleUnderline"/>
        </w:rPr>
        <w:t xml:space="preserve"> on driver’s licenses, ex-offenders</w:t>
      </w:r>
      <w:r>
        <w:rPr>
          <w:rStyle w:val="StyleUnderline"/>
        </w:rPr>
        <w:t xml:space="preserve"> </w:t>
      </w:r>
      <w:r w:rsidRPr="00867B23">
        <w:rPr>
          <w:rStyle w:val="StyleUnderline"/>
        </w:rPr>
        <w:t xml:space="preserve">have less to lose if they engage in criminal activity and </w:t>
      </w:r>
      <w:r w:rsidRPr="00867B23">
        <w:rPr>
          <w:rStyle w:val="Emphasis"/>
        </w:rPr>
        <w:t>risk returning to prison</w:t>
      </w:r>
      <w:r w:rsidRPr="007D6B87">
        <w:rPr>
          <w:sz w:val="16"/>
        </w:rPr>
        <w:t xml:space="preserve">. Given that parolees are documented to cluster in core counties, </w:t>
      </w:r>
      <w:r w:rsidRPr="00867B23">
        <w:rPr>
          <w:rStyle w:val="StyleUnderline"/>
        </w:rPr>
        <w:t xml:space="preserve">this can </w:t>
      </w:r>
      <w:r w:rsidRPr="00867B23">
        <w:rPr>
          <w:rStyle w:val="Emphasis"/>
        </w:rPr>
        <w:t>negatively impact local</w:t>
      </w:r>
      <w:r>
        <w:rPr>
          <w:rStyle w:val="Emphasis"/>
        </w:rPr>
        <w:t xml:space="preserve"> </w:t>
      </w:r>
      <w:r w:rsidRPr="00867B23">
        <w:rPr>
          <w:rStyle w:val="Emphasis"/>
        </w:rPr>
        <w:t>labor markets</w:t>
      </w:r>
      <w:r w:rsidRPr="00867B23">
        <w:rPr>
          <w:rStyle w:val="StyleUnderline"/>
        </w:rPr>
        <w:t xml:space="preserve"> in those counties</w:t>
      </w:r>
      <w:r w:rsidRPr="007D6B87">
        <w:rPr>
          <w:sz w:val="16"/>
        </w:rPr>
        <w:t xml:space="preserve">. Collateral consequence laws that restrict employment, increase access to records, or restrict driver’s licenses which parolees may need in order to find or maintain employment, may negatively impact the ability of parolees to reenter the labor market leading to economic impacts for the community in which they live. This further reduces the employment networks available within the community. </w:t>
      </w:r>
      <w:r w:rsidRPr="00867B23">
        <w:rPr>
          <w:rStyle w:val="StyleUnderline"/>
        </w:rPr>
        <w:t xml:space="preserve">Collateral consequences also appear to hinder relationships between returning </w:t>
      </w:r>
      <w:proofErr w:type="spellStart"/>
      <w:r w:rsidRPr="00867B23">
        <w:rPr>
          <w:rStyle w:val="StyleUnderline"/>
        </w:rPr>
        <w:t>exoffenders</w:t>
      </w:r>
      <w:proofErr w:type="spellEnd"/>
      <w:r w:rsidRPr="00867B23">
        <w:rPr>
          <w:rStyle w:val="StyleUnderline"/>
        </w:rPr>
        <w:t xml:space="preserve"> and their family members</w:t>
      </w:r>
      <w:r w:rsidRPr="007D6B87">
        <w:rPr>
          <w:sz w:val="16"/>
        </w:rPr>
        <w:t xml:space="preserve">. Restrictions on access to public housing for many offenders mean that </w:t>
      </w:r>
      <w:r w:rsidRPr="00867B23">
        <w:rPr>
          <w:rStyle w:val="StyleUnderline"/>
        </w:rPr>
        <w:t xml:space="preserve">families may risk </w:t>
      </w:r>
      <w:r w:rsidRPr="00867B23">
        <w:rPr>
          <w:rStyle w:val="Emphasis"/>
        </w:rPr>
        <w:t>losing access to housing</w:t>
      </w:r>
      <w:r w:rsidRPr="007D6B87">
        <w:rPr>
          <w:sz w:val="16"/>
        </w:rPr>
        <w:t xml:space="preserve"> if they allow an ex offender to live with them in public housing. Yet living away from family members removes ex-offenders from families and loved ones that could provide a network of informal social control, as well as of social support for refraining from criminal or </w:t>
      </w:r>
      <w:proofErr w:type="spellStart"/>
      <w:r w:rsidRPr="007D6B87">
        <w:rPr>
          <w:sz w:val="16"/>
        </w:rPr>
        <w:t>drugrelated</w:t>
      </w:r>
      <w:proofErr w:type="spellEnd"/>
      <w:r w:rsidRPr="007D6B87">
        <w:rPr>
          <w:sz w:val="16"/>
        </w:rPr>
        <w:t xml:space="preserve"> activities (Berg and Huebner, 2011).3 There is evidence that </w:t>
      </w:r>
      <w:r w:rsidRPr="00867B23">
        <w:rPr>
          <w:rStyle w:val="StyleUnderline"/>
        </w:rPr>
        <w:t>men who maintain</w:t>
      </w:r>
      <w:r>
        <w:rPr>
          <w:rStyle w:val="StyleUnderline"/>
        </w:rPr>
        <w:t xml:space="preserve"> </w:t>
      </w:r>
      <w:r w:rsidRPr="00867B23">
        <w:rPr>
          <w:rStyle w:val="StyleUnderline"/>
        </w:rPr>
        <w:t>strong family ties during imprisonment, and those who assume husband or parenting</w:t>
      </w:r>
      <w:r>
        <w:rPr>
          <w:rStyle w:val="StyleUnderline"/>
        </w:rPr>
        <w:t xml:space="preserve"> </w:t>
      </w:r>
      <w:r w:rsidRPr="00867B23">
        <w:rPr>
          <w:rStyle w:val="StyleUnderline"/>
        </w:rPr>
        <w:t>roles post-release, are more likely to have positive outcomes post-release</w:t>
      </w:r>
      <w:r w:rsidRPr="007D6B87">
        <w:rPr>
          <w:sz w:val="16"/>
        </w:rPr>
        <w:t xml:space="preserve"> (Mears et al 2011, Shapiro 2001). Restrictions to employment can also create strains on family relationships when the returning offender is unable to provide income to the </w:t>
      </w:r>
      <w:proofErr w:type="gramStart"/>
      <w:r w:rsidRPr="007D6B87">
        <w:rPr>
          <w:sz w:val="16"/>
        </w:rPr>
        <w:t>family, or</w:t>
      </w:r>
      <w:proofErr w:type="gramEnd"/>
      <w:r w:rsidRPr="007D6B87">
        <w:rPr>
          <w:sz w:val="16"/>
        </w:rPr>
        <w:t xml:space="preserve"> meet child support obligations. </w:t>
      </w:r>
      <w:r w:rsidRPr="00867B23">
        <w:rPr>
          <w:rStyle w:val="StyleUnderline"/>
        </w:rPr>
        <w:t>Without access to public housing, TANF, or SNAP, and</w:t>
      </w:r>
      <w:r>
        <w:rPr>
          <w:rStyle w:val="StyleUnderline"/>
        </w:rPr>
        <w:t xml:space="preserve"> </w:t>
      </w:r>
      <w:r w:rsidRPr="00867B23">
        <w:rPr>
          <w:rStyle w:val="StyleUnderline"/>
        </w:rPr>
        <w:t xml:space="preserve">with increased barriers to securing employment, returning parolees may be </w:t>
      </w:r>
      <w:r w:rsidRPr="00867B23">
        <w:rPr>
          <w:rStyle w:val="Emphasis"/>
        </w:rPr>
        <w:t>unable to</w:t>
      </w:r>
      <w:r>
        <w:rPr>
          <w:rStyle w:val="Emphasis"/>
        </w:rPr>
        <w:t xml:space="preserve"> </w:t>
      </w:r>
      <w:r w:rsidRPr="00867B23">
        <w:rPr>
          <w:rStyle w:val="Emphasis"/>
        </w:rPr>
        <w:t>secure, or retain, custody of minor children</w:t>
      </w:r>
      <w:r w:rsidRPr="007D6B87">
        <w:rPr>
          <w:sz w:val="16"/>
        </w:rPr>
        <w:t xml:space="preserve">. </w:t>
      </w:r>
      <w:r w:rsidRPr="00867B23">
        <w:rPr>
          <w:rStyle w:val="StyleUnderline"/>
        </w:rPr>
        <w:t>By preventing parolees from reuniting with</w:t>
      </w:r>
      <w:r>
        <w:rPr>
          <w:rStyle w:val="StyleUnderline"/>
        </w:rPr>
        <w:t xml:space="preserve"> </w:t>
      </w:r>
      <w:r w:rsidRPr="00867B23">
        <w:rPr>
          <w:rStyle w:val="StyleUnderline"/>
        </w:rPr>
        <w:t>family, or straining relationships with family members, collateral consequence laws may</w:t>
      </w:r>
      <w:r>
        <w:rPr>
          <w:rStyle w:val="StyleUnderline"/>
        </w:rPr>
        <w:t xml:space="preserve"> </w:t>
      </w:r>
      <w:r w:rsidRPr="00867B23">
        <w:rPr>
          <w:rStyle w:val="Emphasis"/>
        </w:rPr>
        <w:t>negatively impact communities’ ability to monitor their members</w:t>
      </w:r>
      <w:r w:rsidRPr="007D6B87">
        <w:rPr>
          <w:sz w:val="16"/>
        </w:rPr>
        <w:t xml:space="preserve">. </w:t>
      </w:r>
      <w:r w:rsidRPr="00867B23">
        <w:rPr>
          <w:rStyle w:val="StyleUnderline"/>
        </w:rPr>
        <w:t>These laws may make</w:t>
      </w:r>
      <w:r>
        <w:rPr>
          <w:rStyle w:val="StyleUnderline"/>
        </w:rPr>
        <w:t xml:space="preserve"> </w:t>
      </w:r>
      <w:r w:rsidRPr="00867B23">
        <w:rPr>
          <w:rStyle w:val="Emphasis"/>
        </w:rPr>
        <w:t>social reintegration</w:t>
      </w:r>
      <w:r w:rsidRPr="00867B23">
        <w:rPr>
          <w:rStyle w:val="StyleUnderline"/>
        </w:rPr>
        <w:t xml:space="preserve"> into the community through family ties more difficulty</w:t>
      </w:r>
      <w:r w:rsidRPr="007D6B87">
        <w:rPr>
          <w:sz w:val="16"/>
        </w:rPr>
        <w:t xml:space="preserve">, thus undermining social cohesion and trust within those communities. Finally, collateral consequences serve as a formal reminder that having served one’s time is not enough for full reentry into society, and that </w:t>
      </w:r>
      <w:r w:rsidRPr="00867B23">
        <w:rPr>
          <w:rStyle w:val="StyleUnderline"/>
        </w:rPr>
        <w:t xml:space="preserve">having a </w:t>
      </w:r>
      <w:r w:rsidRPr="00867B23">
        <w:rPr>
          <w:rStyle w:val="Emphasis"/>
        </w:rPr>
        <w:t>criminal record</w:t>
      </w:r>
      <w:r>
        <w:rPr>
          <w:rStyle w:val="Emphasis"/>
        </w:rPr>
        <w:t xml:space="preserve"> </w:t>
      </w:r>
      <w:r w:rsidRPr="00867B23">
        <w:rPr>
          <w:rStyle w:val="Emphasis"/>
        </w:rPr>
        <w:t>will permanently mark the ex-offender as an outsider</w:t>
      </w:r>
      <w:r w:rsidRPr="007D6B87">
        <w:rPr>
          <w:sz w:val="16"/>
        </w:rPr>
        <w:t xml:space="preserve">. This could cause ex-offenders to question the legitimacy of a process that hinders them from successfully reintegrating. </w:t>
      </w:r>
      <w:proofErr w:type="spellStart"/>
      <w:r w:rsidRPr="007D6B87">
        <w:rPr>
          <w:sz w:val="16"/>
        </w:rPr>
        <w:t>Manza</w:t>
      </w:r>
      <w:proofErr w:type="spellEnd"/>
      <w:r w:rsidRPr="007D6B87">
        <w:rPr>
          <w:sz w:val="16"/>
        </w:rPr>
        <w:t xml:space="preserve"> and </w:t>
      </w:r>
      <w:proofErr w:type="spellStart"/>
      <w:r w:rsidRPr="007D6B87">
        <w:rPr>
          <w:sz w:val="16"/>
        </w:rPr>
        <w:t>Uggen</w:t>
      </w:r>
      <w:proofErr w:type="spellEnd"/>
      <w:r w:rsidRPr="007D6B87">
        <w:rPr>
          <w:sz w:val="16"/>
        </w:rPr>
        <w:t xml:space="preserve"> interviewed ex-offenders regarding their feelings about not being able to vote, and noted the extent to which ex-offenders spoke about how the inability to vote contributed to feelings of rejection by the community and resulting feelings that they don’t “owe” the community anything (including conformity to the law) since they are not part of the community. They write that “like other citizens, many felons expressed both a desire for the rights of citizenship and a willingness to involve themselves in civic life. They clearly felt the sting of disenfranchisement and other collateral consequences of their convictions, which marked them outsiders” (</w:t>
      </w:r>
      <w:proofErr w:type="spellStart"/>
      <w:r w:rsidRPr="007D6B87">
        <w:rPr>
          <w:sz w:val="16"/>
        </w:rPr>
        <w:t>Manza</w:t>
      </w:r>
      <w:proofErr w:type="spellEnd"/>
      <w:r w:rsidRPr="007D6B87">
        <w:rPr>
          <w:sz w:val="16"/>
        </w:rPr>
        <w:t xml:space="preserve"> and </w:t>
      </w:r>
      <w:proofErr w:type="spellStart"/>
      <w:r w:rsidRPr="007D6B87">
        <w:rPr>
          <w:sz w:val="16"/>
        </w:rPr>
        <w:t>Uggen</w:t>
      </w:r>
      <w:proofErr w:type="spellEnd"/>
      <w:r w:rsidRPr="007D6B87">
        <w:rPr>
          <w:sz w:val="16"/>
        </w:rPr>
        <w:t xml:space="preserve">, 2006: p 163). </w:t>
      </w:r>
      <w:proofErr w:type="spellStart"/>
      <w:r w:rsidRPr="007D6B87">
        <w:rPr>
          <w:sz w:val="16"/>
        </w:rPr>
        <w:t>Manza</w:t>
      </w:r>
      <w:proofErr w:type="spellEnd"/>
      <w:r w:rsidRPr="007D6B87">
        <w:rPr>
          <w:sz w:val="16"/>
        </w:rPr>
        <w:t xml:space="preserve"> and </w:t>
      </w:r>
      <w:proofErr w:type="spellStart"/>
      <w:r w:rsidRPr="007D6B87">
        <w:rPr>
          <w:sz w:val="16"/>
        </w:rPr>
        <w:t>Uggen</w:t>
      </w:r>
      <w:proofErr w:type="spellEnd"/>
      <w:r w:rsidRPr="007D6B87">
        <w:rPr>
          <w:sz w:val="16"/>
        </w:rPr>
        <w:t xml:space="preserve"> posit that </w:t>
      </w:r>
      <w:r w:rsidRPr="00867B23">
        <w:rPr>
          <w:rStyle w:val="StyleUnderline"/>
        </w:rPr>
        <w:t>access to voting can serve to foster a sense of civic duty and</w:t>
      </w:r>
      <w:r>
        <w:rPr>
          <w:rStyle w:val="StyleUnderline"/>
        </w:rPr>
        <w:t xml:space="preserve"> </w:t>
      </w:r>
      <w:r w:rsidRPr="00867B23">
        <w:rPr>
          <w:rStyle w:val="StyleUnderline"/>
        </w:rPr>
        <w:t>membership</w:t>
      </w:r>
      <w:r w:rsidRPr="007D6B87">
        <w:rPr>
          <w:sz w:val="16"/>
        </w:rPr>
        <w:t xml:space="preserve">. They argue that people involved in voting have a sense of membership that results in a sense of responsibility toward the community. </w:t>
      </w:r>
      <w:r w:rsidRPr="00867B23">
        <w:rPr>
          <w:rStyle w:val="StyleUnderline"/>
        </w:rPr>
        <w:t>Referencing the works of</w:t>
      </w:r>
      <w:r>
        <w:rPr>
          <w:rStyle w:val="StyleUnderline"/>
        </w:rPr>
        <w:t xml:space="preserve"> </w:t>
      </w:r>
      <w:r w:rsidRPr="00867B23">
        <w:rPr>
          <w:rStyle w:val="StyleUnderline"/>
        </w:rPr>
        <w:t>Alexis de Tocqueville and John Stuart Mill and pulling from theories of expressive</w:t>
      </w:r>
      <w:r>
        <w:rPr>
          <w:rStyle w:val="StyleUnderline"/>
        </w:rPr>
        <w:t xml:space="preserve"> </w:t>
      </w:r>
      <w:r w:rsidRPr="00867B23">
        <w:rPr>
          <w:rStyle w:val="StyleUnderline"/>
        </w:rPr>
        <w:t xml:space="preserve">voting, they argue that civic engagement, such as </w:t>
      </w:r>
      <w:r w:rsidRPr="00867B23">
        <w:rPr>
          <w:rStyle w:val="Emphasis"/>
        </w:rPr>
        <w:t>voting, can actually assist in a person’s</w:t>
      </w:r>
      <w:r>
        <w:rPr>
          <w:rStyle w:val="Emphasis"/>
        </w:rPr>
        <w:t xml:space="preserve"> </w:t>
      </w:r>
      <w:r w:rsidRPr="00867B23">
        <w:rPr>
          <w:rStyle w:val="Emphasis"/>
        </w:rPr>
        <w:t>identity transformation</w:t>
      </w:r>
      <w:r w:rsidRPr="00867B23">
        <w:rPr>
          <w:rStyle w:val="StyleUnderline"/>
        </w:rPr>
        <w:t xml:space="preserve"> and that in this way “democracy fosters citizenship</w:t>
      </w:r>
      <w:r w:rsidRPr="007D6B87">
        <w:rPr>
          <w:sz w:val="16"/>
        </w:rPr>
        <w:t xml:space="preserve">” (p 128). They argue that “to the extent that felons begin to vote and participate as citizens in their communities, there is some evidence that they will bring their behavior into line with their expectations of the citizen role, avoiding further contact with the criminal justice system” (p 163). </w:t>
      </w:r>
      <w:proofErr w:type="spellStart"/>
      <w:r w:rsidRPr="007D6B87">
        <w:rPr>
          <w:sz w:val="16"/>
        </w:rPr>
        <w:t>Manza</w:t>
      </w:r>
      <w:proofErr w:type="spellEnd"/>
      <w:r w:rsidRPr="007D6B87">
        <w:rPr>
          <w:sz w:val="16"/>
        </w:rPr>
        <w:t xml:space="preserve"> and </w:t>
      </w:r>
      <w:proofErr w:type="spellStart"/>
      <w:r w:rsidRPr="007D6B87">
        <w:rPr>
          <w:sz w:val="16"/>
        </w:rPr>
        <w:t>Uggen</w:t>
      </w:r>
      <w:proofErr w:type="spellEnd"/>
      <w:r w:rsidRPr="007D6B87">
        <w:rPr>
          <w:sz w:val="16"/>
        </w:rPr>
        <w:t xml:space="preserve"> are not the first to note the potential for US laws disenfranchising to hinder the reintegration of former offenders. The President's Commission on Law Enforcement and the Administration of Justice wrote in their 1967 Task Force Report, “(T)o be deprived of the right to representation in a democratic society is an important symbol. Moreover, rehabilitation might be furthered by encouraging convicted persons to participate in society by exercising the vote.” A special project report of the Vanderbilt Law Review echoed this sentiment in 1970 by noting that “the offender’s inability to vote, serve as a juror, or hold public office prevents him from appreciating the society to which he returns…This feeling of rejection both reinforces the pessimistic view of societal authority that convicts often form in prison and heightens their lack of faith in society. This sense of rejection may produce feelings of estrangement from the institutions that foster the development of law-abiding conduct.” (Grant et al 1970). A 1973 report by the National Advisory Commission on Criminal Justice Standards and Goals echoed this sentiment when they stated </w:t>
      </w:r>
      <w:r w:rsidRPr="00867B23">
        <w:rPr>
          <w:rStyle w:val="StyleUnderline"/>
        </w:rPr>
        <w:t>that “Loss of</w:t>
      </w:r>
      <w:r>
        <w:rPr>
          <w:rStyle w:val="StyleUnderline"/>
        </w:rPr>
        <w:t xml:space="preserve"> </w:t>
      </w:r>
      <w:r w:rsidRPr="00867B23">
        <w:rPr>
          <w:rStyle w:val="StyleUnderline"/>
        </w:rPr>
        <w:t>citizenship rights—(including) the right to vote . . .</w:t>
      </w:r>
      <w:r w:rsidRPr="00867B23">
        <w:rPr>
          <w:rStyle w:val="Emphasis"/>
        </w:rPr>
        <w:t>inhibits reformative efforts</w:t>
      </w:r>
      <w:r w:rsidRPr="007D6B87">
        <w:rPr>
          <w:sz w:val="16"/>
        </w:rPr>
        <w:t xml:space="preserve">. If correction is to reintegrate an offender into free society, </w:t>
      </w:r>
      <w:r w:rsidRPr="00867B23">
        <w:rPr>
          <w:rStyle w:val="StyleUnderline"/>
        </w:rPr>
        <w:t>the offender must retain all</w:t>
      </w:r>
      <w:r>
        <w:rPr>
          <w:rStyle w:val="StyleUnderline"/>
        </w:rPr>
        <w:t xml:space="preserve"> </w:t>
      </w:r>
      <w:r w:rsidRPr="00867B23">
        <w:rPr>
          <w:rStyle w:val="StyleUnderline"/>
        </w:rPr>
        <w:t>attributes of citizenship</w:t>
      </w:r>
      <w:r w:rsidRPr="007D6B87">
        <w:rPr>
          <w:sz w:val="16"/>
        </w:rPr>
        <w:t xml:space="preserve">. In addition, his respect for law and the legal system may well depend, in some measure, on his ability to participate in that system.” (National Advisory Commission on Criminal Justice Standards and Goals 1973, 593). These </w:t>
      </w:r>
      <w:r w:rsidRPr="00867B23">
        <w:rPr>
          <w:rStyle w:val="StyleUnderline"/>
        </w:rPr>
        <w:t>feelings of</w:t>
      </w:r>
      <w:r>
        <w:rPr>
          <w:rStyle w:val="StyleUnderline"/>
        </w:rPr>
        <w:t xml:space="preserve"> </w:t>
      </w:r>
      <w:r w:rsidRPr="00867B23">
        <w:rPr>
          <w:rStyle w:val="StyleUnderline"/>
        </w:rPr>
        <w:t xml:space="preserve">estrangement from the justice system </w:t>
      </w:r>
      <w:proofErr w:type="gramStart"/>
      <w:r w:rsidRPr="00867B23">
        <w:rPr>
          <w:rStyle w:val="StyleUnderline"/>
        </w:rPr>
        <w:t>by the use of</w:t>
      </w:r>
      <w:proofErr w:type="gramEnd"/>
      <w:r w:rsidRPr="00867B23">
        <w:rPr>
          <w:rStyle w:val="StyleUnderline"/>
        </w:rPr>
        <w:t xml:space="preserve"> laws which continue to punish former</w:t>
      </w:r>
      <w:r>
        <w:rPr>
          <w:rStyle w:val="StyleUnderline"/>
        </w:rPr>
        <w:t xml:space="preserve"> </w:t>
      </w:r>
      <w:r w:rsidRPr="00867B23">
        <w:rPr>
          <w:rStyle w:val="StyleUnderline"/>
        </w:rPr>
        <w:t>offenders long after their sentence has been served</w:t>
      </w:r>
      <w:r w:rsidRPr="007D6B87">
        <w:rPr>
          <w:sz w:val="16"/>
        </w:rPr>
        <w:t xml:space="preserve">, can affect the attitudes of entire communities toward the justice system. </w:t>
      </w:r>
      <w:r w:rsidRPr="00867B23">
        <w:rPr>
          <w:rStyle w:val="StyleUnderline"/>
        </w:rPr>
        <w:t>Neighborhoods with high numbers of former</w:t>
      </w:r>
      <w:r>
        <w:rPr>
          <w:rStyle w:val="StyleUnderline"/>
        </w:rPr>
        <w:t xml:space="preserve"> </w:t>
      </w:r>
      <w:r w:rsidRPr="00867B23">
        <w:rPr>
          <w:rStyle w:val="StyleUnderline"/>
        </w:rPr>
        <w:t xml:space="preserve">offenders that face collateral consequences may be more likely to </w:t>
      </w:r>
      <w:r w:rsidRPr="00867B23">
        <w:rPr>
          <w:rStyle w:val="Emphasis"/>
        </w:rPr>
        <w:t>view the criminal</w:t>
      </w:r>
      <w:r>
        <w:rPr>
          <w:rStyle w:val="Emphasis"/>
        </w:rPr>
        <w:t xml:space="preserve"> </w:t>
      </w:r>
      <w:r w:rsidRPr="00867B23">
        <w:rPr>
          <w:rStyle w:val="Emphasis"/>
        </w:rPr>
        <w:t>justice system with distrust.</w:t>
      </w:r>
      <w:r>
        <w:rPr>
          <w:rStyle w:val="Emphasis"/>
        </w:rPr>
        <w:t xml:space="preserve"> </w:t>
      </w:r>
      <w:r w:rsidRPr="007D6B87">
        <w:rPr>
          <w:sz w:val="16"/>
        </w:rPr>
        <w:t xml:space="preserve">Not only do collateral consequences lower the economic and social disincentives to crime, and increase feelings of social exclusion, but </w:t>
      </w:r>
      <w:r w:rsidRPr="00867B23">
        <w:rPr>
          <w:rStyle w:val="StyleUnderline"/>
        </w:rPr>
        <w:t>these consequences likely have an</w:t>
      </w:r>
      <w:r>
        <w:rPr>
          <w:rStyle w:val="StyleUnderline"/>
        </w:rPr>
        <w:t xml:space="preserve"> </w:t>
      </w:r>
      <w:r w:rsidRPr="00867B23">
        <w:rPr>
          <w:rStyle w:val="Emphasis"/>
        </w:rPr>
        <w:t>ongoing effect</w:t>
      </w:r>
      <w:r w:rsidRPr="007D6B87">
        <w:rPr>
          <w:sz w:val="16"/>
        </w:rPr>
        <w:t xml:space="preserve">. Problems gaining employment due to a criminal record contributes to ongoing problems gaining steady employment as it weakens a person’s employment record, making them less attractive to future employers. </w:t>
      </w:r>
      <w:r w:rsidRPr="00867B23">
        <w:rPr>
          <w:rStyle w:val="StyleUnderline"/>
        </w:rPr>
        <w:t>Difficulties fostering a</w:t>
      </w:r>
      <w:r>
        <w:rPr>
          <w:rStyle w:val="StyleUnderline"/>
        </w:rPr>
        <w:t xml:space="preserve"> </w:t>
      </w:r>
      <w:r w:rsidRPr="00867B23">
        <w:rPr>
          <w:rStyle w:val="StyleUnderline"/>
        </w:rPr>
        <w:t>relationship with family members post-release contribute to strained relationships that</w:t>
      </w:r>
      <w:r>
        <w:rPr>
          <w:rStyle w:val="StyleUnderline"/>
        </w:rPr>
        <w:t xml:space="preserve"> </w:t>
      </w:r>
      <w:proofErr w:type="gramStart"/>
      <w:r w:rsidRPr="00867B23">
        <w:rPr>
          <w:rStyle w:val="StyleUnderline"/>
        </w:rPr>
        <w:t>continue into the future</w:t>
      </w:r>
      <w:proofErr w:type="gramEnd"/>
      <w:r w:rsidRPr="00867B23">
        <w:rPr>
          <w:rStyle w:val="StyleUnderline"/>
        </w:rPr>
        <w:t xml:space="preserve">. And </w:t>
      </w:r>
      <w:r w:rsidRPr="00867B23">
        <w:rPr>
          <w:rStyle w:val="Emphasis"/>
        </w:rPr>
        <w:t>feelings of exclusion can fester when background checks</w:t>
      </w:r>
      <w:r w:rsidRPr="00867B23">
        <w:rPr>
          <w:rStyle w:val="StyleUnderline"/>
        </w:rPr>
        <w:t>,</w:t>
      </w:r>
      <w:r>
        <w:rPr>
          <w:rStyle w:val="StyleUnderline"/>
        </w:rPr>
        <w:t xml:space="preserve"> </w:t>
      </w:r>
      <w:r w:rsidRPr="00867B23">
        <w:rPr>
          <w:rStyle w:val="StyleUnderline"/>
        </w:rPr>
        <w:t xml:space="preserve">and </w:t>
      </w:r>
      <w:r w:rsidRPr="00867B23">
        <w:rPr>
          <w:rStyle w:val="Emphasis"/>
        </w:rPr>
        <w:t>ongoing restrictions on employment and voting</w:t>
      </w:r>
      <w:r w:rsidRPr="00867B23">
        <w:rPr>
          <w:rStyle w:val="StyleUnderline"/>
        </w:rPr>
        <w:t>, serve as a recurring reminder of this</w:t>
      </w:r>
      <w:r>
        <w:rPr>
          <w:rStyle w:val="StyleUnderline"/>
        </w:rPr>
        <w:t xml:space="preserve"> </w:t>
      </w:r>
      <w:r w:rsidRPr="00867B23">
        <w:rPr>
          <w:rStyle w:val="StyleUnderline"/>
        </w:rPr>
        <w:t>exclusion</w:t>
      </w:r>
    </w:p>
    <w:p w14:paraId="119BDD92" w14:textId="77777777" w:rsidR="00C003D2" w:rsidRDefault="00C003D2" w:rsidP="00C003D2"/>
    <w:p w14:paraId="3C907B38" w14:textId="08640D45" w:rsidR="0020575E" w:rsidRDefault="00E401DB" w:rsidP="0020575E">
      <w:pPr>
        <w:pStyle w:val="Heading3"/>
      </w:pPr>
      <w:r>
        <w:t xml:space="preserve">Internals: </w:t>
      </w:r>
      <w:r w:rsidR="0020575E">
        <w:t xml:space="preserve">CC = </w:t>
      </w:r>
      <w:r>
        <w:t>Racist</w:t>
      </w:r>
    </w:p>
    <w:p w14:paraId="0DD3F38E" w14:textId="015DCFC2" w:rsidR="0020575E" w:rsidRDefault="0020575E" w:rsidP="0020575E"/>
    <w:p w14:paraId="06F80817" w14:textId="1E5D3154" w:rsidR="00E401DB" w:rsidRDefault="00E401DB" w:rsidP="00E401DB">
      <w:pPr>
        <w:pStyle w:val="Heading4"/>
      </w:pPr>
      <w:r>
        <w:t>And, CC’s are a racist tool to disenfranchise and exclude African Americans from access to services and civil rights</w:t>
      </w:r>
    </w:p>
    <w:p w14:paraId="783A2D64" w14:textId="77777777" w:rsidR="00E401DB" w:rsidRPr="00E401DB" w:rsidRDefault="00E401DB" w:rsidP="00E401DB"/>
    <w:p w14:paraId="17334AC2" w14:textId="77777777" w:rsidR="0020575E" w:rsidRPr="00DE03C5" w:rsidRDefault="0020575E" w:rsidP="0020575E">
      <w:pPr>
        <w:rPr>
          <w:rStyle w:val="Style13ptBold"/>
        </w:rPr>
      </w:pPr>
      <w:proofErr w:type="spellStart"/>
      <w:r w:rsidRPr="00DE03C5">
        <w:rPr>
          <w:rStyle w:val="Style13ptBold"/>
        </w:rPr>
        <w:t>Pinard</w:t>
      </w:r>
      <w:proofErr w:type="spellEnd"/>
      <w:r w:rsidRPr="00DE03C5">
        <w:rPr>
          <w:rStyle w:val="Style13ptBold"/>
        </w:rPr>
        <w:t xml:space="preserve"> ‘10</w:t>
      </w:r>
    </w:p>
    <w:p w14:paraId="25C7A27C" w14:textId="77777777" w:rsidR="0020575E" w:rsidRDefault="0020575E" w:rsidP="0020575E">
      <w:r>
        <w:t xml:space="preserve">(Michael, Professor, University of Maryland School of Law, “COLLATERAL CONSEQUENCES OF CRIMINAL CONVICTIONS: CONFRONTING ISSUES OF RACE AND DIGNITY, 85 N.Y.U.L. Rev. 457,” </w:t>
      </w:r>
      <w:proofErr w:type="spellStart"/>
      <w:r>
        <w:t>pg</w:t>
      </w:r>
      <w:proofErr w:type="spellEnd"/>
      <w:r>
        <w:t xml:space="preserve"> lexis//um-</w:t>
      </w:r>
      <w:proofErr w:type="spellStart"/>
      <w:r>
        <w:t>ef</w:t>
      </w:r>
      <w:proofErr w:type="spellEnd"/>
      <w:r>
        <w:t>)</w:t>
      </w:r>
    </w:p>
    <w:p w14:paraId="76B136C0" w14:textId="77777777" w:rsidR="0020575E" w:rsidRPr="009A3C43" w:rsidRDefault="0020575E" w:rsidP="0020575E">
      <w:pPr>
        <w:rPr>
          <w:sz w:val="12"/>
        </w:rPr>
      </w:pPr>
      <w:r w:rsidRPr="009A3C43">
        <w:rPr>
          <w:sz w:val="12"/>
        </w:rPr>
        <w:t xml:space="preserve">B. Plausible Explanations 1. Race-Based Criminal Justice Policies </w:t>
      </w:r>
      <w:proofErr w:type="gramStart"/>
      <w:r w:rsidRPr="009A3C43">
        <w:rPr>
          <w:sz w:val="12"/>
        </w:rPr>
        <w:t>a.</w:t>
      </w:r>
      <w:proofErr w:type="gramEnd"/>
      <w:r w:rsidRPr="009A3C43">
        <w:rPr>
          <w:sz w:val="12"/>
        </w:rPr>
        <w:t xml:space="preserve"> United States </w:t>
      </w:r>
      <w:r w:rsidRPr="0072682A">
        <w:rPr>
          <w:rStyle w:val="StyleUnderline"/>
        </w:rPr>
        <w:t>Collateral consequences have always attached to criminal records in the United States</w:t>
      </w:r>
      <w:r w:rsidRPr="009A3C43">
        <w:rPr>
          <w:sz w:val="12"/>
        </w:rPr>
        <w:t xml:space="preserve">. Scholars have explained that </w:t>
      </w:r>
      <w:r w:rsidRPr="0072682A">
        <w:rPr>
          <w:rStyle w:val="Emphasis"/>
        </w:rPr>
        <w:t>these consequences descend from England's notion of "civil death,"</w:t>
      </w:r>
      <w:r w:rsidRPr="009A3C43">
        <w:rPr>
          <w:sz w:val="12"/>
        </w:rPr>
        <w:t xml:space="preserve"> which historically accompanied convictions. 310 These consequences became less severe over time, particularly in the 1960s and 1970s, but they expanded dramatically in the 1980s and 1990s as part of the "war on drugs" and "tough on crime" movements. 311 The incarceration rate in the United States soared as a result of policies adopted during these movements. 312 [*512] Scholars have argued that </w:t>
      </w:r>
      <w:r w:rsidRPr="009A3C43">
        <w:rPr>
          <w:rStyle w:val="StyleUnderline"/>
        </w:rPr>
        <w:t>these policies not only disproportionately impact people of color,</w:t>
      </w:r>
      <w:r>
        <w:rPr>
          <w:rStyle w:val="StyleUnderline"/>
        </w:rPr>
        <w:t xml:space="preserve"> </w:t>
      </w:r>
      <w:r w:rsidRPr="005B6ACC">
        <w:t>313</w:t>
      </w:r>
      <w:r w:rsidRPr="009A3C43">
        <w:rPr>
          <w:rStyle w:val="StyleUnderline"/>
        </w:rPr>
        <w:t xml:space="preserve"> but were designed, at least in part, specifically to do so</w:t>
      </w:r>
      <w:r w:rsidRPr="009A3C43">
        <w:rPr>
          <w:sz w:val="12"/>
        </w:rPr>
        <w:t xml:space="preserve">, 314 as their disproportionate impact was quite foreseeable. 315 Scholars have similarly argued that </w:t>
      </w:r>
      <w:r w:rsidRPr="009A3C43">
        <w:rPr>
          <w:rStyle w:val="Emphasis"/>
        </w:rPr>
        <w:t>the growth of collateral consequences, like the incarceration explosion, has been rooted in race</w:t>
      </w:r>
      <w:r w:rsidRPr="009A3C43">
        <w:rPr>
          <w:sz w:val="12"/>
        </w:rPr>
        <w:t xml:space="preserve">. 316 </w:t>
      </w:r>
      <w:r w:rsidRPr="009A3C43">
        <w:rPr>
          <w:rStyle w:val="StyleUnderline"/>
        </w:rPr>
        <w:t>The role of race is particularly evident when it comes to felon disenfranchisement, where contemporary policies follow a long historical pattern of racial exclusion</w:t>
      </w:r>
      <w:r w:rsidRPr="009A3C43">
        <w:rPr>
          <w:sz w:val="12"/>
        </w:rPr>
        <w:t xml:space="preserve">. Criminal disenfranchisement laws reach back to colonial times in the United States and were extended in original state constitutions. 317 Even with the adoption of the Fifteenth Amendment in 1870, 318 African American </w:t>
      </w:r>
      <w:proofErr w:type="gramStart"/>
      <w:r w:rsidRPr="009A3C43">
        <w:rPr>
          <w:sz w:val="12"/>
        </w:rPr>
        <w:t>disenfranchisement</w:t>
      </w:r>
      <w:proofErr w:type="gramEnd"/>
      <w:r w:rsidRPr="009A3C43">
        <w:rPr>
          <w:sz w:val="12"/>
        </w:rPr>
        <w:t xml:space="preserve"> continued in the South. After Reconstruction, disenfranchisement laws were retooled specifically to exclude African Americans from voting. 319 Several "southern states tailored their disenfranchisement [*513] laws" to crimes purportedly committed primarily by African Americans, "while excluding crimes purportedly committed primarily by whites." 320 Others imposed poll taxes, literacy tests, and grandfather clauses. 321 Along with these measures, "</w:t>
      </w:r>
      <w:r w:rsidRPr="009A3C43">
        <w:rPr>
          <w:rStyle w:val="StyleUnderline"/>
        </w:rPr>
        <w:t>the explicit use of felon disenfranchisement contributed to preventing African Americans … from voting</w:t>
      </w:r>
      <w:r w:rsidRPr="009A3C43">
        <w:rPr>
          <w:sz w:val="12"/>
        </w:rPr>
        <w:t xml:space="preserve">." 322 Thus, felon disenfranchisement in the United States is tied to broader efforts to prevent African Americans from voting. As scholars Jeff </w:t>
      </w:r>
      <w:proofErr w:type="spellStart"/>
      <w:r w:rsidRPr="009A3C43">
        <w:rPr>
          <w:sz w:val="12"/>
        </w:rPr>
        <w:t>Manza</w:t>
      </w:r>
      <w:proofErr w:type="spellEnd"/>
      <w:r w:rsidRPr="009A3C43">
        <w:rPr>
          <w:sz w:val="12"/>
        </w:rPr>
        <w:t xml:space="preserve"> and Christopher </w:t>
      </w:r>
      <w:proofErr w:type="spellStart"/>
      <w:r w:rsidRPr="009A3C43">
        <w:rPr>
          <w:sz w:val="12"/>
        </w:rPr>
        <w:t>Uggen</w:t>
      </w:r>
      <w:proofErr w:type="spellEnd"/>
      <w:r w:rsidRPr="009A3C43">
        <w:rPr>
          <w:sz w:val="12"/>
        </w:rPr>
        <w:t xml:space="preserve"> explain, </w:t>
      </w:r>
      <w:r w:rsidRPr="009A3C43">
        <w:rPr>
          <w:rStyle w:val="StyleUnderline"/>
        </w:rPr>
        <w:t>disenfranchisement laws remained relatively stable between the 1920s and 1950s</w:t>
      </w:r>
      <w:r w:rsidRPr="009A3C43">
        <w:rPr>
          <w:sz w:val="12"/>
        </w:rPr>
        <w:t xml:space="preserve">. 323 From the late 1950s to the 1970s, many states eased their felon disenfranchisement laws, providing greater access to voting booths for individuals with criminal records.  324 Although this trend continues </w:t>
      </w:r>
      <w:proofErr w:type="gramStart"/>
      <w:r w:rsidRPr="009A3C43">
        <w:rPr>
          <w:sz w:val="12"/>
        </w:rPr>
        <w:t>today,  325</w:t>
      </w:r>
      <w:proofErr w:type="gramEnd"/>
      <w:r w:rsidRPr="009A3C43">
        <w:rPr>
          <w:sz w:val="12"/>
        </w:rPr>
        <w:t xml:space="preserve"> </w:t>
      </w:r>
      <w:r w:rsidRPr="009A3C43">
        <w:rPr>
          <w:rStyle w:val="StyleUnderline"/>
        </w:rPr>
        <w:t>categories of individuals with criminal records are excluded from voting in most states, and these prohibitions continue to fall hardest on African Americans</w:t>
      </w:r>
      <w:r w:rsidRPr="009A3C43">
        <w:rPr>
          <w:sz w:val="12"/>
        </w:rPr>
        <w:t>. For example, "</w:t>
      </w:r>
      <w:r w:rsidRPr="009A3C43">
        <w:rPr>
          <w:rStyle w:val="Emphasis"/>
        </w:rPr>
        <w:t>13 percent of African-American men have lost the right to vote, a rate that is seven times the national average</w:t>
      </w:r>
      <w:r w:rsidRPr="009A3C43">
        <w:rPr>
          <w:sz w:val="12"/>
        </w:rPr>
        <w:t>."  326</w:t>
      </w:r>
    </w:p>
    <w:p w14:paraId="6D526072" w14:textId="77777777" w:rsidR="0020575E" w:rsidRPr="009A3C43" w:rsidRDefault="0020575E" w:rsidP="0020575E"/>
    <w:p w14:paraId="5933EB8F" w14:textId="77777777" w:rsidR="0020575E" w:rsidRDefault="0020575E" w:rsidP="0020575E">
      <w:pPr>
        <w:pStyle w:val="Heading2"/>
      </w:pPr>
      <w:r>
        <w:t>Disenfranchisement Impacts</w:t>
      </w:r>
    </w:p>
    <w:p w14:paraId="37E0B4A7" w14:textId="77777777" w:rsidR="0020575E" w:rsidRDefault="0020575E" w:rsidP="0020575E"/>
    <w:p w14:paraId="6A256007" w14:textId="77777777" w:rsidR="0020575E" w:rsidRDefault="0020575E" w:rsidP="0020575E">
      <w:pPr>
        <w:pStyle w:val="Heading3"/>
      </w:pPr>
      <w:r>
        <w:t>Internals: Denial Destroys Dignity</w:t>
      </w:r>
    </w:p>
    <w:p w14:paraId="36E1E447" w14:textId="77777777" w:rsidR="0020575E" w:rsidRDefault="0020575E" w:rsidP="0020575E"/>
    <w:p w14:paraId="12FF5BAD" w14:textId="77777777" w:rsidR="0020575E" w:rsidRPr="00A3094C" w:rsidRDefault="0020575E" w:rsidP="0020575E">
      <w:pPr>
        <w:pStyle w:val="Heading4"/>
        <w:rPr>
          <w:rFonts w:cs="Arial"/>
        </w:rPr>
      </w:pPr>
      <w:r w:rsidRPr="00A3094C">
        <w:rPr>
          <w:rFonts w:eastAsia="Arial" w:cs="Arial"/>
        </w:rPr>
        <w:t>The Denial of Political Rights undermines an individual’s dignity as a citizen</w:t>
      </w:r>
    </w:p>
    <w:p w14:paraId="696CB431" w14:textId="77777777" w:rsidR="0020575E" w:rsidRPr="00A3094C" w:rsidRDefault="0020575E" w:rsidP="0020575E">
      <w:proofErr w:type="spellStart"/>
      <w:r w:rsidRPr="00A3094C">
        <w:rPr>
          <w:rStyle w:val="Heading4Char"/>
          <w:rFonts w:cs="Arial"/>
        </w:rPr>
        <w:t>Demleitner</w:t>
      </w:r>
      <w:proofErr w:type="spellEnd"/>
      <w:r w:rsidRPr="00A3094C">
        <w:rPr>
          <w:rStyle w:val="Heading4Char"/>
          <w:rFonts w:cs="Arial"/>
        </w:rPr>
        <w:t xml:space="preserve"> 99.</w:t>
      </w:r>
      <w:r w:rsidRPr="00A3094C">
        <w:t xml:space="preserve"> Nora V. </w:t>
      </w:r>
      <w:proofErr w:type="spellStart"/>
      <w:r w:rsidRPr="00A3094C">
        <w:t>Demleitner</w:t>
      </w:r>
      <w:proofErr w:type="spellEnd"/>
      <w:r w:rsidRPr="00A3094C">
        <w:t xml:space="preserve"> is a Visiting Professor at the University of Michigan Law School (Fall 1999), and a Professor at St. Mary's University School of Law, San Antonio. She received a B.A. from Bates College, a J.D. from Yale Law School, and an LL.M. from Georgetown University Law Center. Winter 1999, “</w:t>
      </w:r>
      <w:hyperlink r:id="rId22" w:history="1">
        <w:r w:rsidRPr="00A3094C">
          <w:rPr>
            <w:rStyle w:val="Hyperlink"/>
          </w:rPr>
          <w:t xml:space="preserve">SYMPOSIUM: Preventing Internal Exile: The Need for Restrictions on </w:t>
        </w:r>
      </w:hyperlink>
      <w:hyperlink r:id="rId23" w:history="1">
        <w:r w:rsidRPr="00A3094C">
          <w:rPr>
            <w:rStyle w:val="Hyperlink"/>
          </w:rPr>
          <w:t>Collateral</w:t>
        </w:r>
      </w:hyperlink>
      <w:hyperlink r:id="rId24" w:history="1">
        <w:r w:rsidRPr="00A3094C">
          <w:rPr>
            <w:rStyle w:val="Hyperlink"/>
          </w:rPr>
          <w:t xml:space="preserve"> </w:t>
        </w:r>
      </w:hyperlink>
      <w:hyperlink r:id="rId25" w:history="1">
        <w:r w:rsidRPr="00A3094C">
          <w:rPr>
            <w:rStyle w:val="Hyperlink"/>
          </w:rPr>
          <w:t>Sentencing</w:t>
        </w:r>
      </w:hyperlink>
      <w:hyperlink r:id="rId26" w:history="1">
        <w:r w:rsidRPr="00A3094C">
          <w:rPr>
            <w:rStyle w:val="Hyperlink"/>
          </w:rPr>
          <w:t xml:space="preserve"> Consequences </w:t>
        </w:r>
      </w:hyperlink>
      <w:r w:rsidRPr="00A3094C">
        <w:t xml:space="preserve">” Stanford Law and Policy Review. </w:t>
      </w:r>
      <w:proofErr w:type="spellStart"/>
      <w:r w:rsidRPr="00A3094C">
        <w:t>eg.</w:t>
      </w:r>
      <w:proofErr w:type="spellEnd"/>
    </w:p>
    <w:p w14:paraId="0A49AC6C" w14:textId="77777777" w:rsidR="0020575E" w:rsidRPr="00A3094C" w:rsidRDefault="0020575E" w:rsidP="0020575E">
      <w:pPr>
        <w:rPr>
          <w:rStyle w:val="StyleUnderline"/>
        </w:rPr>
      </w:pPr>
      <w:r w:rsidRPr="00A3094C">
        <w:rPr>
          <w:rStyle w:val="StyleUnderline"/>
        </w:rPr>
        <w:t>In most states, ex-offenders are deprived of political rights at least temporarily. They are ineligible to vote, to be elected to public office, and to serve as jurors</w:t>
      </w:r>
      <w:r w:rsidRPr="00A3094C">
        <w:rPr>
          <w:sz w:val="16"/>
        </w:rPr>
        <w:t xml:space="preserve">. </w:t>
      </w:r>
      <w:r w:rsidRPr="00A3094C">
        <w:rPr>
          <w:sz w:val="16"/>
        </w:rPr>
        <w:footnoteReference w:customMarkFollows="1" w:id="40"/>
        <w:t xml:space="preserve">62 </w:t>
      </w:r>
      <w:r w:rsidRPr="00A3094C">
        <w:rPr>
          <w:rStyle w:val="Emphasis"/>
        </w:rPr>
        <w:t>These restrictions strike at the core of the traditional understanding of citizenship, as outlined in the U.S. Constitution.</w:t>
      </w:r>
      <w:r w:rsidRPr="00A3094C">
        <w:rPr>
          <w:sz w:val="16"/>
        </w:rPr>
        <w:t xml:space="preserve"> </w:t>
      </w:r>
      <w:r w:rsidRPr="00A3094C">
        <w:rPr>
          <w:sz w:val="16"/>
        </w:rPr>
        <w:footnoteReference w:customMarkFollows="1" w:id="41"/>
        <w:t xml:space="preserve">63 While in many states the exclusion ends with the expiration of the maximum sentence, in others it amounts to a life-long ban. </w:t>
      </w:r>
      <w:r w:rsidRPr="00A3094C">
        <w:rPr>
          <w:sz w:val="16"/>
        </w:rPr>
        <w:footnoteReference w:customMarkFollows="1" w:id="42"/>
        <w:t xml:space="preserve">64 In the latter, ex-offenders' voting rights can be restored only through gubernatorial pardons. Pardons, however, are rare. </w:t>
      </w:r>
      <w:r w:rsidRPr="00A3094C">
        <w:rPr>
          <w:sz w:val="16"/>
        </w:rPr>
        <w:footnoteReference w:customMarkFollows="1" w:id="43"/>
        <w:t xml:space="preserve">65 The denial of political rights has been part of collateral sentencing consequences since the founding of this </w:t>
      </w:r>
      <w:proofErr w:type="gramStart"/>
      <w:r w:rsidRPr="00A3094C">
        <w:rPr>
          <w:sz w:val="16"/>
        </w:rPr>
        <w:t>country, and</w:t>
      </w:r>
      <w:proofErr w:type="gramEnd"/>
      <w:r w:rsidRPr="00A3094C">
        <w:rPr>
          <w:sz w:val="16"/>
        </w:rPr>
        <w:t xml:space="preserve"> existed in England even before then. </w:t>
      </w:r>
      <w:r w:rsidRPr="00A3094C">
        <w:rPr>
          <w:sz w:val="16"/>
        </w:rPr>
        <w:footnoteReference w:customMarkFollows="1" w:id="44"/>
        <w:t>66 Justifications for this exclusion have changed over time, but today many states defend the disenfranchisement of ex-offenders with a "purity of the ballot box" argument</w:t>
      </w:r>
      <w:r w:rsidRPr="00A3094C">
        <w:rPr>
          <w:rStyle w:val="StyleUnderline"/>
        </w:rPr>
        <w:t>. Ex-offenders are assumed either to engage in election fraud or to vote in an anti-democratic, anti-rule-of-law manne</w:t>
      </w:r>
      <w:r w:rsidRPr="00A3094C">
        <w:rPr>
          <w:sz w:val="16"/>
        </w:rPr>
        <w:t xml:space="preserve">r. </w:t>
      </w:r>
      <w:r w:rsidRPr="00A3094C">
        <w:rPr>
          <w:sz w:val="16"/>
        </w:rPr>
        <w:footnoteReference w:customMarkFollows="1" w:id="45"/>
        <w:t xml:space="preserve">67 </w:t>
      </w:r>
      <w:r w:rsidRPr="00A3094C">
        <w:rPr>
          <w:rStyle w:val="StyleUnderline"/>
        </w:rPr>
        <w:t>The latter claim especially pertains to the election of judges and prosecutors, where it is feared that ex-offenders might elect a public official who is "soft" on offenders or fails to enforce the law.</w:t>
      </w:r>
      <w:r w:rsidRPr="00A3094C">
        <w:rPr>
          <w:sz w:val="16"/>
        </w:rPr>
        <w:t xml:space="preserve"> </w:t>
      </w:r>
      <w:r w:rsidRPr="00A3094C">
        <w:rPr>
          <w:sz w:val="16"/>
        </w:rPr>
        <w:footnoteReference w:customMarkFollows="1" w:id="46"/>
        <w:t xml:space="preserve">68 No empirical evidence, however, substantiates either of these claims. </w:t>
      </w:r>
      <w:r w:rsidRPr="00A3094C">
        <w:rPr>
          <w:sz w:val="16"/>
        </w:rPr>
        <w:footnoteReference w:customMarkFollows="1" w:id="47"/>
        <w:t xml:space="preserve">69 Despite their long-standing existence, some of the most restrictive denials of the franchise to ex-offenders grew out of attempts to disenfranchise </w:t>
      </w:r>
      <w:proofErr w:type="gramStart"/>
      <w:r w:rsidRPr="00A3094C">
        <w:rPr>
          <w:sz w:val="16"/>
        </w:rPr>
        <w:t>African-Americans</w:t>
      </w:r>
      <w:proofErr w:type="gramEnd"/>
      <w:r w:rsidRPr="00A3094C">
        <w:rPr>
          <w:sz w:val="16"/>
        </w:rPr>
        <w:t xml:space="preserve"> after Reconstruction. </w:t>
      </w:r>
      <w:r w:rsidRPr="00A3094C">
        <w:rPr>
          <w:sz w:val="16"/>
        </w:rPr>
        <w:footnoteReference w:customMarkFollows="1" w:id="48"/>
        <w:t xml:space="preserve">70 The Supreme Court, in Richardson v. Ramirez, generally upheld a state's right to deprive ex-offenders of the right to vote. </w:t>
      </w:r>
      <w:r w:rsidRPr="00A3094C">
        <w:rPr>
          <w:sz w:val="16"/>
        </w:rPr>
        <w:footnoteReference w:customMarkFollows="1" w:id="49"/>
        <w:t xml:space="preserve">71 In Hunter v. Underwood, however, the Court declared a state constitutional provision to that effect in violation of the Fourteenth Amendment's Equal Protection Clause, since its passage had been motivated by discriminatory intent and it continued to have a disproportionate impact on African-Americans. </w:t>
      </w:r>
      <w:r w:rsidRPr="00A3094C">
        <w:rPr>
          <w:sz w:val="16"/>
        </w:rPr>
        <w:footnoteReference w:customMarkFollows="1" w:id="50"/>
        <w:t>72 Despite this ruling</w:t>
      </w:r>
      <w:r w:rsidRPr="00A3094C">
        <w:rPr>
          <w:rStyle w:val="StyleUnderline"/>
        </w:rPr>
        <w:t xml:space="preserve">, fourteen states still deprive ex-offenders of the right to vote virtually for life, even though there is evidence indicating the disproportionate racial impact of their disenfranchisement laws. </w:t>
      </w:r>
      <w:r w:rsidRPr="00A3094C">
        <w:rPr>
          <w:sz w:val="16"/>
        </w:rPr>
        <w:footnoteReference w:customMarkFollows="1" w:id="51"/>
        <w:t xml:space="preserve">73 </w:t>
      </w:r>
      <w:r w:rsidRPr="00A3094C">
        <w:rPr>
          <w:rStyle w:val="Emphasis"/>
        </w:rPr>
        <w:t>Such exclusion is still more disturbing as the right to vote has been expanded in the twentieth century to include ever-larger segments of society.</w:t>
      </w:r>
      <w:r w:rsidRPr="00A3094C">
        <w:rPr>
          <w:sz w:val="16"/>
        </w:rPr>
        <w:t xml:space="preserve"> Not only have constitutional amendments granted voting rights to </w:t>
      </w:r>
      <w:proofErr w:type="gramStart"/>
      <w:r w:rsidRPr="00A3094C">
        <w:rPr>
          <w:sz w:val="16"/>
        </w:rPr>
        <w:t>African-Americans</w:t>
      </w:r>
      <w:proofErr w:type="gramEnd"/>
      <w:r w:rsidRPr="00A3094C">
        <w:rPr>
          <w:sz w:val="16"/>
        </w:rPr>
        <w:t xml:space="preserve">, women, the poor, and those over eighteen, </w:t>
      </w:r>
      <w:r w:rsidRPr="00A3094C">
        <w:rPr>
          <w:sz w:val="16"/>
        </w:rPr>
        <w:footnoteReference w:customMarkFollows="1" w:id="52"/>
        <w:t xml:space="preserve">74 but the courts and federal legislation also have helped open the ballot box to underrepresented groups. </w:t>
      </w:r>
      <w:r w:rsidRPr="00A3094C">
        <w:rPr>
          <w:sz w:val="16"/>
        </w:rPr>
        <w:footnoteReference w:customMarkFollows="1" w:id="53"/>
        <w:t xml:space="preserve">75 </w:t>
      </w:r>
      <w:r w:rsidRPr="00A3094C">
        <w:rPr>
          <w:rStyle w:val="Emphasis"/>
        </w:rPr>
        <w:t xml:space="preserve">The exclusion of ex-offenders from voting rights is particularly dramatic and of symbolic importance since political rights have traditionally "conferred a minimum of social dignity" upon their recipient. </w:t>
      </w:r>
      <w:r w:rsidRPr="00A3094C">
        <w:rPr>
          <w:rStyle w:val="Emphasis"/>
        </w:rPr>
        <w:footnoteReference w:customMarkFollows="1" w:id="54"/>
        <w:t xml:space="preserve">76 Without voting rights, an individual "is not a member [of a democratic political community] at all." </w:t>
      </w:r>
      <w:r w:rsidRPr="00A3094C">
        <w:rPr>
          <w:rStyle w:val="Emphasis"/>
        </w:rPr>
        <w:footnoteReference w:customMarkFollows="1" w:id="55"/>
        <w:t xml:space="preserve">77 A restriction on the right to vote, therefore, indicates exclusion from the polity </w:t>
      </w:r>
      <w:r w:rsidRPr="00A3094C">
        <w:rPr>
          <w:rStyle w:val="Emphasis"/>
        </w:rPr>
        <w:footnoteReference w:customMarkFollows="1" w:id="56"/>
        <w:t xml:space="preserve">78 and undermines an individual's dignity as a citizen. </w:t>
      </w:r>
      <w:r w:rsidRPr="00A3094C">
        <w:rPr>
          <w:sz w:val="16"/>
        </w:rPr>
        <w:t xml:space="preserve">In recent years, the disenfranchisement of ex-offenders has attracted increased attention, especially </w:t>
      </w:r>
      <w:proofErr w:type="gramStart"/>
      <w:r w:rsidRPr="00A3094C">
        <w:rPr>
          <w:sz w:val="16"/>
        </w:rPr>
        <w:t>in light of</w:t>
      </w:r>
      <w:proofErr w:type="gramEnd"/>
      <w:r w:rsidRPr="00A3094C">
        <w:rPr>
          <w:sz w:val="16"/>
        </w:rPr>
        <w:t xml:space="preserve"> its racially discriminatory impact. Thirty-six percent of the estimated 3.9 million Americans who are currently or permanently disenfranchised because of their felony record are </w:t>
      </w:r>
      <w:proofErr w:type="gramStart"/>
      <w:r w:rsidRPr="00A3094C">
        <w:rPr>
          <w:sz w:val="16"/>
        </w:rPr>
        <w:t>African-American</w:t>
      </w:r>
      <w:proofErr w:type="gramEnd"/>
      <w:r w:rsidRPr="00A3094C">
        <w:rPr>
          <w:sz w:val="16"/>
        </w:rPr>
        <w:t xml:space="preserve"> men. </w:t>
      </w:r>
      <w:r w:rsidRPr="00A3094C">
        <w:rPr>
          <w:sz w:val="16"/>
        </w:rPr>
        <w:footnoteReference w:customMarkFollows="1" w:id="57"/>
        <w:t xml:space="preserve">79 This means that thirteen percent of the black adult male population is denied the right to vote. </w:t>
      </w:r>
      <w:r w:rsidRPr="00A3094C">
        <w:rPr>
          <w:sz w:val="16"/>
        </w:rPr>
        <w:footnoteReference w:customMarkFollows="1" w:id="58"/>
        <w:t xml:space="preserve">80 An attempt to pass a congressional bill restoring voting rights in federal elections to all ex-convicts who have been released from prison, however, failed. </w:t>
      </w:r>
      <w:r w:rsidRPr="00A3094C">
        <w:rPr>
          <w:sz w:val="16"/>
        </w:rPr>
        <w:footnoteReference w:customMarkFollows="1" w:id="59"/>
        <w:t xml:space="preserve">81 The main battleground for the restoration of voting rights to ex-offenders should be in the states, since it is the states that set eligibility requirements for both state and federal elections. </w:t>
      </w:r>
      <w:r w:rsidRPr="00A3094C">
        <w:rPr>
          <w:rStyle w:val="StyleUnderline"/>
        </w:rPr>
        <w:footnoteReference w:customMarkFollows="1" w:id="60"/>
        <w:t>82 So far, however, there has been insufficient concern about the issue to lead to the reinstatement of political rights to ex-offenders.</w:t>
      </w:r>
    </w:p>
    <w:p w14:paraId="47685EEF" w14:textId="77777777" w:rsidR="0020575E" w:rsidRPr="00A32831" w:rsidRDefault="0020575E" w:rsidP="0020575E"/>
    <w:p w14:paraId="40E780CA" w14:textId="77777777" w:rsidR="0020575E" w:rsidRDefault="0020575E" w:rsidP="0020575E">
      <w:pPr>
        <w:pStyle w:val="Heading3"/>
      </w:pPr>
      <w:r>
        <w:t>Internals: CC Deny Citizenship Rights</w:t>
      </w:r>
    </w:p>
    <w:p w14:paraId="0C44ABAA" w14:textId="77777777" w:rsidR="0020575E" w:rsidRDefault="0020575E" w:rsidP="0020575E"/>
    <w:p w14:paraId="417A49E9" w14:textId="77777777" w:rsidR="0020575E" w:rsidRPr="00A3094C" w:rsidRDefault="0020575E" w:rsidP="0020575E">
      <w:pPr>
        <w:pStyle w:val="Heading4"/>
        <w:rPr>
          <w:rFonts w:cs="Arial"/>
        </w:rPr>
      </w:pPr>
      <w:r w:rsidRPr="00A3094C">
        <w:rPr>
          <w:rFonts w:eastAsia="Arial" w:cs="Arial"/>
        </w:rPr>
        <w:t>The Denial of Social and Welfare Rights devastates families, excluding them from citizenship</w:t>
      </w:r>
    </w:p>
    <w:p w14:paraId="0B724F7B" w14:textId="77777777" w:rsidR="0020575E" w:rsidRPr="00A3094C" w:rsidRDefault="0020575E" w:rsidP="0020575E">
      <w:proofErr w:type="spellStart"/>
      <w:r w:rsidRPr="00A3094C">
        <w:rPr>
          <w:rStyle w:val="Heading4Char"/>
          <w:rFonts w:cs="Arial"/>
        </w:rPr>
        <w:t>Demleitner</w:t>
      </w:r>
      <w:proofErr w:type="spellEnd"/>
      <w:r w:rsidRPr="00A3094C">
        <w:rPr>
          <w:rStyle w:val="Heading4Char"/>
          <w:rFonts w:cs="Arial"/>
        </w:rPr>
        <w:t xml:space="preserve"> 99.</w:t>
      </w:r>
      <w:r w:rsidRPr="00A3094C">
        <w:t xml:space="preserve"> Nora V. </w:t>
      </w:r>
      <w:proofErr w:type="spellStart"/>
      <w:r w:rsidRPr="00A3094C">
        <w:t>Demleitner</w:t>
      </w:r>
      <w:proofErr w:type="spellEnd"/>
      <w:r w:rsidRPr="00A3094C">
        <w:t xml:space="preserve"> is a Visiting Professor at the University of Michigan Law School (Fall 1999), and a Professor at St. Mary's University School of Law, San Antonio. She received a B.A. from Bates College, a J.D. from Yale Law School, and an LL.M. from Georgetown University Law Center. Winter 1999, “</w:t>
      </w:r>
      <w:hyperlink r:id="rId27" w:history="1">
        <w:r w:rsidRPr="00A3094C">
          <w:rPr>
            <w:rStyle w:val="Hyperlink"/>
          </w:rPr>
          <w:t xml:space="preserve">SYMPOSIUM: Preventing Internal Exile: The Need for Restrictions on </w:t>
        </w:r>
      </w:hyperlink>
      <w:hyperlink r:id="rId28" w:history="1">
        <w:r w:rsidRPr="00A3094C">
          <w:rPr>
            <w:rStyle w:val="Hyperlink"/>
          </w:rPr>
          <w:t>Collateral</w:t>
        </w:r>
      </w:hyperlink>
      <w:hyperlink r:id="rId29" w:history="1">
        <w:r w:rsidRPr="00A3094C">
          <w:rPr>
            <w:rStyle w:val="Hyperlink"/>
          </w:rPr>
          <w:t xml:space="preserve"> </w:t>
        </w:r>
      </w:hyperlink>
      <w:hyperlink r:id="rId30" w:history="1">
        <w:r w:rsidRPr="00A3094C">
          <w:rPr>
            <w:rStyle w:val="Hyperlink"/>
          </w:rPr>
          <w:t>Sentencing</w:t>
        </w:r>
      </w:hyperlink>
      <w:hyperlink r:id="rId31" w:history="1">
        <w:r w:rsidRPr="00A3094C">
          <w:rPr>
            <w:rStyle w:val="Hyperlink"/>
          </w:rPr>
          <w:t xml:space="preserve"> Consequences </w:t>
        </w:r>
      </w:hyperlink>
      <w:r w:rsidRPr="00A3094C">
        <w:t xml:space="preserve">” Stanford Law and Policy Review. </w:t>
      </w:r>
      <w:proofErr w:type="spellStart"/>
      <w:r w:rsidRPr="00A3094C">
        <w:t>eg.</w:t>
      </w:r>
      <w:proofErr w:type="spellEnd"/>
    </w:p>
    <w:p w14:paraId="3B5FE160" w14:textId="77777777" w:rsidR="0020575E" w:rsidRPr="00A3094C" w:rsidRDefault="0020575E" w:rsidP="0020575E">
      <w:pPr>
        <w:rPr>
          <w:rStyle w:val="StyleUnderline"/>
        </w:rPr>
      </w:pPr>
      <w:r w:rsidRPr="00A3094C">
        <w:rPr>
          <w:rStyle w:val="Emphasis"/>
        </w:rPr>
        <w:t>The deprivation of social and welfare rights has further marginalized some ex-offenders.</w:t>
      </w:r>
      <w:r w:rsidRPr="00A3094C">
        <w:rPr>
          <w:sz w:val="16"/>
        </w:rPr>
        <w:t xml:space="preserve"> Welfare programs, designed to assist those in need, may provide cash, in-kind, or indirect financial assistance. </w:t>
      </w:r>
      <w:r w:rsidRPr="00A3094C">
        <w:rPr>
          <w:rStyle w:val="StyleUnderline"/>
        </w:rPr>
        <w:t xml:space="preserve">The welfare system provides a threshold beyond which no member of society should fall, while at the same time assisting recipients in getting back into the labor market. </w:t>
      </w:r>
      <w:proofErr w:type="gramStart"/>
      <w:r w:rsidRPr="00A3094C">
        <w:rPr>
          <w:sz w:val="16"/>
        </w:rPr>
        <w:t>A number of</w:t>
      </w:r>
      <w:proofErr w:type="gramEnd"/>
      <w:r w:rsidRPr="00A3094C">
        <w:rPr>
          <w:sz w:val="16"/>
        </w:rPr>
        <w:t xml:space="preserve"> welfare support programs explicitly exclude certain types of offenders from their coverage. For example, conviction for a drug trafficking offense can lead to the discretionary denial of certain federal benefits for up to five years for first offenders and up to ten years for those with one prior conviction. </w:t>
      </w:r>
      <w:r w:rsidRPr="00A3094C">
        <w:rPr>
          <w:sz w:val="16"/>
        </w:rPr>
        <w:footnoteReference w:customMarkFollows="1" w:id="61"/>
        <w:t xml:space="preserve">83 Upon a third conviction, the court must exclude the offender from such benefit programs permanently. </w:t>
      </w:r>
      <w:r w:rsidRPr="00A3094C">
        <w:rPr>
          <w:sz w:val="16"/>
        </w:rPr>
        <w:footnoteReference w:customMarkFollows="1" w:id="62"/>
        <w:t xml:space="preserve">84 Even those convicted of drug possession offenses may be barred from the receipt of federal benefits--up to one year for first offenders and up to five years for repeat offenders. </w:t>
      </w:r>
      <w:r w:rsidRPr="00A3094C">
        <w:rPr>
          <w:sz w:val="16"/>
        </w:rPr>
        <w:footnoteReference w:customMarkFollows="1" w:id="63"/>
        <w:t xml:space="preserve">85 Ex-drug offenders also are excluded from the receipt of grants, contracts, loans, and licenses, including federal education and small business loans. </w:t>
      </w:r>
      <w:r w:rsidRPr="00A3094C">
        <w:rPr>
          <w:sz w:val="16"/>
        </w:rPr>
        <w:footnoteReference w:customMarkFollows="1" w:id="64"/>
        <w:t xml:space="preserve">86 Another federal law bans individuals convicted of certain drug offenses from receiving assistance through select state programs--including food stamps--that are partially funded by the federal government. </w:t>
      </w:r>
      <w:r w:rsidRPr="00A3094C">
        <w:rPr>
          <w:sz w:val="16"/>
        </w:rPr>
        <w:footnoteReference w:customMarkFollows="1" w:id="65"/>
        <w:t>87 While the denial of assistance to ex-offenders is not designed to affect the public support granted other family members</w:t>
      </w:r>
      <w:r w:rsidRPr="00A3094C">
        <w:rPr>
          <w:rStyle w:val="Emphasis"/>
        </w:rPr>
        <w:t xml:space="preserve">, any denial of benefits to one family member necessarily impacts the others. </w:t>
      </w:r>
      <w:r w:rsidRPr="00A3094C">
        <w:rPr>
          <w:sz w:val="16"/>
        </w:rPr>
        <w:footnoteReference w:customMarkFollows="1" w:id="66"/>
        <w:t>88 In that respect, the loss of social and welfare benefits differs from restrictions on civil and political rights. While civil and political rights serve a more symbolic function and largely concern only individuals</w:t>
      </w:r>
      <w:r w:rsidRPr="00A3094C">
        <w:rPr>
          <w:rStyle w:val="Emphasis"/>
        </w:rPr>
        <w:t xml:space="preserve">, denial of social and welfare rights directly impacts the economic well-being of ex-offenders and their families. </w:t>
      </w:r>
      <w:r w:rsidRPr="00A3094C">
        <w:rPr>
          <w:rStyle w:val="StyleUnderline"/>
        </w:rPr>
        <w:t>The welfare state increases the collateral harm that ex-offenders, their families, and their communities suffer by partially excluding them from its coverage. Denials of social and welfare rights have a new and different quality because of their broad and potentially dramatic impact on the ex-offender and her environment. Ultimately, they serve to exclude the ex-offender from sharing in the benefits the modern state grants to those it considers full citizens.</w:t>
      </w:r>
    </w:p>
    <w:p w14:paraId="6855E27C" w14:textId="77777777" w:rsidR="0020575E" w:rsidRPr="00FF37F5" w:rsidRDefault="0020575E" w:rsidP="0020575E"/>
    <w:p w14:paraId="2D72A49A" w14:textId="77777777" w:rsidR="001C0CA6" w:rsidRDefault="001C0CA6" w:rsidP="001C0CA6">
      <w:pPr>
        <w:pStyle w:val="Heading2"/>
      </w:pPr>
      <w:r>
        <w:t>Employment Impacts</w:t>
      </w:r>
    </w:p>
    <w:p w14:paraId="2221611E" w14:textId="77777777" w:rsidR="001C0CA6" w:rsidRDefault="001C0CA6" w:rsidP="001C0CA6">
      <w:pPr>
        <w:pStyle w:val="Heading3"/>
      </w:pPr>
      <w:r>
        <w:t>Internals: Employment Internals</w:t>
      </w:r>
    </w:p>
    <w:p w14:paraId="75978613" w14:textId="77777777" w:rsidR="001C0CA6" w:rsidRPr="00A3094C" w:rsidRDefault="001C0CA6" w:rsidP="001C0CA6">
      <w:pPr>
        <w:pStyle w:val="Heading4"/>
        <w:rPr>
          <w:rFonts w:cs="Arial"/>
        </w:rPr>
      </w:pPr>
      <w:r w:rsidRPr="00A3094C">
        <w:rPr>
          <w:rFonts w:cs="Arial"/>
        </w:rPr>
        <w:t>Restricted Access to Employment destroys potential to reintegrate into society</w:t>
      </w:r>
    </w:p>
    <w:p w14:paraId="50FF805C" w14:textId="77777777" w:rsidR="001C0CA6" w:rsidRPr="00A3094C" w:rsidRDefault="001C0CA6" w:rsidP="001C0CA6">
      <w:proofErr w:type="spellStart"/>
      <w:r w:rsidRPr="00A3094C">
        <w:rPr>
          <w:rStyle w:val="Heading4Char"/>
          <w:rFonts w:cs="Arial"/>
        </w:rPr>
        <w:t>Demleitner</w:t>
      </w:r>
      <w:proofErr w:type="spellEnd"/>
      <w:r w:rsidRPr="00A3094C">
        <w:rPr>
          <w:rStyle w:val="Heading4Char"/>
          <w:rFonts w:cs="Arial"/>
        </w:rPr>
        <w:t xml:space="preserve"> 99.</w:t>
      </w:r>
      <w:r w:rsidRPr="00A3094C">
        <w:t xml:space="preserve"> Nora V. </w:t>
      </w:r>
      <w:proofErr w:type="spellStart"/>
      <w:r w:rsidRPr="00A3094C">
        <w:t>Demleitner</w:t>
      </w:r>
      <w:proofErr w:type="spellEnd"/>
      <w:r w:rsidRPr="00A3094C">
        <w:t xml:space="preserve"> is a Visiting Professor at the University of Michigan Law School (Fall 1999), and a Professor at St. Mary's University School of Law, San Antonio. She received a B.A. from Bates College, a J.D. from Yale Law School, and an LL.M. from Georgetown University Law Center. Winter 1999, “</w:t>
      </w:r>
      <w:hyperlink r:id="rId32" w:history="1">
        <w:r w:rsidRPr="00A3094C">
          <w:rPr>
            <w:rStyle w:val="Hyperlink"/>
          </w:rPr>
          <w:t xml:space="preserve">SYMPOSIUM: Preventing Internal Exile: The Need for Restrictions on </w:t>
        </w:r>
      </w:hyperlink>
      <w:hyperlink r:id="rId33" w:history="1">
        <w:r w:rsidRPr="00A3094C">
          <w:rPr>
            <w:rStyle w:val="Hyperlink"/>
          </w:rPr>
          <w:t>Collateral</w:t>
        </w:r>
      </w:hyperlink>
      <w:hyperlink r:id="rId34" w:history="1">
        <w:r w:rsidRPr="00A3094C">
          <w:rPr>
            <w:rStyle w:val="Hyperlink"/>
          </w:rPr>
          <w:t xml:space="preserve"> </w:t>
        </w:r>
      </w:hyperlink>
      <w:hyperlink r:id="rId35" w:history="1">
        <w:r w:rsidRPr="00A3094C">
          <w:rPr>
            <w:rStyle w:val="Hyperlink"/>
          </w:rPr>
          <w:t>Sentencing</w:t>
        </w:r>
      </w:hyperlink>
      <w:hyperlink r:id="rId36" w:history="1">
        <w:r w:rsidRPr="00A3094C">
          <w:rPr>
            <w:rStyle w:val="Hyperlink"/>
          </w:rPr>
          <w:t xml:space="preserve"> Consequences </w:t>
        </w:r>
      </w:hyperlink>
      <w:r w:rsidRPr="00A3094C">
        <w:t xml:space="preserve">” Stanford Law and Policy Review. </w:t>
      </w:r>
      <w:proofErr w:type="spellStart"/>
      <w:r w:rsidRPr="00A3094C">
        <w:t>eg.</w:t>
      </w:r>
      <w:proofErr w:type="spellEnd"/>
      <w:r w:rsidRPr="00A3094C">
        <w:t xml:space="preserve"> </w:t>
      </w:r>
    </w:p>
    <w:p w14:paraId="74EC3431" w14:textId="77777777" w:rsidR="001C0CA6" w:rsidRPr="00A3094C" w:rsidRDefault="001C0CA6" w:rsidP="001C0CA6">
      <w:pPr>
        <w:rPr>
          <w:sz w:val="16"/>
        </w:rPr>
      </w:pPr>
      <w:r w:rsidRPr="00A3094C">
        <w:rPr>
          <w:rStyle w:val="Emphasis"/>
        </w:rPr>
        <w:t>Ex-offenders are formally excluded from many employment opportunities that require professional licenses</w:t>
      </w:r>
      <w:r w:rsidRPr="00A3094C">
        <w:rPr>
          <w:sz w:val="16"/>
        </w:rPr>
        <w:t xml:space="preserve">. </w:t>
      </w:r>
      <w:r w:rsidRPr="00A3094C">
        <w:rPr>
          <w:sz w:val="16"/>
        </w:rPr>
        <w:footnoteReference w:customMarkFollows="1" w:id="67"/>
        <w:t xml:space="preserve">47 Such positions range from lawyer to bartender, from nurse to barber, from plumber to beautician. </w:t>
      </w:r>
      <w:r w:rsidRPr="00A3094C">
        <w:rPr>
          <w:sz w:val="16"/>
        </w:rPr>
        <w:footnoteReference w:customMarkFollows="1" w:id="68"/>
        <w:t xml:space="preserve">48 Professional disqualifications </w:t>
      </w:r>
      <w:r w:rsidRPr="00A3094C">
        <w:rPr>
          <w:rStyle w:val="StyleUnderline"/>
        </w:rPr>
        <w:t>do not depend on the existence of a connection between the prior offense and the employment.</w:t>
      </w:r>
      <w:r w:rsidRPr="00A3094C">
        <w:rPr>
          <w:sz w:val="16"/>
        </w:rPr>
        <w:t xml:space="preserve"> They have traditionally been justified as necessary "to foster high professional standards," </w:t>
      </w:r>
      <w:r w:rsidRPr="00A3094C">
        <w:rPr>
          <w:sz w:val="16"/>
        </w:rPr>
        <w:footnoteReference w:customMarkFollows="1" w:id="69"/>
        <w:t xml:space="preserve">49 and have been couched in general terms, such as "good moral character." </w:t>
      </w:r>
      <w:r w:rsidRPr="00A3094C">
        <w:rPr>
          <w:sz w:val="16"/>
        </w:rPr>
        <w:footnoteReference w:customMarkFollows="1" w:id="70"/>
        <w:t xml:space="preserve">50 The Supreme Court has upheld the right of states to establish qualifications for entry into certain employment. </w:t>
      </w:r>
      <w:r w:rsidRPr="00A3094C">
        <w:rPr>
          <w:sz w:val="16"/>
        </w:rPr>
        <w:footnoteReference w:customMarkFollows="1" w:id="71"/>
        <w:t xml:space="preserve">51 Former offenders also often do not qualify for bonded positions </w:t>
      </w:r>
      <w:r w:rsidRPr="00A3094C">
        <w:rPr>
          <w:rStyle w:val="StyleUnderline"/>
        </w:rPr>
        <w:t>because insurance companies are unlikely to provide fidelity insurance to employers who knowingly hire ex-offenders</w:t>
      </w:r>
      <w:r w:rsidRPr="00A3094C">
        <w:rPr>
          <w:sz w:val="16"/>
        </w:rPr>
        <w:t xml:space="preserve">. </w:t>
      </w:r>
      <w:r w:rsidRPr="00A3094C">
        <w:rPr>
          <w:sz w:val="16"/>
        </w:rPr>
        <w:footnoteReference w:customMarkFollows="1" w:id="72"/>
        <w:t xml:space="preserve">52 Finally, as ex-offenders are frequently barred from possessing firearms, when their handling is a prerequisite for employment, ex-offenders are indirectly excluded from these jobs. </w:t>
      </w:r>
      <w:r w:rsidRPr="00A3094C">
        <w:rPr>
          <w:sz w:val="16"/>
        </w:rPr>
        <w:footnoteReference w:customMarkFollows="1" w:id="73"/>
        <w:t xml:space="preserve">53 As these restrictions indicate, felony convictions "impose . . . a status upon a person which not only makes him vulnerable to future sanctions . . . but which also seriously affects his reputation and economic opportunities." </w:t>
      </w:r>
      <w:r w:rsidRPr="00A3094C">
        <w:rPr>
          <w:sz w:val="16"/>
        </w:rPr>
        <w:footnoteReference w:customMarkFollows="1" w:id="74"/>
        <w:t xml:space="preserve">54 In recent years, the number of employment and licensing arrangements that demand the disclosure of a prior criminal record also has increased substantially, and pressure continues to add additional disclosure requirements. </w:t>
      </w:r>
      <w:r w:rsidRPr="00A3094C">
        <w:rPr>
          <w:sz w:val="16"/>
        </w:rPr>
        <w:footnoteReference w:customMarkFollows="1" w:id="75"/>
        <w:t xml:space="preserve">55 This means that ever </w:t>
      </w:r>
      <w:r w:rsidRPr="00A3094C">
        <w:rPr>
          <w:rStyle w:val="Emphasis"/>
        </w:rPr>
        <w:t>more employers are mandated to require ex-offenders to reveal their convictions, which usually will result in the denial of jobs to these applicants</w:t>
      </w:r>
      <w:r w:rsidRPr="00A3094C">
        <w:rPr>
          <w:sz w:val="16"/>
        </w:rPr>
        <w:t xml:space="preserve">. In addition, </w:t>
      </w:r>
      <w:r w:rsidRPr="00A3094C">
        <w:rPr>
          <w:rStyle w:val="Emphasis"/>
        </w:rPr>
        <w:t>ex-felons are often excluded from governmental programs because of their prior convictions</w:t>
      </w:r>
      <w:r w:rsidRPr="00A3094C">
        <w:rPr>
          <w:sz w:val="16"/>
        </w:rPr>
        <w:t xml:space="preserve">. While those exclusions tend to be connected to the underlying offense, they frequently cause ex-offenders to be virtually barred from certain employment--often jobs for which they are most qualified. The following example will show how such restrictions, which are often based on preventive grounds, may be overinclusive and unjust in individual cases. </w:t>
      </w:r>
      <w:r w:rsidRPr="00A3094C">
        <w:rPr>
          <w:rStyle w:val="StyleUnderline"/>
        </w:rPr>
        <w:t>Medicare or Medicaid service providers convicted of program-related fraud or felony narcotics offenses may be excluded from federal Medicare/Medicaid reimbursement programs</w:t>
      </w:r>
      <w:r w:rsidRPr="00A3094C">
        <w:rPr>
          <w:sz w:val="16"/>
        </w:rPr>
        <w:t xml:space="preserve">. </w:t>
      </w:r>
      <w:r w:rsidRPr="00A3094C">
        <w:rPr>
          <w:sz w:val="16"/>
        </w:rPr>
        <w:footnoteReference w:customMarkFollows="1" w:id="76"/>
        <w:t xml:space="preserve">56 Information about a provider's loss of Medicare/Medicaid reimbursement privileges is made available to health plans and to federal and state government agencies responsible for licensing. </w:t>
      </w:r>
      <w:r w:rsidRPr="00A3094C">
        <w:rPr>
          <w:sz w:val="16"/>
        </w:rPr>
        <w:footnoteReference w:customMarkFollows="1" w:id="77"/>
        <w:t xml:space="preserve">57 The potential professional ramifications of such a criminal conviction are </w:t>
      </w:r>
      <w:proofErr w:type="gramStart"/>
      <w:r w:rsidRPr="00A3094C">
        <w:rPr>
          <w:sz w:val="16"/>
        </w:rPr>
        <w:t>limitless, and</w:t>
      </w:r>
      <w:proofErr w:type="gramEnd"/>
      <w:r w:rsidRPr="00A3094C">
        <w:rPr>
          <w:sz w:val="16"/>
        </w:rPr>
        <w:t xml:space="preserve"> may lead to the exclusion of the ex-offender from employment in health care.</w:t>
      </w:r>
    </w:p>
    <w:p w14:paraId="249B35C9" w14:textId="77777777" w:rsidR="001C0CA6" w:rsidRDefault="001C0CA6" w:rsidP="001C0CA6">
      <w:pPr>
        <w:pStyle w:val="Heading3"/>
      </w:pPr>
      <w:r>
        <w:t>Internals: Fed Educ Loans/Grants</w:t>
      </w:r>
    </w:p>
    <w:p w14:paraId="716B2EC4" w14:textId="77777777" w:rsidR="001C0CA6" w:rsidRDefault="001C0CA6" w:rsidP="001C0CA6">
      <w:pPr>
        <w:rPr>
          <w:sz w:val="16"/>
        </w:rPr>
      </w:pPr>
    </w:p>
    <w:p w14:paraId="37EE11BC" w14:textId="77777777" w:rsidR="001C0CA6" w:rsidRPr="00A3094C" w:rsidRDefault="001C0CA6" w:rsidP="001C0CA6">
      <w:pPr>
        <w:pStyle w:val="Heading4"/>
        <w:rPr>
          <w:rFonts w:eastAsia="Arial" w:cs="Arial"/>
        </w:rPr>
      </w:pPr>
      <w:r w:rsidRPr="00A3094C">
        <w:rPr>
          <w:rFonts w:eastAsia="Arial" w:cs="Arial"/>
        </w:rPr>
        <w:t xml:space="preserve">Loss of Federally Funded Assistance for Higher Education close the doors for improvement and disproportionately affect black communities </w:t>
      </w:r>
    </w:p>
    <w:p w14:paraId="432B2EF1" w14:textId="77777777" w:rsidR="001C0CA6" w:rsidRPr="00A3094C" w:rsidRDefault="001C0CA6" w:rsidP="001C0CA6">
      <w:proofErr w:type="spellStart"/>
      <w:r w:rsidRPr="00A3094C">
        <w:rPr>
          <w:rStyle w:val="Heading4Char"/>
          <w:rFonts w:cs="Arial"/>
        </w:rPr>
        <w:t>Finzen</w:t>
      </w:r>
      <w:proofErr w:type="spellEnd"/>
      <w:r w:rsidRPr="00A3094C">
        <w:rPr>
          <w:rStyle w:val="Heading4Char"/>
          <w:rFonts w:cs="Arial"/>
        </w:rPr>
        <w:t xml:space="preserve"> 05.</w:t>
      </w:r>
      <w:r w:rsidRPr="00A3094C">
        <w:t xml:space="preserve"> Margaret E. </w:t>
      </w:r>
      <w:proofErr w:type="spellStart"/>
      <w:r w:rsidRPr="00A3094C">
        <w:t>Finzen</w:t>
      </w:r>
      <w:proofErr w:type="spellEnd"/>
      <w:r w:rsidRPr="00A3094C">
        <w:t xml:space="preserve">- J.D., Georgetown University Law Center (Race and American Law Class). Summer 2005, “NOTE: </w:t>
      </w:r>
      <w:hyperlink r:id="rId37" w:history="1">
        <w:r w:rsidRPr="00A3094C">
          <w:rPr>
            <w:rStyle w:val="Hyperlink"/>
          </w:rPr>
          <w:t>Systems of Oppression: The Collateral Consequences of Incarceration and Their Effects on Black Communities</w:t>
        </w:r>
      </w:hyperlink>
      <w:r w:rsidRPr="00A3094C">
        <w:t xml:space="preserve">” Georgetown Journal on Poverty, Law, &amp; Policy. </w:t>
      </w:r>
      <w:proofErr w:type="spellStart"/>
      <w:r w:rsidRPr="00A3094C">
        <w:t>eg.</w:t>
      </w:r>
      <w:proofErr w:type="spellEnd"/>
    </w:p>
    <w:p w14:paraId="6AB49EA0" w14:textId="77777777" w:rsidR="001C0CA6" w:rsidRPr="00A3094C" w:rsidRDefault="001C0CA6" w:rsidP="001C0CA6">
      <w:pPr>
        <w:rPr>
          <w:sz w:val="16"/>
        </w:rPr>
      </w:pPr>
      <w:r w:rsidRPr="00A3094C">
        <w:rPr>
          <w:sz w:val="16"/>
        </w:rPr>
        <w:t>In 1998, Congress passed the Drug Free Student Loans Act, proclaiming that "</w:t>
      </w:r>
      <w:r w:rsidRPr="00A3094C">
        <w:rPr>
          <w:rStyle w:val="Emphasis"/>
        </w:rPr>
        <w:t>any person convicted of a federal or state offense involving the possession or sale of drugs is ineligible to receive any grant, loan, or work assistance"</w:t>
      </w:r>
      <w:r w:rsidRPr="00A3094C">
        <w:rPr>
          <w:sz w:val="16"/>
        </w:rPr>
        <w:t xml:space="preserve"> to use in furtherance of higher education for a statutorily designed period of time. </w:t>
      </w:r>
      <w:r w:rsidRPr="00A3094C">
        <w:rPr>
          <w:sz w:val="16"/>
        </w:rPr>
        <w:footnoteReference w:customMarkFollows="1" w:id="78"/>
        <w:t xml:space="preserve">152 Individuals convicted of a first-time offense of drug possession are barred from receiving federal loans for one year from the date of their conviction, and a third offense of drug possession bars an individual from receiving federal higher education loans for life. </w:t>
      </w:r>
      <w:r w:rsidRPr="00A3094C">
        <w:rPr>
          <w:sz w:val="16"/>
        </w:rPr>
        <w:footnoteReference w:customMarkFollows="1" w:id="79"/>
        <w:t xml:space="preserve">153 The law treats drug sales even more harshly, banning individuals from access to higher education loans for life after just two drug sale convictions. </w:t>
      </w:r>
      <w:r w:rsidRPr="00A3094C">
        <w:rPr>
          <w:rStyle w:val="StyleUnderline"/>
        </w:rPr>
        <w:footnoteReference w:customMarkFollows="1" w:id="80"/>
        <w:t>154 Since its enactment, the ban has barred thousands of individuals from receiving financial aid for higher education.</w:t>
      </w:r>
      <w:r w:rsidRPr="00A3094C">
        <w:rPr>
          <w:sz w:val="16"/>
        </w:rPr>
        <w:t xml:space="preserve"> In fact, in the 2000-2001 school year, approximately 9,000 students were found ineligible for aid as a result of the ban. </w:t>
      </w:r>
      <w:r w:rsidRPr="00A3094C">
        <w:rPr>
          <w:sz w:val="16"/>
        </w:rPr>
        <w:footnoteReference w:customMarkFollows="1" w:id="81"/>
        <w:t xml:space="preserve">155 Out of 9.8 million individuals applying for aid for the 2001-2002 school year, 43,436 applicants were rejected for all or part of the year or risked automatic denial for failing to answer either yes or no to the question on the loan form that asks whether the applicant has ever been convicted of possessing or [*319] selling illegal drugs. </w:t>
      </w:r>
      <w:r w:rsidRPr="00A3094C">
        <w:rPr>
          <w:sz w:val="16"/>
        </w:rPr>
        <w:footnoteReference w:customMarkFollows="1" w:id="82"/>
        <w:t xml:space="preserve">156 The law's author, Representative Mark Souder (R-IN), says that he intended for the ban to apply only to students already receiving federal aid at the time of their conviction. </w:t>
      </w:r>
      <w:r w:rsidRPr="00A3094C">
        <w:rPr>
          <w:sz w:val="16"/>
        </w:rPr>
        <w:footnoteReference w:customMarkFollows="1" w:id="83"/>
        <w:t xml:space="preserve">157 However, Department of Education officials claim that they are applying the law as written when denying aid to all offenders, and any change in Department policy will only come as a result of congressional action in amending the law. </w:t>
      </w:r>
      <w:r w:rsidRPr="00A3094C">
        <w:rPr>
          <w:sz w:val="16"/>
        </w:rPr>
        <w:footnoteReference w:customMarkFollows="1" w:id="84"/>
        <w:t xml:space="preserve">158 In 2003 and 2004, several competing versions of legislation that would have amended the law were introduced during the 108th Congress. One amendment would have changed the language of the law so that the denial of aid would only apply to students receiving aid at the time that they committed their offenses. </w:t>
      </w:r>
      <w:r w:rsidRPr="00A3094C">
        <w:rPr>
          <w:sz w:val="16"/>
        </w:rPr>
        <w:footnoteReference w:customMarkFollows="1" w:id="85"/>
        <w:t xml:space="preserve">159 A second amendment would have repealed the law altogether. </w:t>
      </w:r>
      <w:r w:rsidRPr="00A3094C">
        <w:rPr>
          <w:sz w:val="16"/>
        </w:rPr>
        <w:footnoteReference w:customMarkFollows="1" w:id="86"/>
        <w:t xml:space="preserve">160 Finally, a third amendment requested funding for the law so that the government could continue to enforce it as written. </w:t>
      </w:r>
      <w:r w:rsidRPr="00A3094C">
        <w:rPr>
          <w:sz w:val="16"/>
        </w:rPr>
        <w:footnoteReference w:customMarkFollows="1" w:id="87"/>
        <w:t xml:space="preserve">161 However, both chambers of Congress allowed these various proposed bills to languish and die in committee without ever coming to the full House or Senate for a vote, which means that unless these bills are reintroduced, the law will continue to be enforced as written. </w:t>
      </w:r>
      <w:r w:rsidRPr="00A3094C">
        <w:rPr>
          <w:rStyle w:val="Emphasis"/>
        </w:rPr>
        <w:t xml:space="preserve">The inability to receive financial aid for higher education is likely to have a strong impact on an ex-offender's ability to receive further education and </w:t>
      </w:r>
      <w:proofErr w:type="gramStart"/>
      <w:r w:rsidRPr="00A3094C">
        <w:rPr>
          <w:rStyle w:val="Emphasis"/>
        </w:rPr>
        <w:t>employment, and</w:t>
      </w:r>
      <w:proofErr w:type="gramEnd"/>
      <w:r w:rsidRPr="00A3094C">
        <w:rPr>
          <w:rStyle w:val="Emphasis"/>
        </w:rPr>
        <w:t xml:space="preserve"> will ultimately have far-reaching consequences for Black communities</w:t>
      </w:r>
      <w:r w:rsidRPr="00A3094C">
        <w:rPr>
          <w:sz w:val="16"/>
        </w:rPr>
        <w:t xml:space="preserve">. Eric </w:t>
      </w:r>
      <w:proofErr w:type="spellStart"/>
      <w:r w:rsidRPr="00A3094C">
        <w:rPr>
          <w:sz w:val="16"/>
        </w:rPr>
        <w:t>Blumenson</w:t>
      </w:r>
      <w:proofErr w:type="spellEnd"/>
      <w:r w:rsidRPr="00A3094C">
        <w:rPr>
          <w:sz w:val="16"/>
        </w:rPr>
        <w:t xml:space="preserve"> and Evan Nilsen document that "</w:t>
      </w:r>
      <w:r w:rsidRPr="00A3094C">
        <w:rPr>
          <w:rStyle w:val="StyleUnderline"/>
        </w:rPr>
        <w:t>prisoners as a class are substantially undereducated: almost one-half lack a high school education, and one in five are completely illiterate."</w:t>
      </w:r>
      <w:r w:rsidRPr="00A3094C">
        <w:rPr>
          <w:sz w:val="16"/>
        </w:rPr>
        <w:t xml:space="preserve"> </w:t>
      </w:r>
      <w:r w:rsidRPr="00A3094C">
        <w:rPr>
          <w:sz w:val="16"/>
        </w:rPr>
        <w:footnoteReference w:customMarkFollows="1" w:id="88"/>
        <w:t xml:space="preserve">162 </w:t>
      </w:r>
      <w:proofErr w:type="spellStart"/>
      <w:r w:rsidRPr="00A3094C">
        <w:rPr>
          <w:sz w:val="16"/>
        </w:rPr>
        <w:t>Blumenson</w:t>
      </w:r>
      <w:proofErr w:type="spellEnd"/>
      <w:r w:rsidRPr="00A3094C">
        <w:rPr>
          <w:sz w:val="16"/>
        </w:rPr>
        <w:t xml:space="preserve"> and Nilsen further explain that "the law denying college loans to students with drug convictions badly discriminates because </w:t>
      </w:r>
      <w:r w:rsidRPr="00A3094C">
        <w:rPr>
          <w:rStyle w:val="Emphasis"/>
        </w:rPr>
        <w:t>it exactly reproduces the disproportionate percentage of African Americans convicted of these offenses."</w:t>
      </w:r>
      <w:r w:rsidRPr="00A3094C">
        <w:rPr>
          <w:sz w:val="16"/>
        </w:rPr>
        <w:t xml:space="preserve"> </w:t>
      </w:r>
      <w:r w:rsidRPr="00A3094C">
        <w:rPr>
          <w:sz w:val="16"/>
        </w:rPr>
        <w:footnoteReference w:customMarkFollows="1" w:id="89"/>
        <w:t xml:space="preserve">163 As long as Black people approximate 55% of those convicted of drug possession and 74% of those sentenced to prison for drug possession, then such laws will continue to have a disproportionate effect on Black people. </w:t>
      </w:r>
      <w:r w:rsidRPr="00A3094C">
        <w:rPr>
          <w:sz w:val="16"/>
        </w:rPr>
        <w:footnoteReference w:customMarkFollows="1" w:id="90"/>
        <w:t>164 As Allard states, "</w:t>
      </w:r>
      <w:r w:rsidRPr="00A3094C">
        <w:rPr>
          <w:rStyle w:val="Emphasis"/>
        </w:rPr>
        <w:t>lack of formal education is a key factor contributing to the high levels of low-wage work, underemployment, and unemployment experienced by a significant number of [*320] women entering the criminal justice system."</w:t>
      </w:r>
      <w:r w:rsidRPr="00A3094C">
        <w:rPr>
          <w:sz w:val="16"/>
        </w:rPr>
        <w:t xml:space="preserve"> </w:t>
      </w:r>
      <w:r w:rsidRPr="00A3094C">
        <w:rPr>
          <w:sz w:val="16"/>
        </w:rPr>
        <w:footnoteReference w:customMarkFollows="1" w:id="91"/>
        <w:t xml:space="preserve">165 As the doors for further educational advancement are closed even more tightly as a result of drug convictions, it is less likely that ex-offenders will be able to achieve stable employment after incarceration. </w:t>
      </w:r>
      <w:r w:rsidRPr="00A3094C">
        <w:rPr>
          <w:sz w:val="16"/>
        </w:rPr>
        <w:footnoteReference w:customMarkFollows="1" w:id="92"/>
        <w:t>166</w:t>
      </w:r>
    </w:p>
    <w:p w14:paraId="2E36607B" w14:textId="77777777" w:rsidR="001C0CA6" w:rsidRDefault="001C0CA6" w:rsidP="001C0CA6">
      <w:pPr>
        <w:pStyle w:val="Heading3"/>
        <w:rPr>
          <w:rFonts w:eastAsia="Arial"/>
        </w:rPr>
      </w:pPr>
      <w:r>
        <w:rPr>
          <w:rFonts w:eastAsia="Arial"/>
        </w:rPr>
        <w:t xml:space="preserve">Impacts: Employment </w:t>
      </w:r>
    </w:p>
    <w:p w14:paraId="772007ED" w14:textId="77777777" w:rsidR="001C0CA6" w:rsidRPr="0020575E" w:rsidRDefault="001C0CA6" w:rsidP="001C0CA6"/>
    <w:p w14:paraId="22DD069C" w14:textId="77777777" w:rsidR="001C0CA6" w:rsidRPr="00A3094C" w:rsidRDefault="001C0CA6" w:rsidP="001C0CA6">
      <w:pPr>
        <w:pStyle w:val="Heading4"/>
        <w:rPr>
          <w:rFonts w:cs="Arial"/>
        </w:rPr>
      </w:pPr>
      <w:r w:rsidRPr="00A3094C">
        <w:rPr>
          <w:rFonts w:eastAsia="Arial" w:cs="Arial"/>
        </w:rPr>
        <w:t>Loss of Employment Opportunities incentivize recidivism and relapse, and destroy innocent communities</w:t>
      </w:r>
    </w:p>
    <w:p w14:paraId="14535DB9" w14:textId="77777777" w:rsidR="001C0CA6" w:rsidRPr="00A3094C" w:rsidRDefault="001C0CA6" w:rsidP="001C0CA6">
      <w:proofErr w:type="spellStart"/>
      <w:r w:rsidRPr="00A3094C">
        <w:rPr>
          <w:rStyle w:val="Heading4Char"/>
          <w:rFonts w:cs="Arial"/>
        </w:rPr>
        <w:t>Finzen</w:t>
      </w:r>
      <w:proofErr w:type="spellEnd"/>
      <w:r w:rsidRPr="00A3094C">
        <w:rPr>
          <w:rStyle w:val="Heading4Char"/>
          <w:rFonts w:cs="Arial"/>
        </w:rPr>
        <w:t xml:space="preserve"> 05.</w:t>
      </w:r>
      <w:r w:rsidRPr="00A3094C">
        <w:t xml:space="preserve"> Margaret E. </w:t>
      </w:r>
      <w:proofErr w:type="spellStart"/>
      <w:r w:rsidRPr="00A3094C">
        <w:t>Finzen</w:t>
      </w:r>
      <w:proofErr w:type="spellEnd"/>
      <w:r w:rsidRPr="00A3094C">
        <w:t xml:space="preserve">- J.D., Georgetown University Law Center (Race and American Law Class). Summer 2005, “NOTE: </w:t>
      </w:r>
      <w:hyperlink r:id="rId38" w:history="1">
        <w:r w:rsidRPr="00A3094C">
          <w:rPr>
            <w:rStyle w:val="Hyperlink"/>
          </w:rPr>
          <w:t>Systems of Oppression: The Collateral Consequences of Incarceration and Their Effects on Black Communities</w:t>
        </w:r>
      </w:hyperlink>
      <w:r w:rsidRPr="00A3094C">
        <w:t xml:space="preserve">” Georgetown Journal on Poverty, Law, &amp; Policy. </w:t>
      </w:r>
      <w:proofErr w:type="spellStart"/>
      <w:r w:rsidRPr="00A3094C">
        <w:t>eg.</w:t>
      </w:r>
      <w:proofErr w:type="spellEnd"/>
    </w:p>
    <w:p w14:paraId="5D3F4DE2" w14:textId="77777777" w:rsidR="001C0CA6" w:rsidRDefault="001C0CA6" w:rsidP="001C0CA6">
      <w:pPr>
        <w:rPr>
          <w:sz w:val="16"/>
        </w:rPr>
      </w:pPr>
      <w:r w:rsidRPr="00A3094C">
        <w:rPr>
          <w:rStyle w:val="Emphasis"/>
        </w:rPr>
        <w:t>Many ex-offenders are unable to obtain employment after their release from prison due to social and legal barriers, despite the grave need for employment opportunities in order to prevent relapse and recidivism</w:t>
      </w:r>
      <w:r w:rsidRPr="00A3094C">
        <w:rPr>
          <w:sz w:val="16"/>
        </w:rPr>
        <w:t xml:space="preserve">. First, many social barriers to gainful employment exist because employers are suspicious of ex-offenders, and improved technology makes it increasingly easy for employers to conduct criminal background checks of potential employees. </w:t>
      </w:r>
      <w:r w:rsidRPr="00A3094C">
        <w:rPr>
          <w:sz w:val="16"/>
        </w:rPr>
        <w:footnoteReference w:customMarkFollows="1" w:id="93"/>
        <w:t xml:space="preserve">125 "Evidence suggests that employers do in fact make use of criminal history records" and that those unwilling to hire ex-offenders "are most concerned about the general trustworthiness of the ex-offender rather than anything specifically related to the offense or the job in question." </w:t>
      </w:r>
      <w:r w:rsidRPr="00A3094C">
        <w:rPr>
          <w:sz w:val="16"/>
        </w:rPr>
        <w:footnoteReference w:customMarkFollows="1" w:id="94"/>
        <w:t xml:space="preserve">126 A1996 survey in five major United States cities found that, for relatively unskilled jobs, roughly 65% of all employers would not knowingly hire an ex-offender, regardless of the offense, "and between 30% and 40% actually checked the criminal history records of their most recently hired employee." </w:t>
      </w:r>
      <w:r w:rsidRPr="00A3094C">
        <w:rPr>
          <w:sz w:val="16"/>
        </w:rPr>
        <w:footnoteReference w:customMarkFollows="1" w:id="95"/>
        <w:t xml:space="preserve">127 </w:t>
      </w:r>
      <w:hyperlink r:id="rId39" w:history="1">
        <w:r w:rsidRPr="00A3094C">
          <w:rPr>
            <w:rStyle w:val="Hyperlink"/>
            <w:sz w:val="16"/>
          </w:rPr>
          <w:t>Second</w:t>
        </w:r>
      </w:hyperlink>
      <w:r w:rsidRPr="00A3094C">
        <w:rPr>
          <w:sz w:val="16"/>
        </w:rPr>
        <w:t xml:space="preserve">, </w:t>
      </w:r>
      <w:r w:rsidRPr="00A3094C">
        <w:rPr>
          <w:rStyle w:val="Emphasis"/>
        </w:rPr>
        <w:t>many legal restrictions on employment for ex-offenders exist in both the federal and state arena</w:t>
      </w:r>
      <w:r w:rsidRPr="00A3094C">
        <w:rPr>
          <w:sz w:val="16"/>
        </w:rPr>
        <w:t xml:space="preserve">s. </w:t>
      </w:r>
      <w:r w:rsidRPr="00A3094C">
        <w:rPr>
          <w:rStyle w:val="StyleUnderline"/>
        </w:rPr>
        <w:t xml:space="preserve">Felons are prohibited from obtaining certain kinds of employment due to federal laws, such as the inability to hold federal office for five years upon conviction of a felony for inciting or participating in a riot; </w:t>
      </w:r>
      <w:r w:rsidRPr="00A3094C">
        <w:rPr>
          <w:rStyle w:val="StyleUnderline"/>
        </w:rPr>
        <w:footnoteReference w:customMarkFollows="1" w:id="96"/>
        <w:t xml:space="preserve">128 removal from office, and ineligibility for any federal office, of a collecting or disbursing officer upon conviction of trading in public funds or property; </w:t>
      </w:r>
      <w:r w:rsidRPr="00A3094C">
        <w:rPr>
          <w:rStyle w:val="StyleUnderline"/>
        </w:rPr>
        <w:footnoteReference w:customMarkFollows="1" w:id="97"/>
        <w:t>129 and the permanent inability to enlist in any service of the armed forces, unless an exception is made.</w:t>
      </w:r>
      <w:r w:rsidRPr="00A3094C">
        <w:rPr>
          <w:sz w:val="16"/>
        </w:rPr>
        <w:t xml:space="preserve"> </w:t>
      </w:r>
      <w:r w:rsidRPr="00A3094C">
        <w:rPr>
          <w:sz w:val="16"/>
        </w:rPr>
        <w:footnoteReference w:customMarkFollows="1" w:id="98"/>
        <w:t xml:space="preserve">130 Furthermore, while a felony conviction does not disqualify a person from federal employment aside from specific statutory disqualifications, it is a factor to be considered in determining an individual's suitability for employment, according to the Office of Personnel Management. </w:t>
      </w:r>
      <w:r w:rsidRPr="00A3094C">
        <w:rPr>
          <w:sz w:val="16"/>
        </w:rPr>
        <w:footnoteReference w:customMarkFollows="1" w:id="99"/>
        <w:t xml:space="preserve">131 A number of additional federal statutes further hamper a convicted felon's ability to obtain [*316] steady employment, such as the statute that denies certain federal funds from states that do not adopt laws automatically revoking driver's licenses for six months from individuals convicted of drug offenses. </w:t>
      </w:r>
      <w:r w:rsidRPr="00A3094C">
        <w:rPr>
          <w:sz w:val="16"/>
        </w:rPr>
        <w:footnoteReference w:customMarkFollows="1" w:id="100"/>
        <w:t xml:space="preserve">132 This statute makes it hard for a felon to get to work and prohibits him from accepting any job that involves driving. Also, the ban on an ex-offender's ability to sell or possess firearms prevents an ex-felon from working in the gun industry as well as prohibits him from obtaining jobs such as peace officer or security guard. </w:t>
      </w:r>
      <w:r w:rsidRPr="00A3094C">
        <w:rPr>
          <w:sz w:val="16"/>
        </w:rPr>
        <w:footnoteReference w:customMarkFollows="1" w:id="101"/>
        <w:t xml:space="preserve">133 Even more restrictive than the several federal statutes that impinge on employment are the numerous state statutes that limit employment opportunities and vary from state to state. </w:t>
      </w:r>
      <w:r w:rsidRPr="00A3094C">
        <w:rPr>
          <w:sz w:val="16"/>
        </w:rPr>
        <w:footnoteReference w:customMarkFollows="1" w:id="102"/>
        <w:t xml:space="preserve">134 State governments </w:t>
      </w:r>
      <w:proofErr w:type="gramStart"/>
      <w:r w:rsidRPr="00A3094C">
        <w:rPr>
          <w:sz w:val="16"/>
        </w:rPr>
        <w:t>have the ability to</w:t>
      </w:r>
      <w:proofErr w:type="gramEnd"/>
      <w:r w:rsidRPr="00A3094C">
        <w:rPr>
          <w:sz w:val="16"/>
        </w:rPr>
        <w:t xml:space="preserve"> control employment opportunities and benefits through their general power to confer licenses. </w:t>
      </w:r>
      <w:r w:rsidRPr="00A3094C">
        <w:rPr>
          <w:sz w:val="16"/>
        </w:rPr>
        <w:footnoteReference w:customMarkFollows="1" w:id="103"/>
        <w:t xml:space="preserve">135 Modern occupational licensing laws regulate professional, unskilled, and semi-skilled occupations. Bruce May reports that "typical examples of occupations regulated are: ambulance drivers, billiard room employees, attorneys, physicians, pharmacists, nurses, barbers, embalmers, septic tank cleaners, real estate professionals, accountants, contractors, and sellers of alcoholic beverages." </w:t>
      </w:r>
      <w:r w:rsidRPr="00A3094C">
        <w:rPr>
          <w:rStyle w:val="StyleUnderline"/>
        </w:rPr>
        <w:footnoteReference w:customMarkFollows="1" w:id="104"/>
        <w:t>136 Occupational licensing laws exclude ex-offenders either directly by expressly barring ex-offenders from engaging in certain occupations, or indirectly by requiring ex-offenders to have good moral character in order to receive certain licenses and using a record of conviction as evidence of bad moral character.</w:t>
      </w:r>
      <w:r w:rsidRPr="00A3094C">
        <w:rPr>
          <w:sz w:val="16"/>
        </w:rPr>
        <w:t xml:space="preserve"> </w:t>
      </w:r>
      <w:r w:rsidRPr="00A3094C">
        <w:rPr>
          <w:sz w:val="16"/>
        </w:rPr>
        <w:footnoteReference w:customMarkFollows="1" w:id="105"/>
        <w:t xml:space="preserve">137 The problem with most licensing statutes that bar ex-felons from employment is that they indiscriminately bar all ex-felons from the employment in question; the statutes are not narrowly tailored to bar only individuals guilty of engaging in certain kinds of conduct from working in certain kinds of jobs. </w:t>
      </w:r>
      <w:r w:rsidRPr="00A3094C">
        <w:rPr>
          <w:sz w:val="16"/>
        </w:rPr>
        <w:footnoteReference w:customMarkFollows="1" w:id="106"/>
        <w:t xml:space="preserve">138 While most everyone would agree that a law preventing a convicted child [*317] molester from working in a day care center is a good law to have in force, a law preventing a drug user from working as a beautician does not serve any purpose but to further punish. </w:t>
      </w:r>
      <w:r w:rsidRPr="00A3094C">
        <w:rPr>
          <w:sz w:val="16"/>
        </w:rPr>
        <w:footnoteReference w:customMarkFollows="1" w:id="107"/>
        <w:t xml:space="preserve">139 </w:t>
      </w:r>
      <w:r w:rsidRPr="00A3094C">
        <w:rPr>
          <w:rStyle w:val="Emphasis"/>
        </w:rPr>
        <w:t xml:space="preserve">The combination of stigma as a result of conviction along with legal restrictions barring access to many jobs serves to further decrease employment opportunities for ex-offenders already facing employment barriers prior to their </w:t>
      </w:r>
      <w:proofErr w:type="gramStart"/>
      <w:r w:rsidRPr="00A3094C">
        <w:rPr>
          <w:rStyle w:val="Emphasis"/>
        </w:rPr>
        <w:t>incarceration, and</w:t>
      </w:r>
      <w:proofErr w:type="gramEnd"/>
      <w:r w:rsidRPr="00A3094C">
        <w:rPr>
          <w:rStyle w:val="Emphasis"/>
        </w:rPr>
        <w:t xml:space="preserve"> has a disproportionate impact on Black communities</w:t>
      </w:r>
      <w:r w:rsidRPr="00A3094C">
        <w:rPr>
          <w:sz w:val="16"/>
        </w:rPr>
        <w:t xml:space="preserve">. Allard's study discovered that "[a] significant number of women under criminal justice supervision experienced high levels of low-wage work, underemployment, and unemployment prior to their arrest." </w:t>
      </w:r>
      <w:r w:rsidRPr="00A3094C">
        <w:rPr>
          <w:sz w:val="16"/>
        </w:rPr>
        <w:footnoteReference w:customMarkFollows="1" w:id="108"/>
        <w:t xml:space="preserve">140 </w:t>
      </w:r>
      <w:r w:rsidRPr="00A3094C">
        <w:rPr>
          <w:rStyle w:val="StyleUnderline"/>
        </w:rPr>
        <w:t>Only half of the mothers in state prison reported employment in the month before their arrest, and 52% of Black women reported no job or business prior to their arrest in comparison to 44% of White women.</w:t>
      </w:r>
      <w:r w:rsidRPr="00A3094C">
        <w:rPr>
          <w:sz w:val="16"/>
        </w:rPr>
        <w:t xml:space="preserve"> </w:t>
      </w:r>
      <w:r w:rsidRPr="00A3094C">
        <w:rPr>
          <w:sz w:val="16"/>
        </w:rPr>
        <w:footnoteReference w:customMarkFollows="1" w:id="109"/>
        <w:t xml:space="preserve">141 The Bureau of Justice Statistics states that 36% of jail inmates in 1996 were unemployed prior to entering jail, and 64% of jail inmates in 1996 had monthly incomes of under $ 1,000 in the month before their arrest. </w:t>
      </w:r>
      <w:r w:rsidRPr="00A3094C">
        <w:rPr>
          <w:sz w:val="16"/>
        </w:rPr>
        <w:footnoteReference w:customMarkFollows="1" w:id="110"/>
        <w:t xml:space="preserve">142 In addition, inmates are unlikely to improve their future employability since the advent of "get tough" policies drastically reduced their ability to learn marketable skills while incarcerated. </w:t>
      </w:r>
      <w:r w:rsidRPr="00A3094C">
        <w:rPr>
          <w:sz w:val="16"/>
        </w:rPr>
        <w:footnoteReference w:customMarkFollows="1" w:id="111"/>
        <w:t xml:space="preserve">143 The inability to gain or improve valuable labor skills while in prison is particularly frustrating since many inmates enter prison without the education that is necessary to succeed in the job market and could greatly benefit from skills training. Bruce Western found that "racial disparity in incarceration is partly explained by the relatively low level of schooling of young Black men compared with that of young White men." </w:t>
      </w:r>
      <w:r w:rsidRPr="00A3094C">
        <w:rPr>
          <w:sz w:val="16"/>
        </w:rPr>
        <w:footnoteReference w:customMarkFollows="1" w:id="112"/>
        <w:t xml:space="preserve">144 In addition, among high school dropouts, Black people are four times more likely than White people to be in prison or jail. </w:t>
      </w:r>
      <w:r w:rsidRPr="00A3094C">
        <w:rPr>
          <w:sz w:val="16"/>
        </w:rPr>
        <w:footnoteReference w:customMarkFollows="1" w:id="113"/>
        <w:t xml:space="preserve">145 While research shows that "young, unskilled minority men who are most likely to go to jail have poor job opportunities even in the absence of incarceration," Western argues that much of the statistical research does not account for the more complicated economic effects of incarceration on poor and minority communities. </w:t>
      </w:r>
      <w:r w:rsidRPr="00A3094C">
        <w:rPr>
          <w:sz w:val="16"/>
        </w:rPr>
        <w:footnoteReference w:customMarkFollows="1" w:id="114"/>
        <w:t xml:space="preserve">146 Spending time in prison is an experience that can permanently change the course of an individual's life. </w:t>
      </w:r>
      <w:r w:rsidRPr="00A3094C">
        <w:rPr>
          <w:sz w:val="16"/>
        </w:rPr>
        <w:footnoteReference w:customMarkFollows="1" w:id="115"/>
        <w:t xml:space="preserve">147 Furthermore, minority men in low-wage jobs who do not go to prison are more likely to settle into a stable path of earnings growth "while ex-convicts follow an unstable trajectory of [*318] irregular employment." </w:t>
      </w:r>
      <w:r w:rsidRPr="00A3094C">
        <w:rPr>
          <w:sz w:val="16"/>
        </w:rPr>
        <w:footnoteReference w:customMarkFollows="1" w:id="116"/>
        <w:t xml:space="preserve">148 Finally, </w:t>
      </w:r>
      <w:r w:rsidRPr="00A3094C">
        <w:rPr>
          <w:rStyle w:val="Emphasis"/>
        </w:rPr>
        <w:t>unemployment and high incarceration rates have significant effects on entire communities</w:t>
      </w:r>
      <w:r w:rsidRPr="00A3094C">
        <w:rPr>
          <w:sz w:val="16"/>
        </w:rPr>
        <w:t xml:space="preserve">. </w:t>
      </w:r>
      <w:r w:rsidRPr="00A3094C">
        <w:rPr>
          <w:rStyle w:val="Emphasis"/>
        </w:rPr>
        <w:t>Employers are less likely to hire individuals from certain well-known high-crime neighborhoods because they will simply assume that all individuals coming from that neighborhood are ex-convicts.</w:t>
      </w:r>
      <w:r w:rsidRPr="00A3094C">
        <w:rPr>
          <w:sz w:val="16"/>
        </w:rPr>
        <w:t xml:space="preserve"> </w:t>
      </w:r>
      <w:r w:rsidRPr="00A3094C">
        <w:rPr>
          <w:sz w:val="16"/>
        </w:rPr>
        <w:footnoteReference w:customMarkFollows="1" w:id="117"/>
        <w:t xml:space="preserve">149 Also, poor urban communities with high incarceration rates are likely to have large numbers of idle young men recently released from prison or jail who associate with one another rather than meeting individuals who can provide them with access to legitimate forms of employment. In turn, by not finding legitimate employment themselves, the young men are unable to replicate the pattern that exists in so many successful, high-income communities of friends providing one another with job opportunities. </w:t>
      </w:r>
      <w:r w:rsidRPr="00A3094C">
        <w:rPr>
          <w:sz w:val="16"/>
        </w:rPr>
        <w:footnoteReference w:customMarkFollows="1" w:id="118"/>
        <w:t>150 Furthermore, the inability to obtain steady employment is likely to lead to higher rates of recidivism. Joan Petersilia writes that "</w:t>
      </w:r>
      <w:proofErr w:type="gramStart"/>
      <w:r w:rsidRPr="00A3094C">
        <w:rPr>
          <w:sz w:val="16"/>
        </w:rPr>
        <w:t>the majority of</w:t>
      </w:r>
      <w:proofErr w:type="gramEnd"/>
      <w:r w:rsidRPr="00A3094C">
        <w:rPr>
          <w:sz w:val="16"/>
        </w:rPr>
        <w:t xml:space="preserve"> inmates leave prison with no savings, no immediate entitlement to unemployment benefits, and few employment prospects. One year after release, as many as 60% of former inmates are not employed in the regular labor market." </w:t>
      </w:r>
      <w:r w:rsidRPr="00A3094C">
        <w:rPr>
          <w:sz w:val="16"/>
        </w:rPr>
        <w:footnoteReference w:customMarkFollows="1" w:id="119"/>
        <w:t>151</w:t>
      </w:r>
    </w:p>
    <w:p w14:paraId="2817E3BC" w14:textId="77777777" w:rsidR="00C6612D" w:rsidRDefault="00C6612D" w:rsidP="00C6612D">
      <w:pPr>
        <w:pStyle w:val="Heading3"/>
      </w:pPr>
      <w:r>
        <w:t>Shadow-Economy Internal</w:t>
      </w:r>
    </w:p>
    <w:p w14:paraId="37885AAB" w14:textId="77777777" w:rsidR="00C6612D" w:rsidRPr="00C6612D" w:rsidRDefault="00C6612D" w:rsidP="00C6612D"/>
    <w:p w14:paraId="050B34E1" w14:textId="77777777" w:rsidR="00C6612D" w:rsidRDefault="00C6612D" w:rsidP="00C6612D">
      <w:pPr>
        <w:pStyle w:val="Heading4"/>
      </w:pPr>
      <w:r>
        <w:t>And, criminal law’s extension into employment through collateral consequences creates a “shadow economy” where private employers punish employees for past criminal conduct</w:t>
      </w:r>
    </w:p>
    <w:p w14:paraId="19F85EA7" w14:textId="103E5BC8" w:rsidR="00C6612D" w:rsidRDefault="00C6612D" w:rsidP="00C6612D"/>
    <w:p w14:paraId="4353D069" w14:textId="48747F76" w:rsidR="00ED64DF" w:rsidRDefault="00ED64DF" w:rsidP="00C6612D">
      <w:pPr>
        <w:rPr>
          <w:rStyle w:val="Style13ptBold"/>
        </w:rPr>
      </w:pPr>
      <w:r>
        <w:rPr>
          <w:rStyle w:val="Style13ptBold"/>
        </w:rPr>
        <w:t xml:space="preserve">Levin </w:t>
      </w:r>
      <w:r w:rsidR="005A2525">
        <w:rPr>
          <w:rStyle w:val="Style13ptBold"/>
        </w:rPr>
        <w:t>‘18</w:t>
      </w:r>
    </w:p>
    <w:p w14:paraId="75F88F88" w14:textId="39CADD7E" w:rsidR="00C6612D" w:rsidRPr="00ED64DF" w:rsidRDefault="00ED64DF" w:rsidP="00ED64DF">
      <w:r w:rsidRPr="00ED64DF">
        <w:t>(Benjamin, Associate Professor, University of Colorado Law School, “</w:t>
      </w:r>
      <w:r w:rsidR="00C6612D" w:rsidRPr="00ED64DF">
        <w:t>CRIMINAL EMPLOYMENT LAW</w:t>
      </w:r>
      <w:r w:rsidRPr="00ED64DF">
        <w:t xml:space="preserve">,” </w:t>
      </w:r>
      <w:r>
        <w:t xml:space="preserve">Cardozo Law Review, </w:t>
      </w:r>
      <w:proofErr w:type="spellStart"/>
      <w:r w:rsidRPr="00ED64DF">
        <w:t>pg</w:t>
      </w:r>
      <w:proofErr w:type="spellEnd"/>
      <w:r w:rsidRPr="00ED64DF">
        <w:t xml:space="preserve"> </w:t>
      </w:r>
      <w:hyperlink r:id="rId40" w:history="1">
        <w:r w:rsidRPr="002A2A9B">
          <w:rPr>
            <w:rStyle w:val="Hyperlink"/>
          </w:rPr>
          <w:t>http://cardozolawreview.com/criminal-employment-law-criminal-records/</w:t>
        </w:r>
      </w:hyperlink>
      <w:r>
        <w:t xml:space="preserve"> </w:t>
      </w:r>
      <w:r w:rsidRPr="00ED64DF">
        <w:t>//um-</w:t>
      </w:r>
      <w:proofErr w:type="spellStart"/>
      <w:r w:rsidRPr="00ED64DF">
        <w:t>ef</w:t>
      </w:r>
      <w:proofErr w:type="spellEnd"/>
      <w:r w:rsidRPr="00ED64DF">
        <w:t>)</w:t>
      </w:r>
    </w:p>
    <w:p w14:paraId="5841E837" w14:textId="270C4A79" w:rsidR="00C6612D" w:rsidRDefault="00C6612D" w:rsidP="00C6612D">
      <w:r>
        <w:t xml:space="preserve">Criminal law’s collateral consequences in the employment sphere should be cause for concern for many of the reasons collateral consequences in general are cause for concern (including that they operate as “invisible” punishment).12 But </w:t>
      </w:r>
      <w:r w:rsidRPr="00263E7E">
        <w:rPr>
          <w:rStyle w:val="StyleUnderline"/>
        </w:rPr>
        <w:t xml:space="preserve">the collateral consequences in the employment sphere raise an additional set of concerns because they ostensibly arise outside of the criminal system and often depend on the decisions, preferences, and incentives of </w:t>
      </w:r>
      <w:r w:rsidRPr="00263E7E">
        <w:rPr>
          <w:rStyle w:val="Emphasis"/>
        </w:rPr>
        <w:t>private actors</w:t>
      </w:r>
      <w:r>
        <w:t xml:space="preserve">. By focusing on private employers and their public function in extending the effects of punishment, I argue that </w:t>
      </w:r>
      <w:r w:rsidRPr="00263E7E">
        <w:rPr>
          <w:rStyle w:val="StyleUnderline"/>
        </w:rPr>
        <w:t>criminal employment law illustrates structural flaws with both the criminal system and the legal status of employment</w:t>
      </w:r>
      <w:r>
        <w:t xml:space="preserve">. </w:t>
      </w:r>
      <w:r w:rsidRPr="00263E7E">
        <w:rPr>
          <w:rStyle w:val="StyleUnderline"/>
        </w:rPr>
        <w:t>Employment and labor law scholars should be concerned about</w:t>
      </w:r>
      <w:r>
        <w:t xml:space="preserve"> </w:t>
      </w:r>
      <w:r w:rsidRPr="00263E7E">
        <w:rPr>
          <w:rStyle w:val="Emphasis"/>
        </w:rPr>
        <w:t>the shadow economy</w:t>
      </w:r>
      <w:r>
        <w:t xml:space="preserve"> </w:t>
      </w:r>
      <w:r w:rsidRPr="00263E7E">
        <w:rPr>
          <w:rStyle w:val="StyleUnderline"/>
        </w:rPr>
        <w:t xml:space="preserve">of those who are unwelcome in the formal labor market as a result of past criminal convictions </w:t>
      </w:r>
      <w:r>
        <w:t xml:space="preserve">(or even arrests).13 </w:t>
      </w:r>
      <w:r w:rsidRPr="00263E7E">
        <w:rPr>
          <w:rStyle w:val="StyleUnderline"/>
        </w:rPr>
        <w:t>By tying</w:t>
      </w:r>
      <w:r>
        <w:t xml:space="preserve"> </w:t>
      </w:r>
      <w:r w:rsidRPr="00263E7E">
        <w:rPr>
          <w:rStyle w:val="Emphasis"/>
        </w:rPr>
        <w:t>employer liability</w:t>
      </w:r>
      <w:r>
        <w:t xml:space="preserve"> </w:t>
      </w:r>
      <w:r w:rsidRPr="00263E7E">
        <w:rPr>
          <w:rStyle w:val="StyleUnderline"/>
        </w:rPr>
        <w:t>to</w:t>
      </w:r>
      <w:r>
        <w:t xml:space="preserve"> </w:t>
      </w:r>
      <w:r w:rsidRPr="00263E7E">
        <w:rPr>
          <w:rStyle w:val="Emphasis"/>
        </w:rPr>
        <w:t>criminal records</w:t>
      </w:r>
      <w:r>
        <w:t xml:space="preserve">, </w:t>
      </w:r>
      <w:r w:rsidRPr="00263E7E">
        <w:rPr>
          <w:rStyle w:val="StyleUnderline"/>
        </w:rPr>
        <w:t>the legal system invites</w:t>
      </w:r>
      <w:r>
        <w:t xml:space="preserve"> (and often requires) </w:t>
      </w:r>
      <w:r w:rsidRPr="00263E7E">
        <w:rPr>
          <w:rStyle w:val="StyleUnderline"/>
        </w:rPr>
        <w:t>employers to monitor their employees’ behavior away from work</w:t>
      </w:r>
      <w:r>
        <w:t xml:space="preserve">. At the same time, criminal law scholars should consider how </w:t>
      </w:r>
      <w:r w:rsidRPr="00263E7E">
        <w:rPr>
          <w:rStyle w:val="Emphasis"/>
        </w:rPr>
        <w:t>employment restrictions might serve as extensions of criminal punishment</w:t>
      </w:r>
      <w:r>
        <w:t xml:space="preserve"> and how </w:t>
      </w:r>
      <w:r w:rsidRPr="00263E7E">
        <w:rPr>
          <w:rStyle w:val="Emphasis"/>
        </w:rPr>
        <w:t>the involvement of private employers might complicate discussions of criminal justice reform</w:t>
      </w:r>
      <w:r>
        <w:t xml:space="preserve">. </w:t>
      </w:r>
      <w:r w:rsidRPr="00263E7E">
        <w:rPr>
          <w:rStyle w:val="StyleUnderline"/>
        </w:rPr>
        <w:t>If private employment provides the vehicle through which workers access critical benefits</w:t>
      </w:r>
      <w:r>
        <w:t xml:space="preserve">, </w:t>
      </w:r>
      <w:r w:rsidRPr="00263E7E">
        <w:rPr>
          <w:rStyle w:val="StyleUnderline"/>
        </w:rPr>
        <w:t>then public functions of the welfare state are necessarily filtered through the actions, decisions, and preferences of private employers</w:t>
      </w:r>
      <w:r>
        <w:t xml:space="preserve">. </w:t>
      </w:r>
      <w:r w:rsidRPr="00263E7E">
        <w:rPr>
          <w:rStyle w:val="StyleUnderline"/>
        </w:rPr>
        <w:t>Employers’ role as disciplining force is reflected not only in the tort</w:t>
      </w:r>
      <w:r w:rsidR="00263E7E">
        <w:rPr>
          <w:rStyle w:val="StyleUnderline"/>
        </w:rPr>
        <w:t xml:space="preserve"> </w:t>
      </w:r>
      <w:r w:rsidRPr="00263E7E">
        <w:rPr>
          <w:rStyle w:val="StyleUnderline"/>
        </w:rPr>
        <w:t>law doctrines of negligent hiring and retention,14 but also in the public</w:t>
      </w:r>
      <w:r w:rsidR="00263E7E">
        <w:rPr>
          <w:rStyle w:val="StyleUnderline"/>
        </w:rPr>
        <w:t xml:space="preserve"> </w:t>
      </w:r>
      <w:r w:rsidRPr="00263E7E">
        <w:rPr>
          <w:rStyle w:val="StyleUnderline"/>
        </w:rPr>
        <w:t>demand for and proliferation of employee conduct policies that put employers in a position to punish workers for non-work-related criminal misconduct</w:t>
      </w:r>
      <w:r>
        <w:t xml:space="preserve">.15 Such doctrines and policies may be appealing— we as a society may want employers to assume this role as a cost of doing business and to be responsible for the conduct of their employees. But this Article will consider </w:t>
      </w:r>
      <w:r w:rsidRPr="00263E7E">
        <w:rPr>
          <w:rStyle w:val="StyleUnderline"/>
        </w:rPr>
        <w:t>the effects of such a legal framework</w:t>
      </w:r>
      <w:r>
        <w:t xml:space="preserve">. My claim is not that employers should never be permitted to consider a job applicant’s or employee’s allegedly criminal conduct. Rather, my goal is to assess how </w:t>
      </w:r>
      <w:r w:rsidRPr="00263E7E">
        <w:rPr>
          <w:rStyle w:val="StyleUnderline"/>
        </w:rPr>
        <w:t>those consequences operate and to confront the costs of employer decision-making as an extension of criminal punishment.</w:t>
      </w:r>
      <w:r>
        <w:t xml:space="preserve"> To the extent that </w:t>
      </w:r>
      <w:r w:rsidRPr="00263E7E">
        <w:rPr>
          <w:rStyle w:val="StyleUnderline"/>
        </w:rPr>
        <w:t>involvement with the criminal system is creating or preserving a racial and socioeconomic underclass</w:t>
      </w:r>
      <w:r>
        <w:t xml:space="preserve">,16 it is important to ask how the classifications operate in practice. </w:t>
      </w:r>
      <w:r w:rsidRPr="00263E7E">
        <w:rPr>
          <w:rStyle w:val="StyleUnderline"/>
        </w:rPr>
        <w:t>If employers effectively operate as an arm of the criminal system, do criminal procedure principles have a place in the employment law pantheon? And to the extent that such an application would be inappropriate, should we also be skeptical about delegating criminal justice–related tasks to employers in the first place?</w:t>
      </w:r>
    </w:p>
    <w:p w14:paraId="73766C7B" w14:textId="77777777" w:rsidR="00C6612D" w:rsidRDefault="00C6612D" w:rsidP="00C6612D"/>
    <w:p w14:paraId="622ACF43" w14:textId="11BA09A1" w:rsidR="008550B5" w:rsidRDefault="008550B5" w:rsidP="008550B5">
      <w:pPr>
        <w:pStyle w:val="Heading2"/>
      </w:pPr>
      <w:r>
        <w:t xml:space="preserve">Food/Hunger </w:t>
      </w:r>
      <w:r w:rsidR="0002299E">
        <w:t>Impacts</w:t>
      </w:r>
    </w:p>
    <w:p w14:paraId="7D576697" w14:textId="77777777" w:rsidR="00966FB1" w:rsidRDefault="00966FB1" w:rsidP="00966FB1">
      <w:pPr>
        <w:pStyle w:val="Heading3"/>
      </w:pPr>
      <w:r>
        <w:t>Internals: CC Deny SNAP/TANF</w:t>
      </w:r>
    </w:p>
    <w:p w14:paraId="1D07AB9D" w14:textId="77777777" w:rsidR="00966FB1" w:rsidRDefault="00966FB1" w:rsidP="00966FB1">
      <w:pPr>
        <w:pStyle w:val="Heading4"/>
      </w:pPr>
      <w:r>
        <w:t>And, collateral consequences include the denial of SNAP and TANF for released prisoners --- disproportionately affects African Americans</w:t>
      </w:r>
    </w:p>
    <w:p w14:paraId="4A4F6A25" w14:textId="77777777" w:rsidR="00966FB1" w:rsidRPr="009E05E6" w:rsidRDefault="00966FB1" w:rsidP="00966FB1"/>
    <w:p w14:paraId="63A7EB8D" w14:textId="77777777" w:rsidR="00966FB1" w:rsidRDefault="00966FB1" w:rsidP="00966FB1">
      <w:pPr>
        <w:rPr>
          <w:rStyle w:val="Style13ptBold"/>
        </w:rPr>
      </w:pPr>
      <w:r>
        <w:rPr>
          <w:rStyle w:val="Style13ptBold"/>
        </w:rPr>
        <w:t>Mauer ‘15</w:t>
      </w:r>
    </w:p>
    <w:p w14:paraId="3C045F75" w14:textId="77777777" w:rsidR="00966FB1" w:rsidRPr="00A42704" w:rsidRDefault="00966FB1" w:rsidP="00966FB1">
      <w:r w:rsidRPr="00A42704">
        <w:t xml:space="preserve">(Marc Mauer, Executive Director of The Sentencing Project, and Virginia McCalmont, Research Associate, “A Lifetime of Punishment: The Impact of the Felony Drug Ban on Welfare Benefits,” </w:t>
      </w:r>
      <w:proofErr w:type="spellStart"/>
      <w:r w:rsidRPr="00A42704">
        <w:t>pg</w:t>
      </w:r>
      <w:proofErr w:type="spellEnd"/>
      <w:r w:rsidRPr="00A42704">
        <w:t xml:space="preserve"> online @ </w:t>
      </w:r>
      <w:hyperlink r:id="rId41" w:history="1">
        <w:r w:rsidRPr="00A42704">
          <w:rPr>
            <w:rStyle w:val="Hyperlink"/>
          </w:rPr>
          <w:t>https://www.sentencingproject.org/wp-content/uploads/2015/12/A-Lifetime-of-Punishment.pdf</w:t>
        </w:r>
      </w:hyperlink>
      <w:r w:rsidRPr="00A42704">
        <w:t xml:space="preserve"> //um-</w:t>
      </w:r>
      <w:proofErr w:type="spellStart"/>
      <w:r w:rsidRPr="00A42704">
        <w:t>ef</w:t>
      </w:r>
      <w:proofErr w:type="spellEnd"/>
      <w:r w:rsidRPr="00A42704">
        <w:t>)</w:t>
      </w:r>
    </w:p>
    <w:p w14:paraId="0ECEE02D" w14:textId="77777777" w:rsidR="00966FB1" w:rsidRPr="009E05E6" w:rsidRDefault="00966FB1" w:rsidP="00966FB1">
      <w:pPr>
        <w:rPr>
          <w:sz w:val="12"/>
        </w:rPr>
      </w:pPr>
      <w:r w:rsidRPr="008F7C1E">
        <w:rPr>
          <w:sz w:val="12"/>
        </w:rPr>
        <w:t xml:space="preserve">PRWORA’s reforms were expansive and controversial for several reasons, including its implementation of a revised cash assistance program—Temporary Assistance to Needy Families (TANF)—which limited the length of time eligible families could receive benefits3 and established work requirements for recipients.4 In addition, PRWORA made substantial changes to the operation of the federal food stamp program,5 which has since been renamed the Supplemental Nutrition Assistance Program (SNAP). Perhaps because of the general debate surrounding PRWORA’s changes to cash assistance and food stamp programs, one significant provision of the law initially received little attention: along with other federal legislation related to the “war on drugs,” PRWORA imposed a denial of federal benefits to people convicted in state or federal courts of felony drug offenses. </w:t>
      </w:r>
      <w:r w:rsidRPr="002B6FE7">
        <w:rPr>
          <w:rStyle w:val="StyleUnderline"/>
        </w:rPr>
        <w:t>The ban is imposed for no other offenses but drug crimes</w:t>
      </w:r>
      <w:r w:rsidRPr="008F7C1E">
        <w:rPr>
          <w:sz w:val="12"/>
        </w:rPr>
        <w:t xml:space="preserve">. Its provisions that subject individuals who are otherwise eligible for receipt of SNAP or TANF benefits to a lifetime disqualification applies to all states unless they act to opt out of the ban.6 Despite the magnitude of this change, the provision received only two minutes of debate after it was introduced on the Senate floor—one minute for Republicans and one minute for Democrats.7 It was then unanimously adopted by a voice vote.8 The brevity of Congressional discussion on the felony drug conviction ban makes it difficult to know the intent of Congress in adopting this policy, but the record that does exist suggests the provision was intended to be punitive and “tough on crime.” As Senator Phil Gramm (R-TX), the sponsor of the amendment, argued, “if we are serious about our drug laws, we ought not to give people welfare benefits who are violating the Nation’s drug laws.”9 Conspicuously absent from the brief debate over this provision was any discussion of whether the lifetime ban for individuals with felony drug offenses would advance the general objectives of welfare reform. </w:t>
      </w:r>
      <w:proofErr w:type="gramStart"/>
      <w:r w:rsidRPr="008F7C1E">
        <w:rPr>
          <w:sz w:val="12"/>
        </w:rPr>
        <w:t>In an effort to</w:t>
      </w:r>
      <w:proofErr w:type="gramEnd"/>
      <w:r w:rsidRPr="008F7C1E">
        <w:rPr>
          <w:sz w:val="12"/>
        </w:rPr>
        <w:t xml:space="preserve"> assess the impact of this policy, this report provides an analysis of the ban on receipt of TANF benefits for individuals with felony drug convictions. First, we survey the current status of the ban at the state level, including actions by legislatures to opt out of the ban in full or in part. Next, we produce estimates of the number of women potentially affected by the ban in those states that apply it in full. We then assess the rationale for the ban and conclude that, for a multiplicity of reasons, the ban not only fails to accomplish its putative goals, but also is likely to negatively impact public health and safety. Finally, we offer policy recommendations for future treatment of the ban on receipt of food stamps and cash assistance for individuals convicted of felony drug crimes. STATE POLICIES Although </w:t>
      </w:r>
      <w:r w:rsidRPr="002B6FE7">
        <w:rPr>
          <w:rStyle w:val="StyleUnderline"/>
        </w:rPr>
        <w:t>PRWORA banned the receipt of SNAP and TANF benefits for individuals with felony drug convictions</w:t>
      </w:r>
      <w:r w:rsidRPr="008F7C1E">
        <w:rPr>
          <w:sz w:val="12"/>
        </w:rPr>
        <w:t xml:space="preserve">, it gave states the discretion to opt-out of or modify the ban. By 2001, eight states and the District of Columbia had entirely opted out of the ban, while an additional 20 states had modified it.10 In the last decade, more states have joined the ranks of those that do not enforce PRWORA’s drug-crime exclusion provisions in full. Despite these changes, a 2011 review of state policies by the Legal Action Center documents that three-quarters of the states enforce the ban in full or in part.11 Currently, 37 states either fully or partially enforce the TANF ban, while 34 states either fully or partially enforce the SNAP ban (Table 1). Of these states, 25 (largely, but not precisely the same for both policies) have modified the ban to allow individuals with felony drug convictions to receive TANF or SNAP benefits under certain circumstances. For example, Arkansas, Florida, and North Dakota allow people to receive TANF if they were convicted of possessing drugs, but not manufacturing or distributing drugs. Other states allow receipt of TANF benefits for individuals who take part in or complete drug treatment, submit to drug testing, or have completed a specified waiting period. North Carolina, for instance, bans people from receiving benefits for six months following completion of a felony drug sentence. Although states are minimally more lenient in allowing people to receive food stamps, SNAP restrictions generally mirror state TANF restrictions. IMPACT OF THE FEDERAL BAN ON TANF The federal ban on TANF benefits has been in effect since 1996. Given the scale of drug convictions annually, the number of individuals affected by the ban is potentially quite substantial. In this analysis we develop estimates of this effect. To produce a conservative estimate of the impact of the ban, we use the following methodology: • First, since state policies vary somewhat between prohibitions on TANF or SNAP we focus here only on the TANF ban. We do so because the financial effect of the TANF ban is more significant for affected households, but with the recognition that many of the individuals excluded under the TANF ban have also lost food stamp benefits. • Our analysis only covers the 12 states that impose a full ban on TANF benefits. Although there are an additional 25 states that impose a partial ban, there is no reliable means of obtaining data on the factors that trigger these bans (such as distinctions between convictions for drug sales or drug use, or the number of people with felony drug convictions enrolled in treatment programs). • Our analysis only covers the effect on women with felony drug convictions. Although the absolute number of men with drug convictions is far greater, women with children are far more representative of the TANF population. Our estimates represent the lifetime potential impact of the TANF ban in these selected states. That is, the prospect that at some point in their lives women who would otherwise qualify for such benefits will </w:t>
      </w:r>
      <w:proofErr w:type="gramStart"/>
      <w:r w:rsidRPr="008F7C1E">
        <w:rPr>
          <w:sz w:val="12"/>
        </w:rPr>
        <w:t>be</w:t>
      </w:r>
      <w:proofErr w:type="gramEnd"/>
      <w:r w:rsidRPr="008F7C1E">
        <w:rPr>
          <w:sz w:val="12"/>
        </w:rPr>
        <w:t xml:space="preserve"> denied them due to a prior felony drug conviction. At any given moment in time, many women would not qualify for these benefits since eligibility criteria include having custody of minor children, meeting income and work requirements, and not having exhausted the lifetime eligibility limit (five years in most states).12 Eligibility for food stamps is similar, except non-parents are also eligible to receive SNAP benefits.13 The estimated number of women potentially affected by the PRWORA ban in states that fully ban people convicted of drug felonies from receiving TANF was derived using data from the Bureau of Justice Statistics’ Felony Sentences in State Courts series.14 These data are based on a nationally representative sample of counties and are available for even years from 1996 through 2006. The average of the preceding and subsequent years was used to estimate odd year values, and the 2006 value was used to approximate values for each year from 2007 through 2012. Estimates of the proportion of sentencing events involving women and the proportion in which a drug offense was the most serious offense were used to estimate the number of women convicted annually of a felony drug offense. The annual estimates were adjusted downward to account for multiple convictions during one sentencing event. Further adjustments were made to account for mortality and reconviction over time. These adjustments led to an estimate of the unique number of women convicted of felony drug offenses from 1996-2011. The estimated total number of women convicted of drug felonies from 1996 through 2011 was apportioned to states according to the estimated proportion of the national combined female probation, parole, and prison populations within those states. As seen in Table 2, for the 15-year period 1996 – 2011 there are now an estimated 180,100 women in these states who may be affected by the TANF ban at some point in their lives. Note that the number of individuals affected would greatly increase if the analysis were expanded to include women in the 25 states that partially implement the ban or who are only seeking SNAP benefits, as well as low-income men with felony drug convictions. THE BAN’S DISPARATE EFFECTS While the TANF ban does not target any demographic groups specifically, </w:t>
      </w:r>
      <w:r w:rsidRPr="002B6FE7">
        <w:rPr>
          <w:rStyle w:val="StyleUnderline"/>
        </w:rPr>
        <w:t>the dynamics of social class and the accompanying disparate racial effects of criminal justice policy and practice combine to produce highly disparate effects on</w:t>
      </w:r>
      <w:r w:rsidRPr="008F7C1E">
        <w:rPr>
          <w:sz w:val="12"/>
        </w:rPr>
        <w:t xml:space="preserve"> </w:t>
      </w:r>
      <w:r w:rsidRPr="002B6FE7">
        <w:rPr>
          <w:rStyle w:val="Emphasis"/>
        </w:rPr>
        <w:t>women</w:t>
      </w:r>
      <w:r w:rsidRPr="008F7C1E">
        <w:rPr>
          <w:sz w:val="12"/>
        </w:rPr>
        <w:t xml:space="preserve">, </w:t>
      </w:r>
      <w:r w:rsidRPr="002B6FE7">
        <w:rPr>
          <w:rStyle w:val="Emphasis"/>
        </w:rPr>
        <w:t>children,</w:t>
      </w:r>
      <w:r w:rsidRPr="008F7C1E">
        <w:rPr>
          <w:sz w:val="12"/>
        </w:rPr>
        <w:t xml:space="preserve"> </w:t>
      </w:r>
      <w:r w:rsidRPr="002B6FE7">
        <w:rPr>
          <w:rStyle w:val="Emphasis"/>
        </w:rPr>
        <w:t>and communities of color</w:t>
      </w:r>
      <w:r w:rsidRPr="008F7C1E">
        <w:rPr>
          <w:sz w:val="12"/>
        </w:rPr>
        <w:t xml:space="preserve">. IMPACT ON WOMEN The ban’s effect on women results from several factors. First, </w:t>
      </w:r>
      <w:r w:rsidRPr="002B6FE7">
        <w:rPr>
          <w:rStyle w:val="StyleUnderline"/>
        </w:rPr>
        <w:t xml:space="preserve">women comprise </w:t>
      </w:r>
      <w:proofErr w:type="gramStart"/>
      <w:r w:rsidRPr="002B6FE7">
        <w:rPr>
          <w:rStyle w:val="StyleUnderline"/>
        </w:rPr>
        <w:t>the vast majority of</w:t>
      </w:r>
      <w:proofErr w:type="gramEnd"/>
      <w:r w:rsidRPr="002B6FE7">
        <w:rPr>
          <w:rStyle w:val="StyleUnderline"/>
        </w:rPr>
        <w:t xml:space="preserve"> recipients of both TANF and SNAP benefits</w:t>
      </w:r>
      <w:r w:rsidRPr="008F7C1E">
        <w:rPr>
          <w:sz w:val="12"/>
        </w:rPr>
        <w:t xml:space="preserve">. In 2009, 85.9% of adult TANF recipients were women;15 women are also about twice as likely as men to receive food stamp benefits at some point in their lives.16 Law enforcement and sentencing trends in recent decades have also combined to skew the effect of the ban on women. This has come about through two interrelated trends - a sharply rising number of women charged with drug offenses and a disproportionate effect of drug law enforcement on women. While prison populations have grown dramatically in recent decades, the rise in women’s incarceration has outstripped that of men. From 1980 to 2010, the number of women in prison rose by 646%, compared to a 419% increase for men.17 Within the prison population, women have been affected more so than men by drug law enforcement. Given that women are typically a small percentage of people who commit violent crimes, their numbers in prison historically were quite low. But </w:t>
      </w:r>
      <w:r w:rsidRPr="002B6FE7">
        <w:rPr>
          <w:rStyle w:val="StyleUnderline"/>
        </w:rPr>
        <w:t>as drug law enforcement accelerated rapidly beginning in the 1980s, women became much more likely to be convicted of a felony or sentenced to prison than in previous eras</w:t>
      </w:r>
      <w:r w:rsidRPr="008F7C1E">
        <w:rPr>
          <w:sz w:val="12"/>
        </w:rPr>
        <w:t xml:space="preserve">. By 2011, 25.1% of women in state prisons were incarcerated for a drug offense, compared to 16.2% of men.18 Thus, </w:t>
      </w:r>
      <w:r w:rsidRPr="002B6FE7">
        <w:rPr>
          <w:rStyle w:val="StyleUnderline"/>
        </w:rPr>
        <w:t>the combination of the high rate of women as SNAP and TANF recipients, along with the disproportionate effect of the drug war on women, has produced the skewed effects of the PRWORA ban</w:t>
      </w:r>
      <w:r w:rsidRPr="008F7C1E">
        <w:rPr>
          <w:sz w:val="12"/>
        </w:rPr>
        <w:t xml:space="preserve">. IMPACT ON CHILDREN In addition to the direct effect of the TANF ban on parents, </w:t>
      </w:r>
      <w:r w:rsidRPr="002B6FE7">
        <w:rPr>
          <w:rStyle w:val="StyleUnderline"/>
        </w:rPr>
        <w:t>the ban also has an immediate impact on their children,</w:t>
      </w:r>
      <w:r w:rsidRPr="008F7C1E">
        <w:rPr>
          <w:sz w:val="12"/>
        </w:rPr>
        <w:t xml:space="preserve"> </w:t>
      </w:r>
      <w:r w:rsidRPr="002B6FE7">
        <w:rPr>
          <w:rStyle w:val="Emphasis"/>
        </w:rPr>
        <w:t>who have committed no crime themselves</w:t>
      </w:r>
      <w:r w:rsidRPr="008F7C1E">
        <w:rPr>
          <w:sz w:val="12"/>
        </w:rPr>
        <w:t xml:space="preserve">. Under the terms of the law, </w:t>
      </w:r>
      <w:r w:rsidRPr="002B6FE7">
        <w:rPr>
          <w:rStyle w:val="StyleUnderline"/>
        </w:rPr>
        <w:t xml:space="preserve">in a TANF eligible household the monthly grant allotment is reduced for the ineligible </w:t>
      </w:r>
      <w:proofErr w:type="gramStart"/>
      <w:r w:rsidRPr="002B6FE7">
        <w:rPr>
          <w:rStyle w:val="StyleUnderline"/>
        </w:rPr>
        <w:t>parent</w:t>
      </w:r>
      <w:r w:rsidRPr="008F7C1E">
        <w:rPr>
          <w:sz w:val="12"/>
        </w:rPr>
        <w:t>, but</w:t>
      </w:r>
      <w:proofErr w:type="gramEnd"/>
      <w:r w:rsidRPr="008F7C1E">
        <w:rPr>
          <w:sz w:val="12"/>
        </w:rPr>
        <w:t xml:space="preserve"> is still allowed for that person’s children. For example, if a single mother with two dependent children has a felony drug conviction the TANF benefit will be reduced from the three-person level to that of a two-person household. Given that TANF benefits are quite modest to begin with, </w:t>
      </w:r>
      <w:r w:rsidRPr="002B6FE7">
        <w:rPr>
          <w:rStyle w:val="StyleUnderline"/>
        </w:rPr>
        <w:t>a reduction of this size creates substantial additional hardship for such families</w:t>
      </w:r>
      <w:r w:rsidRPr="008F7C1E">
        <w:rPr>
          <w:sz w:val="12"/>
        </w:rPr>
        <w:t xml:space="preserve">. RACIAL / ETHNIC IMPACT </w:t>
      </w:r>
      <w:r w:rsidRPr="002B6FE7">
        <w:rPr>
          <w:rStyle w:val="Emphasis"/>
        </w:rPr>
        <w:t>The federal ban</w:t>
      </w:r>
      <w:r w:rsidRPr="008F7C1E">
        <w:rPr>
          <w:sz w:val="12"/>
        </w:rPr>
        <w:t xml:space="preserve"> on receipt of food stamps and cash assistance for individuals with felony drug convictions </w:t>
      </w:r>
      <w:r w:rsidRPr="002B6FE7">
        <w:rPr>
          <w:rStyle w:val="Emphasis"/>
        </w:rPr>
        <w:t>disproportionately impacts African Americans and other minority groups</w:t>
      </w:r>
      <w:r w:rsidRPr="008F7C1E">
        <w:rPr>
          <w:sz w:val="12"/>
        </w:rPr>
        <w:t xml:space="preserve">. </w:t>
      </w:r>
      <w:r w:rsidRPr="002B6FE7">
        <w:rPr>
          <w:rStyle w:val="StyleUnderline"/>
        </w:rPr>
        <w:t>This is a direct reflection of the racial disparities produced by the “war on drugs.”</w:t>
      </w:r>
      <w:r w:rsidRPr="008F7C1E">
        <w:rPr>
          <w:sz w:val="12"/>
        </w:rPr>
        <w:t xml:space="preserve"> Data on illicit drug use collected by the Department of Health and Human Services has consistently shown over time that whites, African Americans, and Latinos use drugs at roughly comparable rates.19 But as of 2011, </w:t>
      </w:r>
      <w:r w:rsidRPr="002B6FE7">
        <w:rPr>
          <w:rStyle w:val="StyleUnderline"/>
        </w:rPr>
        <w:t>African Americans comprised 40.7% of prisoners in state prisons for drug crimes</w:t>
      </w:r>
      <w:r w:rsidRPr="008F7C1E">
        <w:rPr>
          <w:sz w:val="12"/>
        </w:rPr>
        <w:t xml:space="preserve">, while individuals of Hispanic origin made up another 21.1% of this population.20 </w:t>
      </w:r>
      <w:r w:rsidRPr="002B6FE7">
        <w:rPr>
          <w:rStyle w:val="StyleUnderline"/>
        </w:rPr>
        <w:t>Thus, the racial/ethnic disparities in drug offender incarceration produced by the interaction of law enforcement and sentencing policies through the war on drugs then translate into a disproportionate impact of the felony drug ban</w:t>
      </w:r>
      <w:r w:rsidRPr="008F7C1E">
        <w:rPr>
          <w:sz w:val="12"/>
        </w:rPr>
        <w:t xml:space="preserve">. ASSESSING THE BAN AS POLICY As we have seen, the felony drug ban potentially affects hundreds of thousands of women (as well as children and men) over the course of their lifetimes, well after most will have completed serving their felony sentences. For this disproportionately lower-income population, the sudden loss of a job or change in family circumstances can move an otherwise self-supporting household into a situation whereby the loss of federal benefits can make the difference between stability and vulnerability in one’s life prospects. In order to justify such effects, we can explore the possible beneficial effects of the ban that may have motivated federal lawmakers to adopt the policy originally, and to determine to what extent the policy of benefits denial has succeeded in its goals. Although members of Congress did not specifically articulate a rationale for the ban, it has often been assumed that denying SNAP and TANF benefits to individuals convicted of drug crimes arose out of “the government’s desire to deter drug use and to reduce incidences of fraud.”21 The following is an assessment of the ban’s effect on these goals, which leads us to conclude that the ban is not necessary to or effective at achieving them. DETERRING DRUG USE To the extent that policymakers believed that the ban on benefits would deter use, they were unfortunately very misinformed about the connection between substance abuse and certain criminal behaviors. While the ban applies to individuals convicted of a drug offense, many people in this category do not use drugs themselves. Looking at data from 2006 (most recent available) from the Bureau of Justice Statistics, we find that more than half (56%)22 of the 377,860 drug convictions that year were for selling drugs, not using drugs. Some people who sell drugs do so to support their own drug use or addiction, but many do so as a means of making money. In addition, of the remaining 44% of drug convictions for possession, many were for the offense of “possession with intent to deliver,” a charge involving sale of drugs. Therefore, the welfare ban applies to many people convicted of a drug crime who do not use </w:t>
      </w:r>
      <w:proofErr w:type="gramStart"/>
      <w:r w:rsidRPr="008F7C1E">
        <w:rPr>
          <w:sz w:val="12"/>
        </w:rPr>
        <w:t>drugs, but</w:t>
      </w:r>
      <w:proofErr w:type="gramEnd"/>
      <w:r w:rsidRPr="008F7C1E">
        <w:rPr>
          <w:sz w:val="12"/>
        </w:rPr>
        <w:t xml:space="preserve"> does not apply to drug users who have been convicted of larceny, theft, robbery, and a host of other felonies. Denying individuals convicted of drug crimes food stamps and cash assistance is one of the many collateral consequences of a felony conviction that have been termed an “invisible punishment”—a sanction that results from a criminal conviction but “take[s] effect outside of the traditional sentencing framework,” and as a result “operate[s] largely beyond public view, yet ha[s] very serious, adverse consequences for the individuals affected.”23 Collateral consequences in general have dubious value as deterrents, in large part because most people are unaware of the civil penalties that result from criminal convictions. </w:t>
      </w:r>
      <w:proofErr w:type="gramStart"/>
      <w:r w:rsidRPr="008F7C1E">
        <w:rPr>
          <w:sz w:val="12"/>
        </w:rPr>
        <w:t>In particular, there</w:t>
      </w:r>
      <w:proofErr w:type="gramEnd"/>
      <w:r w:rsidRPr="008F7C1E">
        <w:rPr>
          <w:sz w:val="12"/>
        </w:rPr>
        <w:t xml:space="preserve"> is little reason to believe that barring individuals with felony drug convictions from receiving welfare benefits deters drug use or crime. For example, one study of women with drug convictions or pending felony drug charges found that not a single one of the 26 women interviewed was aware prior to her involvement with the criminal justice system that a felony drug conviction could lead to a loss in SNAP or TANF benefits.24 Furthermore, 92% of the women reported that even if they had known of the ban, it “would not have acted as a deterrent during active addiction.”25 Because of the nature of addiction, it is also generally implausible to believe that a person who is not deterred from criminal activity by the specter of criminal prosecution or imprisonment would be halted by the threat of losing access to TANF and SNAP benefits. REDUCING WELFARE </w:t>
      </w:r>
      <w:proofErr w:type="gramStart"/>
      <w:r w:rsidRPr="008F7C1E">
        <w:rPr>
          <w:sz w:val="12"/>
        </w:rPr>
        <w:t>FRAUD</w:t>
      </w:r>
      <w:proofErr w:type="gramEnd"/>
      <w:r w:rsidRPr="008F7C1E">
        <w:rPr>
          <w:sz w:val="12"/>
        </w:rPr>
        <w:t xml:space="preserve"> The ban on receipt of TANF and SNAP benefits for individuals with felony drug convictions is sometimes defended on the ground that the ban helps to reduce fraud in the federal welfare system. The logic of this claim seems to be that individuals with drug convictions are more likely to be drug users, and that drug users are more likely to commit welfare fraud— for example, by using TANF cash payments to buy drugs or by trafficking food stamps.26 The perception that drug users may be likely to commit fraud may be traceable, in part, to “[a] series of media accounts in the early 1990s,” which “suggested that food-stamp benefits were being exchanged readily for cash and contraband.”27 Scholars have noted that the problem with these accounts is that they often involved undercover officers who tried to exchange food stamps for cash, drugs, or weapons, and that while their success in doing so demonstrates that food stamps have value, “[t]</w:t>
      </w:r>
      <w:proofErr w:type="spellStart"/>
      <w:r w:rsidRPr="008F7C1E">
        <w:rPr>
          <w:sz w:val="12"/>
        </w:rPr>
        <w:t>hese</w:t>
      </w:r>
      <w:proofErr w:type="spellEnd"/>
      <w:r w:rsidRPr="008F7C1E">
        <w:rPr>
          <w:sz w:val="12"/>
        </w:rPr>
        <w:t xml:space="preserve"> anecdotes did not establish that households receiving monthly food-stamp allotments—as opposed to undercover agents with benefits provided explicitly for sting operations—were exchanging food stamps improperly.”28 In reality, the SNAP fraud rate is extremely low: from 2006-2008, the trafficking rate for food stamps was approximately one cent per every dollar.29 At least one explanation for the low fraud rate is the fact that SNAP benefits are now issued on an electronic benefit card that functions like a regular debit card and makes it both harder to misuse benefits and easier for the government to identify and track suspicious food stamp activity.30 Even though the fraud rate is low, it is not unreasonable to attempt to detect and prevent the trafficking of food stamps. But disallowing TANF and SNAP benefits to individuals with felony drug convictions is hardly necessary to achieve this goal since federal legislation already proscribes and punishes fraudulent use of welfare benefits.31 In fact, trading controlled substances for SNAP benefits is specifically prohibited in a separate section of the United States Code; individuals who are found to have traded controlled substances for SNAP benefits are punished with two years of SNAP ineligibility for a first offense and permanent ineligibility for a second offense.32 This provision is more closely tailored to the purpose of deterring food stamp fraud than the blanket ban on receipt of food stamps for individuals with felony drug convictions, because it is responsive to actual misuse of benefits regardless of whether the recipient has a history of criminal or drug involvement. In contrast, the ban on receipt of benefits for individuals with felony drug offenses is over-inclusive, because it disallows SNAP benefits to people who have never and would never engage in fraudulent use of SNAP or TANF benefits—for life. IMPLICATIONS FOR REENTRY AND RECIDIVISM Each year, nearly 700,000 people are released from state and federal prison.33 Along with the stigma of the criminal conviction and incarceration that they carry, a host of </w:t>
      </w:r>
      <w:r w:rsidRPr="002B6FE7">
        <w:rPr>
          <w:rStyle w:val="StyleUnderline"/>
        </w:rPr>
        <w:t>public policy restrictions make the reentry process increasingly challenging</w:t>
      </w:r>
      <w:r w:rsidRPr="008F7C1E">
        <w:rPr>
          <w:sz w:val="12"/>
        </w:rPr>
        <w:t xml:space="preserve">. In addition to potentially </w:t>
      </w:r>
      <w:r w:rsidRPr="002B6FE7">
        <w:rPr>
          <w:rStyle w:val="StyleUnderline"/>
        </w:rPr>
        <w:t>losing access to food stamps and TANF benefits, individuals with felony convictions</w:t>
      </w:r>
      <w:r w:rsidRPr="008F7C1E">
        <w:rPr>
          <w:sz w:val="12"/>
        </w:rPr>
        <w:t xml:space="preserve"> (for drug offenses or other felonies, depending on the particular sanction) </w:t>
      </w:r>
      <w:r w:rsidRPr="002B6FE7">
        <w:rPr>
          <w:rStyle w:val="StyleUnderline"/>
        </w:rPr>
        <w:t>may not be eligible for public housing or federal loans to pursue an education; they may face substantial hurdles in obtaining employment</w:t>
      </w:r>
      <w:r w:rsidRPr="008F7C1E">
        <w:rPr>
          <w:sz w:val="12"/>
        </w:rPr>
        <w:t xml:space="preserve">, particularly when this involves applying for a professional license; driver’s licenses may be suspended; and there may be a loss of the right to vote, serve on a jury, or join the military. </w:t>
      </w:r>
      <w:r w:rsidRPr="002B6FE7">
        <w:rPr>
          <w:rStyle w:val="Emphasis"/>
        </w:rPr>
        <w:t>These collateral consequences</w:t>
      </w:r>
      <w:r w:rsidRPr="008F7C1E">
        <w:rPr>
          <w:sz w:val="12"/>
        </w:rPr>
        <w:t xml:space="preserve"> of a criminal conviction </w:t>
      </w:r>
      <w:r w:rsidRPr="002B6FE7">
        <w:rPr>
          <w:rStyle w:val="StyleUnderline"/>
        </w:rPr>
        <w:t>would be difficult to manage under any circumstances, but for people who are trying to reenter society after a period of incarceration, they are particularly damaging.</w:t>
      </w:r>
      <w:r w:rsidRPr="008F7C1E">
        <w:rPr>
          <w:sz w:val="12"/>
        </w:rPr>
        <w:t xml:space="preserve"> Most people returning home from prison had been struggling in some significant way prior to their involvement with the criminal justice system; surveys consistently show that substantial proportions of people who are incarcerated have histories of substance abuse, mental health issues, homelessness, or physical or sexual abuse.34 Without proper support, these individuals may continue to struggle with similar issues upon their release from prison In this context, </w:t>
      </w:r>
      <w:r w:rsidRPr="002B6FE7">
        <w:rPr>
          <w:rStyle w:val="Emphasis"/>
        </w:rPr>
        <w:t>access to SNAP and TANF benefits may be particularly critical</w:t>
      </w:r>
      <w:r w:rsidRPr="008F7C1E">
        <w:rPr>
          <w:sz w:val="12"/>
        </w:rPr>
        <w:t xml:space="preserve">. The </w:t>
      </w:r>
      <w:r w:rsidRPr="002B6FE7">
        <w:rPr>
          <w:rStyle w:val="StyleUnderline"/>
        </w:rPr>
        <w:t>SNAP and TANF</w:t>
      </w:r>
      <w:r w:rsidRPr="008F7C1E">
        <w:rPr>
          <w:sz w:val="12"/>
        </w:rPr>
        <w:t xml:space="preserve"> programs </w:t>
      </w:r>
      <w:r w:rsidRPr="002B6FE7">
        <w:rPr>
          <w:rStyle w:val="StyleUnderline"/>
        </w:rPr>
        <w:t>are designed to provide subsistence level benefits for people who cannot afford to feed themselves or clothe their children</w:t>
      </w:r>
      <w:r w:rsidRPr="008F7C1E">
        <w:rPr>
          <w:sz w:val="12"/>
        </w:rPr>
        <w:t xml:space="preserve">.35 </w:t>
      </w:r>
      <w:r w:rsidRPr="002B6FE7">
        <w:rPr>
          <w:rStyle w:val="StyleUnderline"/>
        </w:rPr>
        <w:t>People who use these benefits typically do so for short periods of time</w:t>
      </w:r>
      <w:r w:rsidRPr="008F7C1E">
        <w:rPr>
          <w:sz w:val="12"/>
        </w:rPr>
        <w:t xml:space="preserve">; one overview of the program found that less than ten percent of recipients used food stamp benefits for five consecutive years.36 People who apply for benefits are more likely to do so in the wake of a catastrophic life event, such as the loss of a job.37 </w:t>
      </w:r>
      <w:r w:rsidRPr="002B6FE7">
        <w:rPr>
          <w:rStyle w:val="StyleUnderline"/>
        </w:rPr>
        <w:t>For formerly incarcerated individuals transitioning back to their home communities, SNAP or TANF benefits can help to meet their basic survival needs</w:t>
      </w:r>
      <w:r w:rsidRPr="008F7C1E">
        <w:rPr>
          <w:sz w:val="12"/>
        </w:rPr>
        <w:t xml:space="preserve"> </w:t>
      </w:r>
      <w:r w:rsidRPr="002B6FE7">
        <w:rPr>
          <w:rStyle w:val="Emphasis"/>
        </w:rPr>
        <w:t>during the period in which they are searching for jobs or housing</w:t>
      </w:r>
      <w:r w:rsidRPr="008F7C1E">
        <w:rPr>
          <w:sz w:val="12"/>
        </w:rPr>
        <w:t xml:space="preserve">. By doing so, </w:t>
      </w:r>
      <w:r w:rsidRPr="002B6FE7">
        <w:rPr>
          <w:rStyle w:val="Emphasis"/>
        </w:rPr>
        <w:t>the programs reduce the likelihood that formerly incarcerated individuals will return to criminal activity to secure food or other essentials</w:t>
      </w:r>
      <w:r w:rsidRPr="008F7C1E">
        <w:rPr>
          <w:sz w:val="12"/>
        </w:rPr>
        <w:t xml:space="preserve"> for themselves or their families. </w:t>
      </w:r>
      <w:r w:rsidRPr="002B6FE7">
        <w:rPr>
          <w:rStyle w:val="StyleUnderline"/>
        </w:rPr>
        <w:t>Restrictions on SNAP and TANF benefits are also counterproductive for providing drug treatment services</w:t>
      </w:r>
      <w:r w:rsidRPr="008F7C1E">
        <w:rPr>
          <w:sz w:val="12"/>
        </w:rPr>
        <w:t xml:space="preserve">. Historically, drug treatment facilities have used their patients’ SNAP and TANF benefits to subsidize the cost of treatment.38 If individuals who are recovering from drug addiction are denied access to these “subsistence benefits, treatment, and safe and sober housing, it is much less likely that these [people] will be able to live drug-free in the community and avoid recidivism.”39 PUBLIC HEALTH EFFECTS </w:t>
      </w:r>
      <w:r w:rsidRPr="00D23622">
        <w:rPr>
          <w:rStyle w:val="StyleUnderline"/>
        </w:rPr>
        <w:t>In addition to enhancing the risk of recidivism</w:t>
      </w:r>
      <w:r w:rsidRPr="008F7C1E">
        <w:rPr>
          <w:sz w:val="12"/>
        </w:rPr>
        <w:t xml:space="preserve">, there is some evidence that </w:t>
      </w:r>
      <w:r w:rsidRPr="00D23622">
        <w:rPr>
          <w:rStyle w:val="StyleUnderline"/>
        </w:rPr>
        <w:t xml:space="preserve">barring individuals with felony drug convictions from receiving food stamps may have </w:t>
      </w:r>
      <w:r w:rsidRPr="00D23622">
        <w:rPr>
          <w:rStyle w:val="Emphasis"/>
        </w:rPr>
        <w:t>troubling public health consequences</w:t>
      </w:r>
      <w:r w:rsidRPr="008F7C1E">
        <w:rPr>
          <w:sz w:val="12"/>
        </w:rPr>
        <w:t xml:space="preserve">. One of the few analyses done in this area was a recent pilot study conducted in Texas, California, and Connecticut that examined </w:t>
      </w:r>
      <w:r w:rsidRPr="002B6FE7">
        <w:rPr>
          <w:rStyle w:val="StyleUnderline"/>
        </w:rPr>
        <w:t>the relationship between “food insecurity and HIV risk behaviors among individuals recently released from U.S. prisons</w:t>
      </w:r>
      <w:r w:rsidRPr="008F7C1E">
        <w:rPr>
          <w:sz w:val="12"/>
        </w:rPr>
        <w:t xml:space="preserve">.”40 The study found that formerly incarcerated people who lived in states that fully enforce </w:t>
      </w:r>
      <w:r w:rsidRPr="002B6FE7">
        <w:rPr>
          <w:rStyle w:val="StyleUnderline"/>
        </w:rPr>
        <w:t>the ban on receipt of food stamps for individuals with felony drug convictions were more likely to report having gone an entire day without eating</w:t>
      </w:r>
      <w:r w:rsidRPr="008F7C1E">
        <w:rPr>
          <w:sz w:val="12"/>
        </w:rPr>
        <w:t xml:space="preserve"> than people who lived in states that did not enforce the ban; furthermore, </w:t>
      </w:r>
      <w:r w:rsidRPr="002B6FE7">
        <w:rPr>
          <w:rStyle w:val="StyleUnderline"/>
        </w:rPr>
        <w:t>people who did not eat for an entire day were more likely to engage in HIV risk behaviors, such as using alcohol, heroin, or cocaine before sex or exchanging sex for money</w:t>
      </w:r>
      <w:r w:rsidRPr="008F7C1E">
        <w:rPr>
          <w:sz w:val="12"/>
        </w:rPr>
        <w:t>.41 While the authors note that the small sample size limits the ability to draw definitive conclusions, they report that “[</w:t>
      </w:r>
      <w:proofErr w:type="spellStart"/>
      <w:r w:rsidRPr="002B6FE7">
        <w:rPr>
          <w:rStyle w:val="StyleUnderline"/>
        </w:rPr>
        <w:t>i</w:t>
      </w:r>
      <w:proofErr w:type="spellEnd"/>
      <w:r w:rsidRPr="002B6FE7">
        <w:rPr>
          <w:rStyle w:val="StyleUnderline"/>
        </w:rPr>
        <w:t>]</w:t>
      </w:r>
      <w:proofErr w:type="spellStart"/>
      <w:r w:rsidRPr="002B6FE7">
        <w:rPr>
          <w:rStyle w:val="StyleUnderline"/>
        </w:rPr>
        <w:t>ndividuals</w:t>
      </w:r>
      <w:proofErr w:type="spellEnd"/>
      <w:r w:rsidRPr="002B6FE7">
        <w:rPr>
          <w:rStyle w:val="StyleUnderline"/>
        </w:rPr>
        <w:t xml:space="preserve"> released from prison are at high risk for food insecurity,</w:t>
      </w:r>
      <w:r w:rsidRPr="008F7C1E">
        <w:rPr>
          <w:sz w:val="12"/>
        </w:rPr>
        <w:t xml:space="preserve">” and that the level of food insecurity among recently released prisoners uncovered by the study “mirror[s] the magnitude of food insecurity in developing countries.”42 Overall, </w:t>
      </w:r>
      <w:r w:rsidRPr="002B6FE7">
        <w:rPr>
          <w:rStyle w:val="StyleUnderline"/>
        </w:rPr>
        <w:t>there is little reason to believe that the drug felony ban has had any constructive impact on either substance abuse or public safety</w:t>
      </w:r>
      <w:r w:rsidRPr="008F7C1E">
        <w:rPr>
          <w:sz w:val="12"/>
        </w:rPr>
        <w:t xml:space="preserve">. States that enforce the ban in full have not conducted any studies that suggest there may be positive outcomes in comparison to states that have fully opted out of the ban. After 17 years of implementation, though, there is reason to believe that affected individuals in these states may be subject to substantial reentry challenges and food insecurity. </w:t>
      </w:r>
    </w:p>
    <w:p w14:paraId="317ADB91" w14:textId="77777777" w:rsidR="00966FB1" w:rsidRPr="00A3094C" w:rsidRDefault="00966FB1" w:rsidP="00966FB1">
      <w:pPr>
        <w:pStyle w:val="Heading4"/>
        <w:rPr>
          <w:rFonts w:eastAsia="Arial" w:cs="Arial"/>
        </w:rPr>
      </w:pPr>
      <w:r w:rsidRPr="00A3094C">
        <w:rPr>
          <w:rFonts w:eastAsia="Arial" w:cs="Arial"/>
        </w:rPr>
        <w:t>Loss of Welfare Assistance and Food Stamps disproportionality affects black women and children</w:t>
      </w:r>
    </w:p>
    <w:p w14:paraId="51460C83" w14:textId="77777777" w:rsidR="00966FB1" w:rsidRPr="00A3094C" w:rsidRDefault="00966FB1" w:rsidP="00966FB1">
      <w:proofErr w:type="spellStart"/>
      <w:r w:rsidRPr="00A3094C">
        <w:rPr>
          <w:rStyle w:val="Heading4Char"/>
          <w:rFonts w:cs="Arial"/>
        </w:rPr>
        <w:t>Finzen</w:t>
      </w:r>
      <w:proofErr w:type="spellEnd"/>
      <w:r w:rsidRPr="00A3094C">
        <w:rPr>
          <w:rStyle w:val="Heading4Char"/>
          <w:rFonts w:cs="Arial"/>
        </w:rPr>
        <w:t xml:space="preserve"> 05.</w:t>
      </w:r>
      <w:r w:rsidRPr="00A3094C">
        <w:t xml:space="preserve"> Margaret E. </w:t>
      </w:r>
      <w:proofErr w:type="spellStart"/>
      <w:r w:rsidRPr="00A3094C">
        <w:t>Finzen</w:t>
      </w:r>
      <w:proofErr w:type="spellEnd"/>
      <w:r w:rsidRPr="00A3094C">
        <w:t xml:space="preserve">- J.D., Georgetown University Law Center (Race and American Law Class). Summer 2005, “NOTE: </w:t>
      </w:r>
      <w:hyperlink r:id="rId42" w:history="1">
        <w:r w:rsidRPr="00A3094C">
          <w:rPr>
            <w:rStyle w:val="Hyperlink"/>
          </w:rPr>
          <w:t>Systems of Oppression: The Collateral Consequences of Incarceration and Their Effects on Black Communities</w:t>
        </w:r>
      </w:hyperlink>
      <w:r w:rsidRPr="00A3094C">
        <w:t xml:space="preserve">” Georgetown Journal on Poverty, Law, &amp; Policy. </w:t>
      </w:r>
      <w:proofErr w:type="spellStart"/>
      <w:r w:rsidRPr="00A3094C">
        <w:t>eg.</w:t>
      </w:r>
      <w:proofErr w:type="spellEnd"/>
    </w:p>
    <w:p w14:paraId="075AD855" w14:textId="77777777" w:rsidR="00966FB1" w:rsidRPr="00A3094C" w:rsidRDefault="00966FB1" w:rsidP="00966FB1">
      <w:pPr>
        <w:rPr>
          <w:sz w:val="16"/>
        </w:rPr>
      </w:pPr>
      <w:r w:rsidRPr="00A3094C">
        <w:rPr>
          <w:sz w:val="16"/>
        </w:rPr>
        <w:t xml:space="preserve">On August 22, 1996, Congress enacted the Personal Responsibility and Work Opportunity Reconciliation Act, a new law that would overhaul and reform welfare by turning it into a program that imposes time limits and work requirements on welfare recipients. </w:t>
      </w:r>
      <w:r w:rsidRPr="00A3094C">
        <w:rPr>
          <w:sz w:val="16"/>
        </w:rPr>
        <w:footnoteReference w:customMarkFollows="1" w:id="120"/>
        <w:t xml:space="preserve">80 Section 115 of the Act, later codified at </w:t>
      </w:r>
      <w:hyperlink r:id="rId43" w:history="1">
        <w:r w:rsidRPr="00A3094C">
          <w:rPr>
            <w:rStyle w:val="Hyperlink"/>
            <w:sz w:val="16"/>
          </w:rPr>
          <w:t xml:space="preserve">21 </w:t>
        </w:r>
      </w:hyperlink>
      <w:hyperlink r:id="rId44" w:history="1">
        <w:r w:rsidRPr="00A3094C">
          <w:rPr>
            <w:rStyle w:val="Hyperlink"/>
            <w:sz w:val="16"/>
          </w:rPr>
          <w:t>U.S.</w:t>
        </w:r>
      </w:hyperlink>
      <w:hyperlink r:id="rId45" w:history="1">
        <w:r w:rsidRPr="00A3094C">
          <w:rPr>
            <w:rStyle w:val="Hyperlink"/>
            <w:sz w:val="16"/>
          </w:rPr>
          <w:t>C. § 862a,</w:t>
        </w:r>
      </w:hyperlink>
      <w:r w:rsidRPr="00A3094C">
        <w:rPr>
          <w:sz w:val="16"/>
        </w:rPr>
        <w:t xml:space="preserve"> states that "</w:t>
      </w:r>
      <w:r w:rsidRPr="00A3094C">
        <w:rPr>
          <w:rStyle w:val="StyleUnderline"/>
        </w:rPr>
        <w:t>anyone convicted of a federal or state felony for conduct occurring on or after August 22, 1996, that involved the possession, use, or distribution of drugs is not eligible to receive food stamps or Temporary Assistance to Needy Families (TANF), and the amount payable to any family or household of which such a person is a member is reduced proportionately.</w:t>
      </w:r>
      <w:r w:rsidRPr="00A3094C">
        <w:rPr>
          <w:sz w:val="16"/>
        </w:rPr>
        <w:t xml:space="preserve">" </w:t>
      </w:r>
      <w:r w:rsidRPr="00A3094C">
        <w:rPr>
          <w:sz w:val="16"/>
        </w:rPr>
        <w:footnoteReference w:customMarkFollows="1" w:id="121"/>
        <w:t xml:space="preserve">81 This ban on food stamps and cash assistance for a drug conviction is a </w:t>
      </w:r>
      <w:r w:rsidRPr="00A3094C">
        <w:rPr>
          <w:rStyle w:val="Emphasis"/>
        </w:rPr>
        <w:t>lifetime ban</w:t>
      </w:r>
      <w:r w:rsidRPr="00A3094C">
        <w:rPr>
          <w:sz w:val="16"/>
        </w:rPr>
        <w:t xml:space="preserve">, meaning that any subsequent drug treatment or rehabilitation does not ameliorate the ban as written. </w:t>
      </w:r>
      <w:r w:rsidRPr="00A3094C">
        <w:rPr>
          <w:sz w:val="16"/>
        </w:rPr>
        <w:footnoteReference w:customMarkFollows="1" w:id="122"/>
        <w:t xml:space="preserve">82 States </w:t>
      </w:r>
      <w:proofErr w:type="gramStart"/>
      <w:r w:rsidRPr="00A3094C">
        <w:rPr>
          <w:sz w:val="16"/>
        </w:rPr>
        <w:t>have the opportunity to</w:t>
      </w:r>
      <w:proofErr w:type="gramEnd"/>
      <w:r w:rsidRPr="00A3094C">
        <w:rPr>
          <w:sz w:val="16"/>
        </w:rPr>
        <w:t xml:space="preserve"> modify, temporally limit, or opt out of the ban. </w:t>
      </w:r>
      <w:r w:rsidRPr="00A3094C">
        <w:rPr>
          <w:sz w:val="16"/>
        </w:rPr>
        <w:footnoteReference w:customMarkFollows="1" w:id="123"/>
        <w:t xml:space="preserve">83 Currently only eight states and the District of Columbia have opted out of the ban, while twenty states have modified the ban and twenty-two states have adopted the ban in its entirety. </w:t>
      </w:r>
      <w:r w:rsidRPr="00A3094C">
        <w:rPr>
          <w:sz w:val="16"/>
        </w:rPr>
        <w:footnoteReference w:customMarkFollows="1" w:id="124"/>
        <w:t xml:space="preserve">84 The most common modification among states exempts individuals who are in treatment, on a waiting list for treatment, or finished with treatment and in recovery. </w:t>
      </w:r>
      <w:r w:rsidRPr="00A3094C">
        <w:rPr>
          <w:sz w:val="16"/>
        </w:rPr>
        <w:footnoteReference w:customMarkFollows="1" w:id="125"/>
        <w:t xml:space="preserve">85 [*310] The ban was introduced and ratified by the Senate with bipartisan support after just two minutes of debate. </w:t>
      </w:r>
      <w:r w:rsidRPr="00A3094C">
        <w:rPr>
          <w:sz w:val="16"/>
        </w:rPr>
        <w:footnoteReference w:customMarkFollows="1" w:id="126"/>
        <w:t xml:space="preserve">86 The sponsor of the ban, Senator Phil Gramm (R-TX), stated that "if we are serious about our drug laws, we ought not to give people welfare benefits who are violating the Nation's drug laws." </w:t>
      </w:r>
      <w:r w:rsidRPr="00A3094C">
        <w:rPr>
          <w:sz w:val="16"/>
        </w:rPr>
        <w:footnoteReference w:customMarkFollows="1" w:id="127"/>
        <w:t xml:space="preserve">87 What Senator Gramm did not realize upon making that statement is that in fact, the complete opposite is true -- if Congress is serious about the nation's drug laws, then Congress ought to ensure that people convicted of drug crimes receive cash assistance and food stamps upon release from prison if needed. Subsequent studies have shown that not only do many prisoners upon release need just such assistance in order to survive, but </w:t>
      </w:r>
      <w:r w:rsidRPr="00A3094C">
        <w:rPr>
          <w:rStyle w:val="Emphasis"/>
        </w:rPr>
        <w:t>without assistance for the basic necessities of life, released prisoners are much more likely to turn to abusing drugs and illegal activities once again.</w:t>
      </w:r>
      <w:r w:rsidRPr="00A3094C">
        <w:rPr>
          <w:sz w:val="16"/>
        </w:rPr>
        <w:t xml:space="preserve"> </w:t>
      </w:r>
      <w:r w:rsidRPr="00A3094C">
        <w:rPr>
          <w:sz w:val="16"/>
        </w:rPr>
        <w:footnoteReference w:customMarkFollows="1" w:id="128"/>
        <w:t xml:space="preserve">88 A study conducted by Patricia Allard of The Sentencing Project in 2002 found that an estimated </w:t>
      </w:r>
      <w:r w:rsidRPr="00A3094C">
        <w:rPr>
          <w:rStyle w:val="StyleUnderline"/>
        </w:rPr>
        <w:t>92,000 women and more than 135,000 children are affected by the ba</w:t>
      </w:r>
      <w:r w:rsidRPr="00A3094C">
        <w:rPr>
          <w:sz w:val="16"/>
        </w:rPr>
        <w:t xml:space="preserve">n. </w:t>
      </w:r>
      <w:r w:rsidRPr="00A3094C">
        <w:rPr>
          <w:sz w:val="16"/>
        </w:rPr>
        <w:footnoteReference w:customMarkFollows="1" w:id="129"/>
        <w:t xml:space="preserve">89 Allard's data was obtained from just twenty-three of the forty-two states that have enacted the ban in part or in full, which indicates that </w:t>
      </w:r>
      <w:r w:rsidRPr="00A3094C">
        <w:rPr>
          <w:rStyle w:val="StyleUnderline"/>
        </w:rPr>
        <w:t>the actual number of women and children whose lives are affected by the lifetime ban is much larger than these numbers suggest</w:t>
      </w:r>
      <w:r w:rsidRPr="00A3094C">
        <w:rPr>
          <w:sz w:val="16"/>
        </w:rPr>
        <w:t xml:space="preserve">. </w:t>
      </w:r>
      <w:r w:rsidRPr="00A3094C">
        <w:rPr>
          <w:sz w:val="16"/>
        </w:rPr>
        <w:footnoteReference w:customMarkFollows="1" w:id="130"/>
        <w:t xml:space="preserve">90 Allard also reported that </w:t>
      </w:r>
      <w:r w:rsidRPr="00A3094C">
        <w:rPr>
          <w:rStyle w:val="Emphasis"/>
        </w:rPr>
        <w:t>the welfare ban has a disproportionate effect on Black and Latina mothers as a result of racially biased drug policies, racially biased enforcement of drug laws, and race and gender-based socioeconomic inequalities.</w:t>
      </w:r>
      <w:r w:rsidRPr="00A3094C">
        <w:rPr>
          <w:sz w:val="16"/>
        </w:rPr>
        <w:t xml:space="preserve"> </w:t>
      </w:r>
      <w:r w:rsidRPr="00A3094C">
        <w:rPr>
          <w:sz w:val="16"/>
        </w:rPr>
        <w:footnoteReference w:customMarkFollows="1" w:id="131"/>
        <w:t xml:space="preserve">91 In five states, Black women represent </w:t>
      </w:r>
      <w:proofErr w:type="gramStart"/>
      <w:r w:rsidRPr="00A3094C">
        <w:rPr>
          <w:sz w:val="16"/>
        </w:rPr>
        <w:t>the majority of</w:t>
      </w:r>
      <w:proofErr w:type="gramEnd"/>
      <w:r w:rsidRPr="00A3094C">
        <w:rPr>
          <w:sz w:val="16"/>
        </w:rPr>
        <w:t xml:space="preserve"> women subject to the ban: 61% in Alabama, 65% in Delaware, 86% in Illinois (Cook County, which includes Chicago), 54% in Mississippi, and 63% in Virginia. </w:t>
      </w:r>
      <w:r w:rsidRPr="00A3094C">
        <w:rPr>
          <w:sz w:val="16"/>
        </w:rPr>
        <w:footnoteReference w:customMarkFollows="1" w:id="132"/>
        <w:t xml:space="preserve">92 In Pennsylvania and Texas, Black and Latina women represent more than 50% of the women affected by the ban. </w:t>
      </w:r>
      <w:r w:rsidRPr="00A3094C">
        <w:rPr>
          <w:sz w:val="16"/>
        </w:rPr>
        <w:footnoteReference w:customMarkFollows="1" w:id="133"/>
        <w:t xml:space="preserve">93 </w:t>
      </w:r>
      <w:r w:rsidRPr="00A3094C">
        <w:rPr>
          <w:rStyle w:val="Emphasis"/>
        </w:rPr>
        <w:t>The ban's impact on women's daily lives takes on added significance</w:t>
      </w:r>
      <w:r w:rsidRPr="00A3094C">
        <w:rPr>
          <w:rStyle w:val="StyleUnderline"/>
        </w:rPr>
        <w:t xml:space="preserve"> upon consideration of the number of women who relied on welfare before going to prison.</w:t>
      </w:r>
      <w:r w:rsidRPr="00A3094C">
        <w:rPr>
          <w:sz w:val="16"/>
        </w:rPr>
        <w:t xml:space="preserve"> Allard's study showed that "almost 30% of mothers in state prison were receiving welfare assistance before their arrest." </w:t>
      </w:r>
      <w:r w:rsidRPr="00A3094C">
        <w:rPr>
          <w:sz w:val="16"/>
        </w:rPr>
        <w:footnoteReference w:customMarkFollows="1" w:id="134"/>
        <w:t xml:space="preserve">94 When broken down into racial [*311] and ethnic categories, Allard discovered that Black women in prison were disproportionate recipients of welfare prior to their incarceration, with 36% of Black mothers receiving welfare assistance as compared to 31% of Latina mothers and 20% of White mothers. </w:t>
      </w:r>
      <w:r w:rsidRPr="00A3094C">
        <w:rPr>
          <w:sz w:val="16"/>
        </w:rPr>
        <w:footnoteReference w:customMarkFollows="1" w:id="135"/>
        <w:t xml:space="preserve">95 Furthermore, Black and Latina mothers faced greater employment insecurity than White mothers, resulting in 50% of Latina mothers and 49% of Black mothers with income under $ 600 per month prior to their arrest, compared with 39% of White mothers with similar incomes pre-arrest. </w:t>
      </w:r>
      <w:r w:rsidRPr="00A3094C">
        <w:rPr>
          <w:sz w:val="16"/>
        </w:rPr>
        <w:footnoteReference w:customMarkFollows="1" w:id="136"/>
        <w:t xml:space="preserve">96 Due to the large number of women that relied on welfare or had income levels well below the poverty line prior to their incarceration, and given the increased obstacles that released prisoners face in obtaining employment, </w:t>
      </w:r>
      <w:r w:rsidRPr="00A3094C">
        <w:rPr>
          <w:rStyle w:val="Emphasis"/>
        </w:rPr>
        <w:t xml:space="preserve">many women must rely on welfare assistance after their release from prison in order to survive. </w:t>
      </w:r>
      <w:r w:rsidRPr="00A3094C">
        <w:rPr>
          <w:rStyle w:val="StyleUnderline"/>
        </w:rPr>
        <w:t>Denying released prisoners access to welfare benefits and food stamps puts ex-convicts that are trying to turn their lives around in an untenable position: individuals who want to live law-abiding lives find themselves with no choice but to turn to illegal activity once again because all legitimate doors of public support are closed to them</w:t>
      </w:r>
      <w:r w:rsidRPr="00A3094C">
        <w:rPr>
          <w:sz w:val="16"/>
        </w:rPr>
        <w:t xml:space="preserve">. As stated by Gwen Rubinstein and Debbie </w:t>
      </w:r>
      <w:proofErr w:type="spellStart"/>
      <w:r w:rsidRPr="00A3094C">
        <w:rPr>
          <w:sz w:val="16"/>
        </w:rPr>
        <w:t>Mukamal</w:t>
      </w:r>
      <w:proofErr w:type="spellEnd"/>
      <w:r w:rsidRPr="00A3094C">
        <w:rPr>
          <w:sz w:val="16"/>
        </w:rPr>
        <w:t xml:space="preserve">: Low-income individuals affected by addiction and criminal records need access to public benefits . . . as they learn to live drug-and crime-free in the community. Without these temporary supports, it is unrealistic to expect full recovery without relapse and recidivism. Yet, laws enacted in recent years counterproductively act as barriers to these benefits, virtually . . . ensuring failure for thousands of Americans affected by addiction. </w:t>
      </w:r>
      <w:r w:rsidRPr="00A3094C">
        <w:rPr>
          <w:sz w:val="16"/>
        </w:rPr>
        <w:footnoteReference w:customMarkFollows="1" w:id="137"/>
        <w:t xml:space="preserve">97 Furthermore, </w:t>
      </w:r>
      <w:r w:rsidRPr="00A3094C">
        <w:rPr>
          <w:rStyle w:val="Emphasis"/>
        </w:rPr>
        <w:t>the ban on welfare assistance and food stamps impermissibly affects the children of convicted offenders</w:t>
      </w:r>
      <w:r w:rsidRPr="00A3094C">
        <w:rPr>
          <w:sz w:val="16"/>
        </w:rPr>
        <w:t xml:space="preserve">. As Allard states, "denying mothers welfare benefits at a time when they may most need them may prove to be exceedingly punitive to the children for whom they care." </w:t>
      </w:r>
      <w:r w:rsidRPr="00A3094C">
        <w:rPr>
          <w:sz w:val="16"/>
        </w:rPr>
        <w:footnoteReference w:customMarkFollows="1" w:id="138"/>
        <w:t xml:space="preserve">98 The Bureau of Justice Statistics at the Department of Justice reports that 55% of state prisoners (49% of whom are Black) and 63% of federal prisoners (44% of whom are Black) have at least one child below the age of eighteen. </w:t>
      </w:r>
      <w:r w:rsidRPr="00A3094C">
        <w:rPr>
          <w:sz w:val="16"/>
        </w:rPr>
        <w:footnoteReference w:customMarkFollows="1" w:id="139"/>
        <w:t xml:space="preserve">99 Allard states that "research clearly shows that the well-being of children is intimately linked to the well-being of their parents." </w:t>
      </w:r>
      <w:r w:rsidRPr="00A3094C">
        <w:rPr>
          <w:sz w:val="16"/>
        </w:rPr>
        <w:footnoteReference w:customMarkFollows="1" w:id="140"/>
        <w:t xml:space="preserve">100 </w:t>
      </w:r>
      <w:r w:rsidRPr="00A3094C">
        <w:rPr>
          <w:rStyle w:val="Emphasis"/>
        </w:rPr>
        <w:t>Children living in stressful family environments, such as those with mothers who are depressed by their inability to provide money and food, are more likely to have academic, emotional, and behavioral [*312] problems</w:t>
      </w:r>
      <w:r w:rsidRPr="00A3094C">
        <w:rPr>
          <w:sz w:val="16"/>
        </w:rPr>
        <w:t xml:space="preserve">. </w:t>
      </w:r>
      <w:r w:rsidRPr="00A3094C">
        <w:rPr>
          <w:sz w:val="16"/>
        </w:rPr>
        <w:footnoteReference w:customMarkFollows="1" w:id="141"/>
        <w:t xml:space="preserve">101 While the amount of cash assistance and food stamps received in a household is reduced by the ex-offender's portion only -- as opposed to an outright denial to the entire household -- this still produces a negative impact on children: a family of three (one mother and two children) that has no other source of income and food will have to split three ways cash and food allocation that was meant for two. </w:t>
      </w:r>
      <w:r w:rsidRPr="00A3094C">
        <w:rPr>
          <w:sz w:val="16"/>
        </w:rPr>
        <w:footnoteReference w:customMarkFollows="1" w:id="142"/>
        <w:t>102</w:t>
      </w:r>
    </w:p>
    <w:p w14:paraId="5773456E" w14:textId="5C14765A" w:rsidR="006C2613" w:rsidRDefault="00966FB1" w:rsidP="006C2613">
      <w:pPr>
        <w:pStyle w:val="Heading3"/>
      </w:pPr>
      <w:r>
        <w:t xml:space="preserve">Impacts: Benefits Denial = Poverty </w:t>
      </w:r>
    </w:p>
    <w:p w14:paraId="180D422D" w14:textId="77777777" w:rsidR="00966FB1" w:rsidRPr="00966FB1" w:rsidRDefault="00966FB1" w:rsidP="00966FB1"/>
    <w:p w14:paraId="79CF4614" w14:textId="77777777" w:rsidR="003B5630" w:rsidRDefault="003B5630" w:rsidP="003B5630">
      <w:pPr>
        <w:pStyle w:val="Heading4"/>
      </w:pPr>
      <w:r>
        <w:t>And, it fuels the cycle of poverty, by denying otherwise eligible people access to food stamps</w:t>
      </w:r>
    </w:p>
    <w:p w14:paraId="1FC0671A" w14:textId="77777777" w:rsidR="003B5630" w:rsidRDefault="003B5630" w:rsidP="003B5630"/>
    <w:p w14:paraId="33401169" w14:textId="77777777" w:rsidR="003B5630" w:rsidRDefault="003B5630" w:rsidP="003B5630">
      <w:pPr>
        <w:rPr>
          <w:rStyle w:val="Style13ptBold"/>
        </w:rPr>
      </w:pPr>
      <w:proofErr w:type="spellStart"/>
      <w:r>
        <w:rPr>
          <w:rStyle w:val="Style13ptBold"/>
        </w:rPr>
        <w:t>Eadler</w:t>
      </w:r>
      <w:proofErr w:type="spellEnd"/>
      <w:r>
        <w:rPr>
          <w:rStyle w:val="Style13ptBold"/>
        </w:rPr>
        <w:t xml:space="preserve"> ‘11</w:t>
      </w:r>
    </w:p>
    <w:p w14:paraId="3BE8AF21" w14:textId="77777777" w:rsidR="003B5630" w:rsidRPr="002576BA" w:rsidRDefault="003B5630" w:rsidP="003B5630">
      <w:r w:rsidRPr="002576BA">
        <w:t>(</w:t>
      </w:r>
      <w:proofErr w:type="spellStart"/>
      <w:r w:rsidRPr="002576BA">
        <w:t>Lyndsy</w:t>
      </w:r>
      <w:proofErr w:type="spellEnd"/>
      <w:r w:rsidRPr="002576BA">
        <w:t xml:space="preserve">, JD, Santa Clara University, May 2011; B.A., University of Florida, magna cum laude, 2008, </w:t>
      </w:r>
      <w:proofErr w:type="gramStart"/>
      <w:r w:rsidRPr="002576BA">
        <w:t>“ PURGING</w:t>
      </w:r>
      <w:proofErr w:type="gramEnd"/>
      <w:r w:rsidRPr="002576BA">
        <w:t xml:space="preserve"> THE DRUG CONVICTION BAN ON FOOD STAMPS IN CALIFORNIA,” </w:t>
      </w:r>
      <w:proofErr w:type="spellStart"/>
      <w:r w:rsidRPr="002576BA">
        <w:t>pg</w:t>
      </w:r>
      <w:proofErr w:type="spellEnd"/>
      <w:r w:rsidRPr="002576BA">
        <w:t xml:space="preserve"> lexis//um-</w:t>
      </w:r>
      <w:proofErr w:type="spellStart"/>
      <w:r w:rsidRPr="002576BA">
        <w:t>ef</w:t>
      </w:r>
      <w:proofErr w:type="spellEnd"/>
      <w:r w:rsidRPr="002576BA">
        <w:t>)</w:t>
      </w:r>
    </w:p>
    <w:p w14:paraId="6893517D" w14:textId="77777777" w:rsidR="003B5630" w:rsidRPr="00E55123" w:rsidRDefault="003B5630" w:rsidP="003B5630">
      <w:pPr>
        <w:rPr>
          <w:sz w:val="14"/>
        </w:rPr>
      </w:pPr>
      <w:r w:rsidRPr="002576BA">
        <w:rPr>
          <w:sz w:val="14"/>
        </w:rPr>
        <w:t xml:space="preserve">Big Picture: Collateral Consequences </w:t>
      </w:r>
      <w:r w:rsidRPr="002576BA">
        <w:rPr>
          <w:rStyle w:val="StyleUnderline"/>
        </w:rPr>
        <w:t>Collateral consequences are increasingly plaguing individuals recently released from prison</w:t>
      </w:r>
      <w:r w:rsidRPr="002576BA">
        <w:rPr>
          <w:sz w:val="14"/>
        </w:rPr>
        <w:t xml:space="preserve">. </w:t>
      </w:r>
      <w:r w:rsidRPr="002576BA">
        <w:rPr>
          <w:rStyle w:val="Emphasis"/>
        </w:rPr>
        <w:t>The federal ban on receiving food stamps is a collateral consequence of a felony drug conviction</w:t>
      </w:r>
      <w:r w:rsidRPr="002576BA">
        <w:rPr>
          <w:sz w:val="14"/>
        </w:rPr>
        <w:t xml:space="preserve">. 70 A collateral consequence is a: </w:t>
      </w:r>
      <w:r w:rsidRPr="002576BA">
        <w:rPr>
          <w:rStyle w:val="StyleUnderline"/>
        </w:rPr>
        <w:t>Legal disability that occurs by operation of law because of a conviction but is not part of the sentence for the crime</w:t>
      </w:r>
      <w:r w:rsidRPr="002576BA">
        <w:rPr>
          <w:sz w:val="14"/>
        </w:rPr>
        <w:t xml:space="preserve">. It is "collateral" because it is not part of the direct sentence. It is a "sanction" because it applies solely because of conviction of a criminal offense. 71 [*131] </w:t>
      </w:r>
      <w:r w:rsidRPr="002576BA">
        <w:rPr>
          <w:rStyle w:val="StyleUnderline"/>
        </w:rPr>
        <w:t>Some scholars have called these consequences "invisible punishment"</w:t>
      </w:r>
      <w:r w:rsidRPr="002576BA">
        <w:rPr>
          <w:sz w:val="14"/>
        </w:rPr>
        <w:t xml:space="preserve"> because they take effect outside of the traditional sentencing framework. 72 Often, collateral consequences are </w:t>
      </w:r>
      <w:r w:rsidRPr="002576BA">
        <w:rPr>
          <w:rStyle w:val="StyleUnderline"/>
        </w:rPr>
        <w:t>imposed by governmental agencies, as is the case with the food stamp ban</w:t>
      </w:r>
      <w:r w:rsidRPr="002576BA">
        <w:rPr>
          <w:sz w:val="14"/>
        </w:rPr>
        <w:t xml:space="preserve">. 73 Significantly, courts are not required to notify a defendant that additional, civil sanctions may arise from a conviction. 74 Although the ban has been designated a collateral consequence, rather than an additional punishment, </w:t>
      </w:r>
      <w:r w:rsidRPr="002576BA">
        <w:rPr>
          <w:rStyle w:val="StyleUnderline"/>
        </w:rPr>
        <w:t>there is undoubtedly a punitive aspect to these sanctions simply because they flow directly from a conviction</w:t>
      </w:r>
      <w:r w:rsidRPr="002576BA">
        <w:rPr>
          <w:sz w:val="14"/>
        </w:rPr>
        <w:t xml:space="preserve">. As one author put it, "through judicial interpretation, legislative fiat, and legal classification, these forms of punishment have been defined as 'civil' rather than criminal in nature, as 'disabilities' rather than punishments, as the 'collateral consequences' of criminal convictions rather than the direct results." 75 III. The California Food Stamp Program &amp; Its Response to the Federal Drug Conviction Ban The federal felony drug conviction ban on receiving food stamps contains an opt-out provision through which the states can choose to accept the federal lifetime ban or make modifications to the terms of the prohibition. "A state may, by specific reference in a law enacted after August 22, 1996, exempt any or all individuals domiciled in the State from the application of subsection (a) of this section." 76 If a state does not opt out [*132] either fully or partially by specific reference in a law, then the federal lifetime ban would apply as written. 77 In 2004, California partially opted out of the drug conviction ban, conditionally restoring food stamp benefits to individuals with personal possession convictions while continuing to hold all other drug offenders to the lifetime ban. 78 In doing so, California joined thirty-two other states that had previously eliminated or modified the federal ban. 79 A. The California Partial Opt-Out Provision Governor Arnold Schwarzenegger signed Assembly Bill 1796 into law on October 1, 2004, partially opting California out of the federal food stamp ban for felony drug offenders. 80 The law went into effect in January 2005. 81 The partial opt-out is codified in California's Welfare &amp; Institutions Code, Section 18901.3. 82 Essentially, it allows only those individuals with a personal possession conviction to become eligible for food stamps. 83 However, this eligibility is conditioned on documented rehabilitation. 84 After completing their judicially imposed sentence, the [*133] individual must provide proof of completion, participation, enrollment, or wait list placement in a government-recognized drug treatment program, or other approved evidence that illegal drug use has stopped. 85 While individuals with possession convictions become potentially eligible for food stamps under the opt-out provision, all other drug felons are still excluded for life. Section 18901.3 specifically excludes from food stamp eligibility those persons convicted of "unlawfully transporting, importing into this state, selling, furnishing, administering, giving away, possessing for sale, purchasing for purposes of sale, manufacturing a controlled substance, possessing precursors with the intent to manufacture a controlled substance, or cultivating, harvesting, or processing marijuana." 86 Also prohibited from receiving food stamps are those individuals convicted of "unlawfully soliciting, inducing, encouraging, or intimidating a minor to participate" in any activities listed above. 87 When Governor Schwarzenegger signed the opt-out provision into law, he issued a signing statement in which he expressed the significant impact that the opt-out provision would have on poor Californians: It is time for California to join the District of Columbia and 31 other states that have eliminated or modified the ban on food stamp benefits for individuals with felony drug convictions. With my signature California will assist individuals in becoming </w:t>
      </w:r>
      <w:proofErr w:type="spellStart"/>
      <w:r w:rsidRPr="002576BA">
        <w:rPr>
          <w:sz w:val="14"/>
        </w:rPr>
        <w:t>self sufficient</w:t>
      </w:r>
      <w:proofErr w:type="spellEnd"/>
      <w:r w:rsidRPr="002576BA">
        <w:rPr>
          <w:sz w:val="14"/>
        </w:rPr>
        <w:t xml:space="preserve">, provide care for their children and overcome their drug addiction while adding millions of federal dollars to our economy. 88 The acceptance of the opt-out provision was long in the making. Since the creation of the federal ban, many different bills had been introduced [*134] in California </w:t>
      </w:r>
      <w:proofErr w:type="gramStart"/>
      <w:r w:rsidRPr="002576BA">
        <w:rPr>
          <w:sz w:val="14"/>
        </w:rPr>
        <w:t>in an attempt to</w:t>
      </w:r>
      <w:proofErr w:type="gramEnd"/>
      <w:r w:rsidRPr="002576BA">
        <w:rPr>
          <w:sz w:val="14"/>
        </w:rPr>
        <w:t xml:space="preserve"> eliminate or modify the ban. 89 Schwarzenegger's predecessor, Governor Gray Davis, had vetoed three separate bills aimed at tempering the drug conviction ban. 90 When rejecting one of these bills, former Governor Davis reasoned that "convicted felons do not deserve the same treatment as law-abiding citizens, especially those that manufacture, transport or distribute drugs." 91 This exemplifies the challenges that food policy advocates and Legislators faced in their efforts to put food in the mouths of poor drug offenders. Much of the same sentiment permeated the Schwarzenegger era. Supporters of the opt-out provision saw the bill's passage as a step in the right direction. Assemblyman Mark Leno, 92 who introduced the measure, spoke of the motivating reason for the opt-out provision: It seemed like a great injustice had been done by Congress in placing this lifetime ban on eligibility for food stamps for those who have been convicted of drug felonies … it only becomes more clear when you realize that someone could have served time for murder, rape, child molestation, bank robbery and be eligible. … . … Unfortunately, we had to limit our opt-out bill to just those who had been convicted of drug possession (as opposed to) possession with intent to sell, which is a slightly larger quantity, or the felony of selling drugs, manufacturing, distributing. 93 [*135] Finally, he recognized that even the partial opt-out was a significant </w:t>
      </w:r>
      <w:proofErr w:type="gramStart"/>
      <w:r w:rsidRPr="002576BA">
        <w:rPr>
          <w:sz w:val="14"/>
        </w:rPr>
        <w:t>achievement, but</w:t>
      </w:r>
      <w:proofErr w:type="gramEnd"/>
      <w:r w:rsidRPr="002576BA">
        <w:rPr>
          <w:sz w:val="14"/>
        </w:rPr>
        <w:t xml:space="preserve"> lamented that a partial opt-out means inequity persists. 94 B. Big Steps, Limited Effect Keeping accurate and up-to-date statistics on the number of people denied food stamps because of drug convictions is difficult. The figures are not comprehensive over the decades. Instead, the numbers only come in increments over broken periods of time. Yet, even these incremental figures show vast amounts of eligible individuals being denied benefits. One researcher estimates that "between 13 and 18 million Americans may be subject to some form of temporary or permanent social exclusion due to prior convictions for drug and other felony offenses." 95 Notably, this approximation refers to nation-wide denial of welfare benefits in a general sense. These figures examine the loss of welfare benefits collectively; they do not represent the loss of food stamps alone. A more recent figure reported specifically on the denial of food stamps. An April 2005 article discussing Assemblyman Leno's AB 1796 - the bill that contained the partial opt-out provision - reported that "at least 1,640 former California drug felons [were] denied food stamps last year." 96 While at first glance that figure may not seem significant, it only encompasses the number of individuals who actually applied for food stamps, self-reported their felony drug conviction during the application process, 97 and then were denied food stamps. The 1,640 </w:t>
      </w:r>
      <w:proofErr w:type="gramStart"/>
      <w:r w:rsidRPr="002576BA">
        <w:rPr>
          <w:sz w:val="14"/>
        </w:rPr>
        <w:t>figure</w:t>
      </w:r>
      <w:proofErr w:type="gramEnd"/>
      <w:r w:rsidRPr="002576BA">
        <w:rPr>
          <w:sz w:val="14"/>
        </w:rPr>
        <w:t xml:space="preserve"> does not represent otherwise eligible individuals who did not apply. 98 Significantly, these figures do not address the number of people beyond the individual drug offender who are affected by the ban. Aside from the direct impact on the individual drug offender, the ban has negative effects on entire households, particularly children within the household. When one member of the household - usually a parent - is denied food stamps, it is reasonable to assume that what generally happens is that any benefits issued to other members of the family are shared among everyone. This means that fewer food stamps must feed more people [*136] than intended, resulting in an inadequate supply of food for the household. Further effects on households and children will be discussed in a subsequent section of this Note, but this illustrates that the data is under-inclusive when it does not account for the effect of the ban on individuals beyond the offender. These figures may be impossible to attain. The Government Accountability Office has echoed this concern, stating that measuring the full effect of the drug felony exclusion is virtually impossible. 99 Yet, the reality of the ban's implications should be reflected in the data. If this is unattainable, it must be remembered that the figure of affected persons is much </w:t>
      </w:r>
      <w:proofErr w:type="gramStart"/>
      <w:r w:rsidRPr="002576BA">
        <w:rPr>
          <w:sz w:val="14"/>
        </w:rPr>
        <w:t>larger in reality, and</w:t>
      </w:r>
      <w:proofErr w:type="gramEnd"/>
      <w:r w:rsidRPr="002576BA">
        <w:rPr>
          <w:sz w:val="14"/>
        </w:rPr>
        <w:t xml:space="preserve"> spans beyond just the drug offender. Both the federal and California food stamp programs are designed to provide sustenance to poor Americans. The federal drug conviction ban categorically denies food stamps to a group of Californians who would otherwise be eligible for the benefit. California's partial opt-out provision applies only to those persons convicted of simple felony drug possession. Yet, individuals whose conviction is beyond personal use remain ineligible for the Food Stamp Program. So, although the partial opt-out is a significant stride in the right direction</w:t>
      </w:r>
      <w:proofErr w:type="gramStart"/>
      <w:r w:rsidRPr="002576BA">
        <w:rPr>
          <w:sz w:val="14"/>
        </w:rPr>
        <w:t>, in reality, it</w:t>
      </w:r>
      <w:proofErr w:type="gramEnd"/>
      <w:r w:rsidRPr="002576BA">
        <w:rPr>
          <w:sz w:val="14"/>
        </w:rPr>
        <w:t xml:space="preserve"> puts food stamps in the hands of only a very limited number of drug offenders. 100 Unless there is a sound, countervailing reason for denying food stamps to those who need them, the denial is antithetical to the recognized purpose of the Food Stamp Program, and as such, California should fully opt out of the federal drug conviction ban. IV. The Revolving Door Spins: California's Partial Opt-Out Lacks Solid Bases and Serves Only to Feed the Cycles of Poverty, Drug Addiction, and Crime </w:t>
      </w:r>
      <w:r w:rsidRPr="002576BA">
        <w:rPr>
          <w:rStyle w:val="StyleUnderline"/>
        </w:rPr>
        <w:t>The originating purpose of the federal Food Stamp Program does not support the automatic denial of life-sustaining food to an entire category of otherwise eligible individuals</w:t>
      </w:r>
      <w:r w:rsidRPr="002576BA">
        <w:rPr>
          <w:sz w:val="14"/>
        </w:rPr>
        <w:t xml:space="preserve">. Aside from this purpose, </w:t>
      </w:r>
      <w:r w:rsidRPr="002576BA">
        <w:rPr>
          <w:rStyle w:val="StyleUnderline"/>
        </w:rPr>
        <w:t>there is no sound reason or research-based support for categorically denying otherwise eligible persons simply by virtue of their drug conviction.</w:t>
      </w:r>
      <w:r w:rsidRPr="002576BA">
        <w:rPr>
          <w:sz w:val="14"/>
        </w:rPr>
        <w:t xml:space="preserve"> Consequently, [*137] California should replace its current partial opt-out provision with a provision that </w:t>
      </w:r>
      <w:proofErr w:type="gramStart"/>
      <w:r w:rsidRPr="002576BA">
        <w:rPr>
          <w:sz w:val="14"/>
        </w:rPr>
        <w:t>completely eliminates</w:t>
      </w:r>
      <w:proofErr w:type="gramEnd"/>
      <w:r w:rsidRPr="002576BA">
        <w:rPr>
          <w:sz w:val="14"/>
        </w:rPr>
        <w:t xml:space="preserve"> the drug conviction ban. Instead of supporting the original purpose, or some other reasonable goal, </w:t>
      </w:r>
      <w:r w:rsidRPr="002576BA">
        <w:rPr>
          <w:rStyle w:val="Emphasis"/>
        </w:rPr>
        <w:t>the continued denial of welfare assistance to individuals who are economically marginal enough to be otherwise eligible only feeds the cycles of poverty</w:t>
      </w:r>
      <w:r w:rsidRPr="002576BA">
        <w:rPr>
          <w:sz w:val="14"/>
        </w:rPr>
        <w:t xml:space="preserve">, </w:t>
      </w:r>
      <w:r w:rsidRPr="002576BA">
        <w:rPr>
          <w:rStyle w:val="StyleUnderline"/>
        </w:rPr>
        <w:t>drug use, and crime</w:t>
      </w:r>
      <w:r w:rsidRPr="002576BA">
        <w:rPr>
          <w:sz w:val="14"/>
        </w:rPr>
        <w:t xml:space="preserve">. 101 This Note advocates for a full opt-out provision in California, allowing all financially eligible individuals, regardless of conviction status, to obtain needed food stamps. 102 Presented in this section are six main arguments to support an expansion of California's opt-out provision. On a moral level, </w:t>
      </w:r>
      <w:r w:rsidRPr="002576BA">
        <w:rPr>
          <w:rStyle w:val="StyleUnderline"/>
        </w:rPr>
        <w:t>humanity dictates that all human beings deserve to eat</w:t>
      </w:r>
      <w:r w:rsidRPr="002576BA">
        <w:rPr>
          <w:sz w:val="14"/>
        </w:rPr>
        <w:t xml:space="preserve">. Secondly, </w:t>
      </w:r>
      <w:r w:rsidRPr="002576BA">
        <w:rPr>
          <w:rStyle w:val="StyleUnderline"/>
        </w:rPr>
        <w:t>the supposed connection between a drug conviction and food stamp fraud is attenuated at best</w:t>
      </w:r>
      <w:r w:rsidRPr="002576BA">
        <w:rPr>
          <w:sz w:val="14"/>
        </w:rPr>
        <w:t xml:space="preserve">. </w:t>
      </w:r>
      <w:r w:rsidRPr="002576BA">
        <w:rPr>
          <w:rStyle w:val="StyleUnderline"/>
        </w:rPr>
        <w:t>Any association between the two is pure conjecture</w:t>
      </w:r>
      <w:r w:rsidRPr="002576BA">
        <w:rPr>
          <w:sz w:val="14"/>
        </w:rPr>
        <w:t xml:space="preserve">. The third argument supporting an extension of the opt-out provision is that the criminal justice system should operate outside of, and </w:t>
      </w:r>
      <w:proofErr w:type="gramStart"/>
      <w:r w:rsidRPr="002576BA">
        <w:rPr>
          <w:sz w:val="14"/>
        </w:rPr>
        <w:t>completely separate</w:t>
      </w:r>
      <w:proofErr w:type="gramEnd"/>
      <w:r w:rsidRPr="002576BA">
        <w:rPr>
          <w:sz w:val="14"/>
        </w:rPr>
        <w:t xml:space="preserve"> from, the social service system. Fourth, the federal ban and California's partial opt-out are over-and under-inclusive, further criminalizing drug activity while reinstating food stamp rights for eligible murderers, rapists, and child molesters. Fifth, and arguably most important, </w:t>
      </w:r>
      <w:r w:rsidRPr="002576BA">
        <w:rPr>
          <w:rStyle w:val="StyleUnderline"/>
        </w:rPr>
        <w:t>denying financially eligible drug offenders' needed food stamps presents a significant barrier to successful reentry into society</w:t>
      </w:r>
      <w:r w:rsidRPr="002576BA">
        <w:rPr>
          <w:sz w:val="14"/>
        </w:rPr>
        <w:t>. Finally, extending access to food stamps for drug offenders makes financial sense, and would even potentially stimulate the local economy. Each of these arguments supports fully reinstating the food stamp rights of all eligible drug offenders.  103</w:t>
      </w:r>
    </w:p>
    <w:p w14:paraId="76AA13B4" w14:textId="77777777" w:rsidR="003B5630" w:rsidRDefault="003B5630" w:rsidP="003B5630">
      <w:pPr>
        <w:pStyle w:val="Heading4"/>
        <w:rPr>
          <w:rFonts w:cstheme="minorHAnsi"/>
        </w:rPr>
      </w:pPr>
      <w:bookmarkStart w:id="3" w:name="_Toc236207174"/>
      <w:r w:rsidRPr="00574355">
        <w:rPr>
          <w:rFonts w:cstheme="minorHAnsi"/>
        </w:rPr>
        <w:t xml:space="preserve">Poverty outweighs nuclear war – magnitude and timeframe </w:t>
      </w:r>
    </w:p>
    <w:p w14:paraId="75C2E4C9" w14:textId="77777777" w:rsidR="003B5630" w:rsidRPr="00BD2C23" w:rsidRDefault="003B5630" w:rsidP="003B5630"/>
    <w:p w14:paraId="50CFF1B9" w14:textId="77777777" w:rsidR="003B5630" w:rsidRDefault="003B5630" w:rsidP="003B5630">
      <w:pPr>
        <w:rPr>
          <w:rStyle w:val="Style13ptBold"/>
          <w:rFonts w:cstheme="minorHAnsi"/>
        </w:rPr>
      </w:pPr>
      <w:r w:rsidRPr="00574355">
        <w:rPr>
          <w:rStyle w:val="Style13ptBold"/>
          <w:rFonts w:cstheme="minorHAnsi"/>
        </w:rPr>
        <w:t>Spina 2k</w:t>
      </w:r>
      <w:bookmarkEnd w:id="3"/>
      <w:r w:rsidRPr="00574355">
        <w:rPr>
          <w:rStyle w:val="Style13ptBold"/>
          <w:rFonts w:cstheme="minorHAnsi"/>
        </w:rPr>
        <w:t xml:space="preserve"> </w:t>
      </w:r>
    </w:p>
    <w:p w14:paraId="5479260A" w14:textId="77777777" w:rsidR="003B5630" w:rsidRPr="00574355" w:rsidRDefault="003B5630" w:rsidP="003B5630">
      <w:pPr>
        <w:rPr>
          <w:rFonts w:cstheme="minorHAnsi"/>
        </w:rPr>
      </w:pPr>
      <w:r w:rsidRPr="00574355">
        <w:rPr>
          <w:rFonts w:cstheme="minorHAnsi"/>
        </w:rPr>
        <w:t xml:space="preserve">(Stephanie </w:t>
      </w:r>
      <w:proofErr w:type="spellStart"/>
      <w:r w:rsidRPr="00574355">
        <w:rPr>
          <w:rFonts w:cstheme="minorHAnsi"/>
        </w:rPr>
        <w:t>Urso</w:t>
      </w:r>
      <w:proofErr w:type="spellEnd"/>
      <w:r w:rsidRPr="00574355">
        <w:rPr>
          <w:rFonts w:cstheme="minorHAnsi"/>
        </w:rPr>
        <w:t>, Ph.D. candidate in social/personality psychology at the Graduate School of the City University of New York, Smoke and Mirrors: The Hidden Context of Violence in Schools and Society, p. 201)</w:t>
      </w:r>
    </w:p>
    <w:p w14:paraId="46B533AF" w14:textId="77777777" w:rsidR="003B5630" w:rsidRPr="00C7422D" w:rsidRDefault="003B5630" w:rsidP="003B5630">
      <w:pPr>
        <w:rPr>
          <w:rFonts w:cstheme="minorHAnsi"/>
          <w:sz w:val="14"/>
        </w:rPr>
      </w:pPr>
      <w:r w:rsidRPr="00BD2C23">
        <w:rPr>
          <w:rFonts w:cstheme="minorHAnsi"/>
          <w:sz w:val="14"/>
        </w:rPr>
        <w:t xml:space="preserve">This sad fact is not limited to the United States.  Globally, </w:t>
      </w:r>
      <w:r w:rsidRPr="005C4464">
        <w:rPr>
          <w:rStyle w:val="Emphasis"/>
          <w:rFonts w:cstheme="minorHAnsi"/>
          <w:highlight w:val="cyan"/>
        </w:rPr>
        <w:t>18 million deaths a year are caused by structural violence,</w:t>
      </w:r>
      <w:r w:rsidRPr="00BD2C23">
        <w:rPr>
          <w:rFonts w:cstheme="minorHAnsi"/>
          <w:sz w:val="14"/>
          <w:highlight w:val="cyan"/>
        </w:rPr>
        <w:t xml:space="preserve"> </w:t>
      </w:r>
      <w:r w:rsidRPr="005C4464">
        <w:rPr>
          <w:rStyle w:val="StyleUnderline"/>
          <w:rFonts w:cstheme="minorHAnsi"/>
          <w:highlight w:val="cyan"/>
        </w:rPr>
        <w:t>compared to 100,000</w:t>
      </w:r>
      <w:r w:rsidRPr="00574355">
        <w:rPr>
          <w:rStyle w:val="StyleUnderline"/>
          <w:rFonts w:cstheme="minorHAnsi"/>
        </w:rPr>
        <w:t xml:space="preserve"> deaths</w:t>
      </w:r>
      <w:r w:rsidRPr="00BD2C23">
        <w:rPr>
          <w:rFonts w:cstheme="minorHAnsi"/>
          <w:sz w:val="14"/>
        </w:rPr>
        <w:t xml:space="preserve"> </w:t>
      </w:r>
      <w:r w:rsidRPr="00574355">
        <w:rPr>
          <w:rStyle w:val="StyleUnderline"/>
          <w:rFonts w:cstheme="minorHAnsi"/>
        </w:rPr>
        <w:t xml:space="preserve">per year </w:t>
      </w:r>
      <w:r w:rsidRPr="005C4464">
        <w:rPr>
          <w:rStyle w:val="StyleUnderline"/>
          <w:rFonts w:cstheme="minorHAnsi"/>
          <w:highlight w:val="cyan"/>
        </w:rPr>
        <w:t xml:space="preserve">from </w:t>
      </w:r>
      <w:r w:rsidRPr="005C4464">
        <w:rPr>
          <w:rStyle w:val="Emphasis"/>
          <w:rFonts w:cstheme="minorHAnsi"/>
          <w:highlight w:val="cyan"/>
        </w:rPr>
        <w:t>armed conflict</w:t>
      </w:r>
      <w:r w:rsidRPr="00BD2C23">
        <w:rPr>
          <w:rFonts w:cstheme="minorHAnsi"/>
          <w:sz w:val="14"/>
        </w:rPr>
        <w:t xml:space="preserve">.  That is, approximately every five years, </w:t>
      </w:r>
      <w:r w:rsidRPr="005C4464">
        <w:rPr>
          <w:rStyle w:val="StyleUnderline"/>
          <w:rFonts w:cstheme="minorHAnsi"/>
          <w:highlight w:val="cyan"/>
        </w:rPr>
        <w:t>as many</w:t>
      </w:r>
      <w:r w:rsidRPr="00574355">
        <w:rPr>
          <w:rStyle w:val="StyleUnderline"/>
          <w:rFonts w:cstheme="minorHAnsi"/>
        </w:rPr>
        <w:t xml:space="preserve"> people </w:t>
      </w:r>
      <w:r w:rsidRPr="005C4464">
        <w:rPr>
          <w:rStyle w:val="StyleUnderline"/>
          <w:rFonts w:cstheme="minorHAnsi"/>
          <w:highlight w:val="cyan"/>
        </w:rPr>
        <w:t>die</w:t>
      </w:r>
      <w:r w:rsidRPr="00574355">
        <w:rPr>
          <w:rStyle w:val="StyleUnderline"/>
          <w:rFonts w:cstheme="minorHAnsi"/>
        </w:rPr>
        <w:t xml:space="preserve"> because </w:t>
      </w:r>
      <w:r w:rsidRPr="005C4464">
        <w:rPr>
          <w:rStyle w:val="StyleUnderline"/>
          <w:rFonts w:cstheme="minorHAnsi"/>
          <w:highlight w:val="cyan"/>
        </w:rPr>
        <w:t>of</w:t>
      </w:r>
      <w:r w:rsidRPr="00574355">
        <w:rPr>
          <w:rStyle w:val="StyleUnderline"/>
          <w:rFonts w:cstheme="minorHAnsi"/>
        </w:rPr>
        <w:t xml:space="preserve"> relative </w:t>
      </w:r>
      <w:r w:rsidRPr="005C4464">
        <w:rPr>
          <w:rStyle w:val="StyleUnderline"/>
          <w:rFonts w:cstheme="minorHAnsi"/>
          <w:highlight w:val="cyan"/>
        </w:rPr>
        <w:t>poverty as would be killed in a</w:t>
      </w:r>
      <w:r w:rsidRPr="00BD2C23">
        <w:rPr>
          <w:rFonts w:cstheme="minorHAnsi"/>
          <w:sz w:val="14"/>
          <w:highlight w:val="cyan"/>
        </w:rPr>
        <w:t xml:space="preserve"> </w:t>
      </w:r>
      <w:r w:rsidRPr="005C4464">
        <w:rPr>
          <w:rStyle w:val="Emphasis"/>
          <w:rFonts w:cstheme="minorHAnsi"/>
          <w:highlight w:val="cyan"/>
        </w:rPr>
        <w:t>nuclear war</w:t>
      </w:r>
      <w:r w:rsidRPr="00574355">
        <w:rPr>
          <w:rStyle w:val="Emphasis"/>
          <w:rFonts w:cstheme="minorHAnsi"/>
        </w:rPr>
        <w:t xml:space="preserve"> </w:t>
      </w:r>
      <w:r w:rsidRPr="00574355">
        <w:rPr>
          <w:rStyle w:val="StyleUnderline"/>
          <w:rFonts w:cstheme="minorHAnsi"/>
        </w:rPr>
        <w:t xml:space="preserve">that caused </w:t>
      </w:r>
      <w:r w:rsidRPr="00574355">
        <w:rPr>
          <w:rStyle w:val="Emphasis"/>
          <w:rFonts w:cstheme="minorHAnsi"/>
        </w:rPr>
        <w:t>232 million deaths</w:t>
      </w:r>
      <w:r w:rsidRPr="00BD2C23">
        <w:rPr>
          <w:rFonts w:cstheme="minorHAnsi"/>
          <w:sz w:val="14"/>
        </w:rPr>
        <w:t xml:space="preserve">, and every single year, two to three times as many people die from poverty throughout the world as were killed by the Nazi genocide of the Jews over a six-year period.  </w:t>
      </w:r>
      <w:r w:rsidRPr="00574355">
        <w:rPr>
          <w:rStyle w:val="StyleUnderline"/>
          <w:rFonts w:cstheme="minorHAnsi"/>
        </w:rPr>
        <w:t>This i</w:t>
      </w:r>
      <w:r w:rsidRPr="00BD2C23">
        <w:rPr>
          <w:rFonts w:cstheme="minorHAnsi"/>
          <w:sz w:val="14"/>
        </w:rPr>
        <w:t xml:space="preserve">s, in effect, </w:t>
      </w:r>
      <w:r w:rsidRPr="005C4464">
        <w:rPr>
          <w:rStyle w:val="StyleUnderline"/>
          <w:rFonts w:cstheme="minorHAnsi"/>
          <w:highlight w:val="cyan"/>
        </w:rPr>
        <w:t xml:space="preserve">the equivalent of an </w:t>
      </w:r>
      <w:r w:rsidRPr="005C4464">
        <w:rPr>
          <w:rStyle w:val="Emphasis"/>
          <w:rFonts w:cstheme="minorHAnsi"/>
          <w:highlight w:val="cyan"/>
        </w:rPr>
        <w:t>ongoing</w:t>
      </w:r>
      <w:r w:rsidRPr="005C4464">
        <w:rPr>
          <w:rStyle w:val="StyleUnderline"/>
          <w:rFonts w:cstheme="minorHAnsi"/>
          <w:highlight w:val="cyan"/>
        </w:rPr>
        <w:t>,</w:t>
      </w:r>
      <w:r w:rsidRPr="00BD2C23">
        <w:rPr>
          <w:rFonts w:cstheme="minorHAnsi"/>
          <w:sz w:val="14"/>
          <w:highlight w:val="cyan"/>
        </w:rPr>
        <w:t xml:space="preserve"> </w:t>
      </w:r>
      <w:r w:rsidRPr="005C4464">
        <w:rPr>
          <w:rStyle w:val="Emphasis"/>
          <w:rFonts w:cstheme="minorHAnsi"/>
          <w:highlight w:val="cyan"/>
        </w:rPr>
        <w:t>unending</w:t>
      </w:r>
      <w:r w:rsidRPr="00BD2C23">
        <w:rPr>
          <w:rFonts w:cstheme="minorHAnsi"/>
          <w:sz w:val="14"/>
        </w:rPr>
        <w:t xml:space="preserve">, in fact </w:t>
      </w:r>
      <w:r w:rsidRPr="005C4464">
        <w:rPr>
          <w:rStyle w:val="Emphasis"/>
          <w:rFonts w:cstheme="minorHAnsi"/>
          <w:highlight w:val="cyan"/>
        </w:rPr>
        <w:t>accelerating</w:t>
      </w:r>
      <w:r w:rsidRPr="00BD2C23">
        <w:rPr>
          <w:rFonts w:cstheme="minorHAnsi"/>
          <w:sz w:val="14"/>
          <w:highlight w:val="cyan"/>
        </w:rPr>
        <w:t xml:space="preserve">, </w:t>
      </w:r>
      <w:r w:rsidRPr="005C4464">
        <w:rPr>
          <w:rStyle w:val="Emphasis"/>
          <w:rFonts w:cstheme="minorHAnsi"/>
          <w:highlight w:val="cyan"/>
        </w:rPr>
        <w:t>thermonuclear war</w:t>
      </w:r>
      <w:r w:rsidRPr="00BD2C23">
        <w:rPr>
          <w:rFonts w:cstheme="minorHAnsi"/>
          <w:sz w:val="14"/>
        </w:rPr>
        <w:t xml:space="preserve"> or genocide, </w:t>
      </w:r>
      <w:r w:rsidRPr="005C4464">
        <w:rPr>
          <w:rStyle w:val="StyleUnderline"/>
          <w:rFonts w:cstheme="minorHAnsi"/>
          <w:highlight w:val="cyan"/>
        </w:rPr>
        <w:t>perpetuated on the</w:t>
      </w:r>
      <w:r w:rsidRPr="00BD2C23">
        <w:rPr>
          <w:rFonts w:cstheme="minorHAnsi"/>
          <w:sz w:val="14"/>
        </w:rPr>
        <w:t xml:space="preserve"> weak and the </w:t>
      </w:r>
      <w:r w:rsidRPr="005C4464">
        <w:rPr>
          <w:rStyle w:val="Emphasis"/>
          <w:rFonts w:cstheme="minorHAnsi"/>
          <w:highlight w:val="cyan"/>
        </w:rPr>
        <w:t>poor every year of every decade</w:t>
      </w:r>
      <w:r w:rsidRPr="00BD2C23">
        <w:rPr>
          <w:rFonts w:cstheme="minorHAnsi"/>
          <w:sz w:val="14"/>
          <w:highlight w:val="cyan"/>
        </w:rPr>
        <w:t xml:space="preserve">, </w:t>
      </w:r>
      <w:r w:rsidRPr="005C4464">
        <w:rPr>
          <w:rStyle w:val="StyleUnderline"/>
          <w:rFonts w:cstheme="minorHAnsi"/>
          <w:highlight w:val="cyan"/>
        </w:rPr>
        <w:t>throughout the world</w:t>
      </w:r>
      <w:r w:rsidRPr="00BD2C23">
        <w:rPr>
          <w:rFonts w:cstheme="minorHAnsi"/>
          <w:sz w:val="14"/>
        </w:rPr>
        <w:t xml:space="preserve">. </w:t>
      </w:r>
    </w:p>
    <w:p w14:paraId="21B8F9DD" w14:textId="14488395" w:rsidR="00603BBE" w:rsidRPr="00966FB1" w:rsidRDefault="00603BBE" w:rsidP="00966FB1">
      <w:pPr>
        <w:pStyle w:val="Heading3"/>
      </w:pPr>
      <w:r w:rsidRPr="00966FB1">
        <w:t>CC = Stigma/Poverty</w:t>
      </w:r>
    </w:p>
    <w:p w14:paraId="29102421" w14:textId="3926D4A8" w:rsidR="0002299E" w:rsidRDefault="0002299E" w:rsidP="0002299E">
      <w:pPr>
        <w:pStyle w:val="Heading4"/>
        <w:rPr>
          <w:rStyle w:val="Style13ptBold"/>
          <w:b/>
          <w:bCs w:val="0"/>
        </w:rPr>
      </w:pPr>
      <w:r>
        <w:rPr>
          <w:rStyle w:val="Style13ptBold"/>
          <w:b/>
          <w:bCs w:val="0"/>
        </w:rPr>
        <w:t>Collateral consequences create social stigma that causes a feedback loop of poverty and unemployment</w:t>
      </w:r>
    </w:p>
    <w:p w14:paraId="6B46DA21" w14:textId="77777777" w:rsidR="0002299E" w:rsidRPr="0053725A" w:rsidRDefault="0002299E" w:rsidP="0002299E">
      <w:proofErr w:type="spellStart"/>
      <w:r>
        <w:rPr>
          <w:rStyle w:val="Style13ptBold"/>
        </w:rPr>
        <w:t>Wolitz</w:t>
      </w:r>
      <w:proofErr w:type="spellEnd"/>
      <w:r>
        <w:rPr>
          <w:rStyle w:val="Style13ptBold"/>
        </w:rPr>
        <w:t xml:space="preserve"> 09 </w:t>
      </w:r>
      <w:r>
        <w:rPr>
          <w:rStyle w:val="Style13ptBold"/>
          <w:b w:val="0"/>
          <w:bCs w:val="0"/>
          <w:sz w:val="22"/>
          <w:szCs w:val="18"/>
        </w:rPr>
        <w:t xml:space="preserve">(David </w:t>
      </w:r>
      <w:proofErr w:type="spellStart"/>
      <w:r>
        <w:rPr>
          <w:rStyle w:val="Style13ptBold"/>
          <w:b w:val="0"/>
          <w:bCs w:val="0"/>
          <w:sz w:val="22"/>
          <w:szCs w:val="18"/>
        </w:rPr>
        <w:t>Wolitz</w:t>
      </w:r>
      <w:proofErr w:type="spellEnd"/>
      <w:r>
        <w:rPr>
          <w:rStyle w:val="Style13ptBold"/>
          <w:b w:val="0"/>
          <w:bCs w:val="0"/>
          <w:sz w:val="22"/>
          <w:szCs w:val="18"/>
        </w:rPr>
        <w:t xml:space="preserve"> is an </w:t>
      </w:r>
      <w:r w:rsidRPr="0053725A">
        <w:t>Associate Professor</w:t>
      </w:r>
      <w:r>
        <w:t xml:space="preserve"> of</w:t>
      </w:r>
      <w:r w:rsidRPr="0053725A">
        <w:t xml:space="preserve"> Legal Research and Writing</w:t>
      </w:r>
      <w:r>
        <w:t xml:space="preserve"> at</w:t>
      </w:r>
      <w:r w:rsidRPr="0053725A">
        <w:t xml:space="preserve"> Georgetown University Law Center</w:t>
      </w:r>
      <w:r>
        <w:t xml:space="preserve"> and has a</w:t>
      </w:r>
      <w:r w:rsidRPr="0053725A">
        <w:t xml:space="preserve"> J.D.</w:t>
      </w:r>
      <w:r>
        <w:t xml:space="preserve"> from</w:t>
      </w:r>
      <w:r w:rsidRPr="0053725A">
        <w:t xml:space="preserve"> Yale Law School</w:t>
      </w:r>
      <w:r>
        <w:t>, 7/26/09, “</w:t>
      </w:r>
      <w:r w:rsidRPr="0053725A">
        <w:t>The Stigma of Conviction: Coram Nobis, Civil Disabilities, and the Right to Clear One's Name</w:t>
      </w:r>
      <w:r>
        <w:t>”, p. 26-31)</w:t>
      </w:r>
      <w:proofErr w:type="spellStart"/>
      <w:r>
        <w:t>kiihnl</w:t>
      </w:r>
      <w:proofErr w:type="spellEnd"/>
    </w:p>
    <w:p w14:paraId="182B2385" w14:textId="77777777" w:rsidR="0002299E" w:rsidRPr="0053725A" w:rsidRDefault="0002299E" w:rsidP="0002299E">
      <w:pPr>
        <w:rPr>
          <w:sz w:val="16"/>
          <w:szCs w:val="16"/>
        </w:rPr>
      </w:pPr>
      <w:r w:rsidRPr="0053725A">
        <w:rPr>
          <w:sz w:val="16"/>
          <w:szCs w:val="16"/>
        </w:rPr>
        <w:t xml:space="preserve">In this Part, I will first summarize the literature on the "non-legal" collateral consequences of criminal conviction and explain why </w:t>
      </w:r>
      <w:r w:rsidRPr="00C44751">
        <w:rPr>
          <w:b/>
          <w:bCs/>
          <w:u w:val="single"/>
        </w:rPr>
        <w:t>the reputational harm of conviction is more salient now than in the past</w:t>
      </w:r>
      <w:r w:rsidRPr="0053725A">
        <w:rPr>
          <w:sz w:val="16"/>
          <w:szCs w:val="16"/>
        </w:rPr>
        <w:t xml:space="preserve">. Then, I will show that our courts have consistently recognized reputational injury both as a threshold basis for litigation and as a type of injury susceptible to judicial redress. Thus, I argue, granting </w:t>
      </w:r>
      <w:proofErr w:type="spellStart"/>
      <w:r w:rsidRPr="0053725A">
        <w:rPr>
          <w:sz w:val="16"/>
          <w:szCs w:val="16"/>
        </w:rPr>
        <w:t>coram</w:t>
      </w:r>
      <w:proofErr w:type="spellEnd"/>
      <w:r w:rsidRPr="0053725A">
        <w:rPr>
          <w:sz w:val="16"/>
          <w:szCs w:val="16"/>
        </w:rPr>
        <w:t xml:space="preserve"> nobis relief to those bearing an unjust conviction and suffering reputational injury would be entirely consistent with general legal norms regarding reputational injury.</w:t>
      </w:r>
    </w:p>
    <w:p w14:paraId="49FE5EC9" w14:textId="77777777" w:rsidR="0002299E" w:rsidRPr="0053725A" w:rsidRDefault="0002299E" w:rsidP="0002299E">
      <w:pPr>
        <w:rPr>
          <w:sz w:val="16"/>
          <w:szCs w:val="16"/>
        </w:rPr>
      </w:pPr>
      <w:r w:rsidRPr="0053725A">
        <w:rPr>
          <w:sz w:val="16"/>
          <w:szCs w:val="16"/>
        </w:rPr>
        <w:t>A. Non-legal Collateral Consequences of Conviction</w:t>
      </w:r>
    </w:p>
    <w:p w14:paraId="3E872B13" w14:textId="77777777" w:rsidR="0002299E" w:rsidRPr="0053725A" w:rsidRDefault="0002299E" w:rsidP="0002299E">
      <w:r w:rsidRPr="0053725A">
        <w:rPr>
          <w:sz w:val="16"/>
          <w:szCs w:val="16"/>
        </w:rPr>
        <w:t xml:space="preserve">The wide-ranging extent of civil disabilities triggered by criminal conviction is receiving increased scrutiny in the legal literature, and rightly so.  </w:t>
      </w:r>
      <w:r w:rsidRPr="0053725A">
        <w:rPr>
          <w:sz w:val="16"/>
          <w:szCs w:val="16"/>
        </w:rPr>
        <w:footnoteReference w:customMarkFollows="1" w:id="143"/>
        <w:t>183 Depending on the jurisdiction and the type of conviction</w:t>
      </w:r>
      <w:r w:rsidRPr="00C44751">
        <w:rPr>
          <w:b/>
          <w:bCs/>
          <w:sz w:val="16"/>
          <w:szCs w:val="16"/>
        </w:rPr>
        <w:t xml:space="preserve">, </w:t>
      </w:r>
      <w:r w:rsidRPr="00C44751">
        <w:rPr>
          <w:b/>
          <w:bCs/>
          <w:u w:val="single"/>
        </w:rPr>
        <w:t xml:space="preserve">a single conviction may result in a plethora of adverse legal consequences </w:t>
      </w:r>
      <w:r w:rsidRPr="00BE2F0E">
        <w:rPr>
          <w:b/>
          <w:bCs/>
          <w:u w:val="single"/>
        </w:rPr>
        <w:t>apart from custody, ranging from disenfranchisement and inability to serve in the Armed Forces to ineligibility for welfare benefits, student loans, and public housing</w:t>
      </w:r>
      <w:r w:rsidRPr="0053725A">
        <w:rPr>
          <w:sz w:val="16"/>
          <w:szCs w:val="16"/>
        </w:rPr>
        <w:t xml:space="preserve">.  </w:t>
      </w:r>
      <w:r w:rsidRPr="0053725A">
        <w:rPr>
          <w:sz w:val="16"/>
          <w:szCs w:val="16"/>
        </w:rPr>
        <w:footnoteReference w:customMarkFollows="1" w:id="144"/>
        <w:t xml:space="preserve">184 These disabilities are deemed "civil" in nature by the courts and not part of the proscribed punishment of the criminal law - hence, they are referred to as "collateral," as opposed to direct, consequences of the criminal process. </w:t>
      </w:r>
      <w:r w:rsidRPr="0053725A">
        <w:rPr>
          <w:sz w:val="16"/>
          <w:szCs w:val="16"/>
          <w:u w:val="single"/>
        </w:rPr>
        <w:t>Defendants</w:t>
      </w:r>
      <w:r w:rsidRPr="0053725A">
        <w:rPr>
          <w:sz w:val="16"/>
          <w:szCs w:val="16"/>
        </w:rPr>
        <w:t xml:space="preserve">, even those contemplating plea-bargains, </w:t>
      </w:r>
      <w:r w:rsidRPr="00BE2F0E">
        <w:rPr>
          <w:b/>
          <w:bCs/>
          <w:u w:val="single"/>
        </w:rPr>
        <w:t>are often unaware of these collateral consequences</w:t>
      </w:r>
      <w:r w:rsidRPr="0053725A">
        <w:rPr>
          <w:sz w:val="16"/>
          <w:szCs w:val="16"/>
        </w:rPr>
        <w:t xml:space="preserve">.  </w:t>
      </w:r>
      <w:r w:rsidRPr="0053725A">
        <w:rPr>
          <w:sz w:val="16"/>
          <w:szCs w:val="16"/>
        </w:rPr>
        <w:footnoteReference w:customMarkFollows="1" w:id="145"/>
        <w:t xml:space="preserve">185 And even savvy defense counsel would have great difficulty in explaining the full range of civil disabilities to their clients because such disabilities are scattered throughout the law, nowhere codified </w:t>
      </w:r>
      <w:proofErr w:type="gramStart"/>
      <w:r w:rsidRPr="0053725A">
        <w:rPr>
          <w:sz w:val="16"/>
          <w:szCs w:val="16"/>
        </w:rPr>
        <w:t>or  [</w:t>
      </w:r>
      <w:proofErr w:type="gramEnd"/>
      <w:r w:rsidRPr="0053725A">
        <w:rPr>
          <w:sz w:val="16"/>
          <w:szCs w:val="16"/>
        </w:rPr>
        <w:t xml:space="preserve">*1312]  centralized.  </w:t>
      </w:r>
      <w:r w:rsidRPr="0053725A">
        <w:rPr>
          <w:sz w:val="16"/>
          <w:szCs w:val="16"/>
        </w:rPr>
        <w:footnoteReference w:customMarkFollows="1" w:id="146"/>
        <w:t xml:space="preserve">186 But as problematic as these civil disabilities are, particularly for low-income ex-offenders, they are at least on the books and thus subject to criticism and debate. Moreover, </w:t>
      </w:r>
      <w:r w:rsidRPr="00BE2F0E">
        <w:rPr>
          <w:b/>
          <w:bCs/>
          <w:u w:val="single"/>
        </w:rPr>
        <w:t xml:space="preserve">the civil disabilities test recognizes the bite of these collateral consequences and holds out the possibility of </w:t>
      </w:r>
      <w:proofErr w:type="spellStart"/>
      <w:r w:rsidRPr="00BE2F0E">
        <w:rPr>
          <w:b/>
          <w:bCs/>
          <w:u w:val="single"/>
        </w:rPr>
        <w:t>coram</w:t>
      </w:r>
      <w:proofErr w:type="spellEnd"/>
      <w:r w:rsidRPr="00BE2F0E">
        <w:rPr>
          <w:b/>
          <w:bCs/>
          <w:u w:val="single"/>
        </w:rPr>
        <w:t xml:space="preserve"> nobis relief to a petitioner who can show present, non-trivial harm as a result of such official civil disabilities</w:t>
      </w:r>
      <w:r w:rsidRPr="0053725A">
        <w:t>.</w:t>
      </w:r>
    </w:p>
    <w:p w14:paraId="628C3A83" w14:textId="77777777" w:rsidR="0002299E" w:rsidRPr="00BE2F0E" w:rsidRDefault="0002299E" w:rsidP="0002299E">
      <w:pPr>
        <w:rPr>
          <w:b/>
          <w:bCs/>
          <w:u w:val="single"/>
        </w:rPr>
      </w:pPr>
      <w:r w:rsidRPr="0053725A">
        <w:rPr>
          <w:sz w:val="16"/>
          <w:szCs w:val="16"/>
        </w:rPr>
        <w:t>In addition to the formal civil disabilities affecting the rights and privileges of a convicted person vis-a-vis the state, we must also consider the non-legal collateral consequences of conviction.</w:t>
      </w:r>
      <w:r w:rsidRPr="0053725A">
        <w:t xml:space="preserve"> </w:t>
      </w:r>
      <w:r w:rsidRPr="00C44751">
        <w:rPr>
          <w:b/>
          <w:bCs/>
          <w:u w:val="single"/>
        </w:rPr>
        <w:t>Criminal conviction</w:t>
      </w:r>
      <w:r w:rsidRPr="00BE2F0E">
        <w:rPr>
          <w:b/>
          <w:bCs/>
          <w:u w:val="single"/>
        </w:rPr>
        <w:t xml:space="preserve"> is not only a process leading to direct sentencing and collateral legal consequences - it also </w:t>
      </w:r>
      <w:r w:rsidRPr="00C44751">
        <w:rPr>
          <w:b/>
          <w:bCs/>
          <w:u w:val="single"/>
        </w:rPr>
        <w:t>represents a serious social stigma</w:t>
      </w:r>
      <w:r w:rsidRPr="00BE2F0E">
        <w:rPr>
          <w:b/>
          <w:bCs/>
          <w:u w:val="single"/>
        </w:rPr>
        <w:t xml:space="preserve">, one of society's most effective ways of broadcasting that a </w:t>
      </w:r>
      <w:proofErr w:type="gramStart"/>
      <w:r w:rsidRPr="00BE2F0E">
        <w:rPr>
          <w:b/>
          <w:bCs/>
          <w:u w:val="single"/>
        </w:rPr>
        <w:t>particular individual</w:t>
      </w:r>
      <w:proofErr w:type="gramEnd"/>
      <w:r w:rsidRPr="00BE2F0E">
        <w:rPr>
          <w:b/>
          <w:bCs/>
          <w:u w:val="single"/>
        </w:rPr>
        <w:t xml:space="preserve"> engaged in deviant conduct</w:t>
      </w:r>
      <w:r w:rsidRPr="0053725A">
        <w:rPr>
          <w:sz w:val="16"/>
          <w:szCs w:val="16"/>
        </w:rPr>
        <w:t xml:space="preserve">. Some sociologists liken conviction to a "Mark of Cain," a </w:t>
      </w:r>
      <w:proofErr w:type="gramStart"/>
      <w:r w:rsidRPr="0053725A">
        <w:rPr>
          <w:sz w:val="16"/>
          <w:szCs w:val="16"/>
        </w:rPr>
        <w:t>stigmata</w:t>
      </w:r>
      <w:proofErr w:type="gramEnd"/>
      <w:r w:rsidRPr="0053725A">
        <w:rPr>
          <w:sz w:val="16"/>
          <w:szCs w:val="16"/>
        </w:rPr>
        <w:t xml:space="preserve"> perhaps less cruel than branding but serving the same function in a bureaucratic vein.  </w:t>
      </w:r>
      <w:r w:rsidRPr="0053725A">
        <w:rPr>
          <w:sz w:val="16"/>
          <w:szCs w:val="16"/>
        </w:rPr>
        <w:footnoteReference w:customMarkFollows="1" w:id="147"/>
        <w:t>187 The important point is that a conviction has social meaning and changes a person's social status. We have words such as criminal, convict, ex-con, offender, etc., each of which suggests the negative social status resulting from conviction. Conviction is part of a process of "tagging, defining, identifying, segregating, describing, emphasizing, making conscious and self-conscious</w:t>
      </w:r>
      <w:proofErr w:type="gramStart"/>
      <w:r w:rsidRPr="0053725A">
        <w:rPr>
          <w:sz w:val="16"/>
          <w:szCs w:val="16"/>
        </w:rPr>
        <w:t xml:space="preserve">"  </w:t>
      </w:r>
      <w:r w:rsidRPr="0053725A">
        <w:rPr>
          <w:sz w:val="16"/>
          <w:szCs w:val="16"/>
        </w:rPr>
        <w:footnoteReference w:customMarkFollows="1" w:id="148"/>
        <w:t>188</w:t>
      </w:r>
      <w:proofErr w:type="gramEnd"/>
      <w:r w:rsidRPr="0053725A">
        <w:rPr>
          <w:sz w:val="16"/>
          <w:szCs w:val="16"/>
        </w:rPr>
        <w:t xml:space="preserve"> the criminal element in society. </w:t>
      </w:r>
      <w:r w:rsidRPr="00BE2F0E">
        <w:rPr>
          <w:b/>
          <w:bCs/>
          <w:u w:val="single"/>
        </w:rPr>
        <w:t>The economic, social, and domestic consequences of conviction can be severe.</w:t>
      </w:r>
    </w:p>
    <w:p w14:paraId="38AD9FC9" w14:textId="77777777" w:rsidR="0002299E" w:rsidRPr="0053725A" w:rsidRDefault="0002299E" w:rsidP="0002299E">
      <w:pPr>
        <w:rPr>
          <w:sz w:val="16"/>
          <w:szCs w:val="16"/>
        </w:rPr>
      </w:pPr>
      <w:r w:rsidRPr="00C44751">
        <w:rPr>
          <w:b/>
          <w:bCs/>
          <w:u w:val="single"/>
        </w:rPr>
        <w:t>The most tangible of the non-legal consequences of conviction is the loss of employment prospects</w:t>
      </w:r>
      <w:r w:rsidRPr="00BE2F0E">
        <w:rPr>
          <w:b/>
          <w:bCs/>
          <w:u w:val="single"/>
        </w:rPr>
        <w:t xml:space="preserve">. Upon conviction, a whole range of public-sector and regulated occupations become immediately off limits. </w:t>
      </w:r>
      <w:r w:rsidRPr="0053725A">
        <w:rPr>
          <w:sz w:val="16"/>
          <w:szCs w:val="16"/>
        </w:rPr>
        <w:t xml:space="preserve">These include a vast array of government, military, transportation, medical, legal, and even real estate positions, among others.  </w:t>
      </w:r>
      <w:r w:rsidRPr="0053725A">
        <w:rPr>
          <w:sz w:val="16"/>
          <w:szCs w:val="16"/>
        </w:rPr>
        <w:footnoteReference w:customMarkFollows="1" w:id="149"/>
        <w:t xml:space="preserve">189 More importantly, the lack of private-sector opportunities is correspondingly severe. Many studies have detailed the (understandable) reluctance of employers to hire ex-offenders.  </w:t>
      </w:r>
      <w:r w:rsidRPr="0053725A">
        <w:rPr>
          <w:sz w:val="16"/>
          <w:szCs w:val="16"/>
        </w:rPr>
        <w:footnoteReference w:customMarkFollows="1" w:id="150"/>
        <w:t xml:space="preserve">190 In  [*1313]  one Urban Institute study "examining the willingness of employers to hire from disadvantaged or stigmatized groups, convicted felons placed dead last, with only 40% of employers saying they would "definitely' or "probably' hire someone with a criminal record for an unskilled position."  </w:t>
      </w:r>
      <w:r w:rsidRPr="0053725A">
        <w:rPr>
          <w:sz w:val="16"/>
          <w:szCs w:val="16"/>
        </w:rPr>
        <w:footnoteReference w:customMarkFollows="1" w:id="151"/>
        <w:t xml:space="preserve">191 Another "study conducted in five major cities showed that two-thirds of employers would not knowingly hire a former offender."  </w:t>
      </w:r>
      <w:r w:rsidRPr="0053725A">
        <w:rPr>
          <w:sz w:val="16"/>
          <w:szCs w:val="16"/>
        </w:rPr>
        <w:footnoteReference w:customMarkFollows="1" w:id="152"/>
        <w:t xml:space="preserve">192 </w:t>
      </w:r>
      <w:r w:rsidRPr="00BE2F0E">
        <w:rPr>
          <w:b/>
          <w:bCs/>
          <w:u w:val="single"/>
        </w:rPr>
        <w:t xml:space="preserve">Very often employers' standard application forms ask whether the applicant has ever been convicted of a </w:t>
      </w:r>
      <w:proofErr w:type="gramStart"/>
      <w:r w:rsidRPr="00BE2F0E">
        <w:rPr>
          <w:b/>
          <w:bCs/>
          <w:u w:val="single"/>
        </w:rPr>
        <w:t>felony,</w:t>
      </w:r>
      <w:r w:rsidRPr="0053725A">
        <w:t xml:space="preserve">  </w:t>
      </w:r>
      <w:r w:rsidRPr="0053725A">
        <w:footnoteReference w:customMarkFollows="1" w:id="153"/>
        <w:t>193</w:t>
      </w:r>
      <w:proofErr w:type="gramEnd"/>
      <w:r w:rsidRPr="0053725A">
        <w:t xml:space="preserve"> </w:t>
      </w:r>
      <w:r w:rsidRPr="00BE2F0E">
        <w:rPr>
          <w:b/>
          <w:bCs/>
          <w:u w:val="single"/>
        </w:rPr>
        <w:t>and background checks have become "standard operating procedure</w:t>
      </w:r>
      <w:r w:rsidRPr="0053725A">
        <w:rPr>
          <w:sz w:val="16"/>
          <w:szCs w:val="16"/>
        </w:rPr>
        <w:t xml:space="preserve">" at many businesses, up to 80% in one estimate.  </w:t>
      </w:r>
      <w:r w:rsidRPr="0053725A">
        <w:rPr>
          <w:sz w:val="16"/>
          <w:szCs w:val="16"/>
        </w:rPr>
        <w:footnoteReference w:customMarkFollows="1" w:id="154"/>
        <w:t xml:space="preserve">194 As online record searches become ever more available, it is nearly costless and trivially easy for an employer to check the conviction record of any applicant.  </w:t>
      </w:r>
      <w:r w:rsidRPr="0053725A">
        <w:rPr>
          <w:sz w:val="16"/>
          <w:szCs w:val="16"/>
        </w:rPr>
        <w:footnoteReference w:customMarkFollows="1" w:id="155"/>
        <w:t>195</w:t>
      </w:r>
    </w:p>
    <w:p w14:paraId="77D7C6F2" w14:textId="77777777" w:rsidR="0002299E" w:rsidRPr="00C44751" w:rsidRDefault="0002299E" w:rsidP="0002299E">
      <w:pPr>
        <w:rPr>
          <w:b/>
          <w:bCs/>
          <w:u w:val="single"/>
        </w:rPr>
      </w:pPr>
      <w:r w:rsidRPr="0053725A">
        <w:rPr>
          <w:sz w:val="16"/>
          <w:szCs w:val="16"/>
        </w:rPr>
        <w:t xml:space="preserve">Even putting aside the explicit actions of employers to keep ex-offenders off their payrolls, </w:t>
      </w:r>
      <w:r w:rsidRPr="00C44751">
        <w:rPr>
          <w:b/>
          <w:bCs/>
          <w:u w:val="single"/>
        </w:rPr>
        <w:t>ex-offenders face a more difficult task finding a job than others</w:t>
      </w:r>
      <w:r w:rsidRPr="00BE2F0E">
        <w:rPr>
          <w:b/>
          <w:bCs/>
          <w:u w:val="single"/>
        </w:rPr>
        <w:t xml:space="preserve"> because their conviction and incarceration break up the normal social support systems through which many people find their jobs</w:t>
      </w:r>
      <w:r w:rsidRPr="0053725A">
        <w:rPr>
          <w:sz w:val="16"/>
          <w:szCs w:val="16"/>
        </w:rPr>
        <w:t xml:space="preserve">. Research has shown that many, if not most, people </w:t>
      </w:r>
      <w:proofErr w:type="gramStart"/>
      <w:r w:rsidRPr="0053725A">
        <w:rPr>
          <w:sz w:val="16"/>
          <w:szCs w:val="16"/>
        </w:rPr>
        <w:t>actually find</w:t>
      </w:r>
      <w:proofErr w:type="gramEnd"/>
      <w:r w:rsidRPr="0053725A">
        <w:rPr>
          <w:sz w:val="16"/>
          <w:szCs w:val="16"/>
        </w:rPr>
        <w:t xml:space="preserve"> employment through established social networks, including family, friends, classmates, and colleagues.  </w:t>
      </w:r>
      <w:r w:rsidRPr="0053725A">
        <w:rPr>
          <w:sz w:val="16"/>
          <w:szCs w:val="16"/>
        </w:rPr>
        <w:footnoteReference w:customMarkFollows="1" w:id="156"/>
        <w:t xml:space="preserve">196 It is not surprising that criminal conviction often severs or downgrades one's relationships with family, friends, colleagues, and other acquaintances, and ex-offenders find their pre-conviction social networks shrunken upon release from incarceration. Whatever new networks they have established since prison are likely to promote criminality and isolate the ex-offender even more from </w:t>
      </w:r>
      <w:proofErr w:type="gramStart"/>
      <w:r w:rsidRPr="0053725A">
        <w:rPr>
          <w:sz w:val="16"/>
          <w:szCs w:val="16"/>
        </w:rPr>
        <w:t>licit  [</w:t>
      </w:r>
      <w:proofErr w:type="gramEnd"/>
      <w:r w:rsidRPr="0053725A">
        <w:rPr>
          <w:sz w:val="16"/>
          <w:szCs w:val="16"/>
        </w:rPr>
        <w:t xml:space="preserve">*1314]  employment.  </w:t>
      </w:r>
      <w:r w:rsidRPr="0053725A">
        <w:rPr>
          <w:sz w:val="16"/>
          <w:szCs w:val="16"/>
        </w:rPr>
        <w:footnoteReference w:customMarkFollows="1" w:id="157"/>
        <w:t xml:space="preserve">197 </w:t>
      </w:r>
      <w:r w:rsidRPr="00BE2F0E">
        <w:rPr>
          <w:b/>
          <w:bCs/>
          <w:u w:val="single"/>
        </w:rPr>
        <w:t>This pattern holds true whether the convicted person comes from a low-income area with few employment opportunities or from a prosperous professional suburb</w:t>
      </w:r>
      <w:r w:rsidRPr="0053725A">
        <w:rPr>
          <w:sz w:val="16"/>
          <w:szCs w:val="16"/>
        </w:rPr>
        <w:t xml:space="preserve">. Criminal conviction can devastate the already-dicey employment prospects of an inner-city youth as well as those of an otherwise accomplished professional.  </w:t>
      </w:r>
      <w:r w:rsidRPr="00C44751">
        <w:rPr>
          <w:b/>
          <w:bCs/>
          <w:sz w:val="16"/>
          <w:szCs w:val="16"/>
        </w:rPr>
        <w:footnoteReference w:customMarkFollows="1" w:id="158"/>
        <w:t xml:space="preserve">198 </w:t>
      </w:r>
      <w:r w:rsidRPr="00C44751">
        <w:rPr>
          <w:b/>
          <w:bCs/>
          <w:u w:val="single"/>
        </w:rPr>
        <w:t>The stigma of conviction makes potential contacts less likely to offer leads, make recommendations, put in a good word, or otherwise help in finding a job.</w:t>
      </w:r>
    </w:p>
    <w:p w14:paraId="2BF82574" w14:textId="77777777" w:rsidR="0002299E" w:rsidRPr="0053725A" w:rsidRDefault="0002299E" w:rsidP="0002299E">
      <w:pPr>
        <w:rPr>
          <w:sz w:val="16"/>
          <w:szCs w:val="16"/>
        </w:rPr>
      </w:pPr>
      <w:r w:rsidRPr="0053725A">
        <w:rPr>
          <w:sz w:val="16"/>
          <w:szCs w:val="16"/>
        </w:rPr>
        <w:t xml:space="preserve">The normal workings of the risk-management market also play a role in reducing employment opportunities for an ex-offender. For instance, many employers purchase fidelity bonding as a matter of course to insure against fraud, theft, and embezzlement by employees. But "many private insurers will not issue bonds for former inmates. Indeed, hiring a convicted felon in a bonded position may place the coverage of an entire business at risk."  </w:t>
      </w:r>
      <w:r w:rsidRPr="0053725A">
        <w:rPr>
          <w:sz w:val="16"/>
          <w:szCs w:val="16"/>
        </w:rPr>
        <w:footnoteReference w:customMarkFollows="1" w:id="159"/>
        <w:t>199</w:t>
      </w:r>
    </w:p>
    <w:p w14:paraId="69C1B093" w14:textId="77777777" w:rsidR="0002299E" w:rsidRPr="0053725A" w:rsidRDefault="0002299E" w:rsidP="0002299E">
      <w:r w:rsidRPr="0053725A">
        <w:rPr>
          <w:sz w:val="16"/>
          <w:szCs w:val="16"/>
        </w:rPr>
        <w:t xml:space="preserve">Finally, </w:t>
      </w:r>
      <w:r w:rsidRPr="00C44751">
        <w:rPr>
          <w:b/>
          <w:bCs/>
          <w:u w:val="single"/>
        </w:rPr>
        <w:t>tort law itself provides private employers with an incentive not to hire ex-offenders</w:t>
      </w:r>
      <w:r w:rsidRPr="00BE2F0E">
        <w:rPr>
          <w:b/>
          <w:bCs/>
          <w:u w:val="single"/>
        </w:rPr>
        <w:t xml:space="preserve">. The tort of negligent employment or negligent hiring opens employers up to liability for the acts of their employees even outside of traditional </w:t>
      </w:r>
      <w:proofErr w:type="spellStart"/>
      <w:r w:rsidRPr="00BE2F0E">
        <w:rPr>
          <w:b/>
          <w:bCs/>
          <w:u w:val="single"/>
        </w:rPr>
        <w:t>respondeat</w:t>
      </w:r>
      <w:proofErr w:type="spellEnd"/>
      <w:r w:rsidRPr="00BE2F0E">
        <w:rPr>
          <w:b/>
          <w:bCs/>
          <w:u w:val="single"/>
        </w:rPr>
        <w:t xml:space="preserve"> superior liability</w:t>
      </w:r>
      <w:r w:rsidRPr="0053725A">
        <w:rPr>
          <w:sz w:val="16"/>
          <w:szCs w:val="16"/>
        </w:rPr>
        <w:t xml:space="preserve">.  </w:t>
      </w:r>
      <w:r w:rsidRPr="0053725A">
        <w:rPr>
          <w:sz w:val="16"/>
          <w:szCs w:val="16"/>
        </w:rPr>
        <w:footnoteReference w:customMarkFollows="1" w:id="160"/>
        <w:t xml:space="preserve">200 If a company fails to investigate the criminal history of an employee, it may be liable for injuries resulting from that employee's actions even if the conduct occurs outside the scope of employment.  </w:t>
      </w:r>
      <w:r w:rsidRPr="0053725A">
        <w:rPr>
          <w:sz w:val="16"/>
          <w:szCs w:val="16"/>
        </w:rPr>
        <w:footnoteReference w:customMarkFollows="1" w:id="161"/>
        <w:t xml:space="preserve">201 The tort of negligent hiring has become increasingly popular and "tends to result in plaintiff's verdicts large enough to destroy a small business."  </w:t>
      </w:r>
      <w:r w:rsidRPr="0053725A">
        <w:rPr>
          <w:sz w:val="16"/>
          <w:szCs w:val="16"/>
        </w:rPr>
        <w:footnoteReference w:customMarkFollows="1" w:id="162"/>
        <w:t xml:space="preserve">202 It goes without saying that many prudent employers make it a policy to steer clear of convicted persons entirely. And the available statistics bear out the common-sense proposition that convicted persons face a more difficult </w:t>
      </w:r>
      <w:proofErr w:type="gramStart"/>
      <w:r w:rsidRPr="0053725A">
        <w:rPr>
          <w:sz w:val="16"/>
          <w:szCs w:val="16"/>
        </w:rPr>
        <w:t>job  [</w:t>
      </w:r>
      <w:proofErr w:type="gramEnd"/>
      <w:r w:rsidRPr="0053725A">
        <w:rPr>
          <w:sz w:val="16"/>
          <w:szCs w:val="16"/>
        </w:rPr>
        <w:t xml:space="preserve">*1315]  market than their non-convicted peers. One </w:t>
      </w:r>
      <w:proofErr w:type="gramStart"/>
      <w:r w:rsidRPr="0053725A">
        <w:rPr>
          <w:sz w:val="16"/>
          <w:szCs w:val="16"/>
        </w:rPr>
        <w:t>widely-quoted</w:t>
      </w:r>
      <w:proofErr w:type="gramEnd"/>
      <w:r w:rsidRPr="0053725A">
        <w:rPr>
          <w:sz w:val="16"/>
          <w:szCs w:val="16"/>
        </w:rPr>
        <w:t xml:space="preserve"> study showed that</w:t>
      </w:r>
      <w:r w:rsidRPr="0053725A">
        <w:t xml:space="preserve"> </w:t>
      </w:r>
      <w:r w:rsidRPr="00BE2F0E">
        <w:rPr>
          <w:b/>
          <w:bCs/>
          <w:u w:val="single"/>
        </w:rPr>
        <w:t>four out of five people who are convicted and incarcerated are unable to resume stable employment after release from prison</w:t>
      </w:r>
      <w:r w:rsidRPr="00C44751">
        <w:rPr>
          <w:sz w:val="16"/>
          <w:szCs w:val="16"/>
        </w:rPr>
        <w:t xml:space="preserve">.  </w:t>
      </w:r>
      <w:r w:rsidRPr="00C44751">
        <w:rPr>
          <w:sz w:val="16"/>
          <w:szCs w:val="16"/>
        </w:rPr>
        <w:footnoteReference w:customMarkFollows="1" w:id="163"/>
        <w:t>203</w:t>
      </w:r>
    </w:p>
    <w:p w14:paraId="63BA620F" w14:textId="77777777" w:rsidR="00603BBE" w:rsidRDefault="00603BBE" w:rsidP="00603BBE">
      <w:pPr>
        <w:pStyle w:val="Heading4"/>
      </w:pPr>
      <w:r>
        <w:t>Collateral consequences cause stigma, undermine hiring, gut access to federal benefits</w:t>
      </w:r>
    </w:p>
    <w:p w14:paraId="0050D250" w14:textId="77777777" w:rsidR="00603BBE" w:rsidRPr="00066293" w:rsidRDefault="00603BBE" w:rsidP="00603BBE"/>
    <w:p w14:paraId="37A0FA04" w14:textId="77777777" w:rsidR="00603BBE" w:rsidRPr="00FD5DD1" w:rsidRDefault="00603BBE" w:rsidP="00603BBE">
      <w:pPr>
        <w:rPr>
          <w:sz w:val="20"/>
          <w:szCs w:val="20"/>
        </w:rPr>
      </w:pPr>
      <w:proofErr w:type="spellStart"/>
      <w:r w:rsidRPr="00FD5DD1">
        <w:rPr>
          <w:b/>
          <w:bCs/>
          <w:sz w:val="24"/>
          <w:szCs w:val="24"/>
        </w:rPr>
        <w:t>Macdowell</w:t>
      </w:r>
      <w:proofErr w:type="spellEnd"/>
      <w:r w:rsidRPr="00FD5DD1">
        <w:rPr>
          <w:b/>
          <w:bCs/>
          <w:sz w:val="24"/>
          <w:szCs w:val="24"/>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46"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35A432B6" w14:textId="77777777" w:rsidR="00603BBE" w:rsidRPr="00D11E04" w:rsidRDefault="00603BBE" w:rsidP="00603BBE">
      <w:pPr>
        <w:rPr>
          <w:b/>
          <w:bCs/>
          <w:u w:val="single"/>
        </w:rPr>
      </w:pPr>
      <w:r w:rsidRPr="00625383">
        <w:rPr>
          <w:sz w:val="16"/>
        </w:rPr>
        <w:t xml:space="preserve">A.  Overview of Collateral </w:t>
      </w:r>
      <w:proofErr w:type="gramStart"/>
      <w:r w:rsidRPr="00625383">
        <w:rPr>
          <w:sz w:val="16"/>
        </w:rPr>
        <w:t>Consequences  Sentencing</w:t>
      </w:r>
      <w:proofErr w:type="gramEnd"/>
      <w:r w:rsidRPr="00625383">
        <w:rPr>
          <w:sz w:val="16"/>
        </w:rPr>
        <w:t xml:space="preserve"> </w:t>
      </w:r>
      <w:r w:rsidRPr="00D11E04">
        <w:rPr>
          <w:b/>
          <w:bCs/>
          <w:u w:val="single"/>
        </w:rPr>
        <w:t>judges do not  explicitly hand down collateral consequences to offenders</w:t>
      </w:r>
      <w:r w:rsidRPr="00625383">
        <w:rPr>
          <w:sz w:val="16"/>
        </w:rPr>
        <w:t xml:space="preserve">.     65However, </w:t>
      </w:r>
      <w:r w:rsidRPr="00D11E04">
        <w:rPr>
          <w:b/>
          <w:bCs/>
          <w:u w:val="single"/>
        </w:rPr>
        <w:t xml:space="preserve">collateral consequences </w:t>
      </w:r>
      <w:r w:rsidRPr="00D11E04">
        <w:rPr>
          <w:rStyle w:val="Emphasis"/>
        </w:rPr>
        <w:t>automatically attach with the sentence</w:t>
      </w:r>
      <w:r w:rsidRPr="00D11E04">
        <w:rPr>
          <w:b/>
          <w:bCs/>
          <w:u w:val="single"/>
        </w:rPr>
        <w:t xml:space="preserve"> and can be both severe and serious</w:t>
      </w:r>
      <w:r w:rsidRPr="00625383">
        <w:rPr>
          <w:sz w:val="16"/>
        </w:rPr>
        <w:t xml:space="preserve">. Collateral consequences </w:t>
      </w:r>
      <w:r w:rsidRPr="00D11E04">
        <w:rPr>
          <w:b/>
          <w:bCs/>
          <w:u w:val="single"/>
        </w:rPr>
        <w:t>include</w:t>
      </w:r>
      <w:r w:rsidRPr="00625383">
        <w:rPr>
          <w:sz w:val="16"/>
        </w:rPr>
        <w:t xml:space="preserve">, but are not limited to, ineligibility for military service, </w:t>
      </w:r>
      <w:r w:rsidRPr="00D11E04">
        <w:rPr>
          <w:b/>
          <w:bCs/>
          <w:u w:val="single"/>
        </w:rPr>
        <w:t>employment restrictions</w:t>
      </w:r>
      <w:r w:rsidRPr="00625383">
        <w:rPr>
          <w:sz w:val="16"/>
        </w:rPr>
        <w:t xml:space="preserve">, </w:t>
      </w:r>
      <w:r w:rsidRPr="00D11E04">
        <w:rPr>
          <w:b/>
          <w:bCs/>
          <w:u w:val="single"/>
        </w:rPr>
        <w:t>financial instability</w:t>
      </w:r>
      <w:r w:rsidRPr="00625383">
        <w:rPr>
          <w:sz w:val="16"/>
        </w:rPr>
        <w:t xml:space="preserve">, restrictions on occupational licensure, </w:t>
      </w:r>
      <w:r w:rsidRPr="00D11E04">
        <w:rPr>
          <w:b/>
          <w:bCs/>
          <w:u w:val="single"/>
        </w:rPr>
        <w:t>termination of parental rights</w:t>
      </w:r>
      <w:r w:rsidRPr="00625383">
        <w:rPr>
          <w:sz w:val="16"/>
        </w:rPr>
        <w:t xml:space="preserve">, </w:t>
      </w:r>
      <w:r w:rsidRPr="00D11E04">
        <w:rPr>
          <w:b/>
          <w:bCs/>
          <w:u w:val="single"/>
        </w:rPr>
        <w:t>decreased access to public benefits and housing</w:t>
      </w:r>
      <w:r w:rsidRPr="00625383">
        <w:rPr>
          <w:sz w:val="16"/>
        </w:rPr>
        <w:t xml:space="preserve">, </w:t>
      </w:r>
      <w:r w:rsidRPr="00D11E04">
        <w:rPr>
          <w:b/>
          <w:bCs/>
          <w:u w:val="single"/>
        </w:rPr>
        <w:t>deportation</w:t>
      </w:r>
      <w:r w:rsidRPr="00625383">
        <w:rPr>
          <w:sz w:val="16"/>
        </w:rPr>
        <w:t xml:space="preserve">, </w:t>
      </w:r>
      <w:r w:rsidRPr="00D11E04">
        <w:rPr>
          <w:b/>
          <w:bCs/>
          <w:u w:val="single"/>
        </w:rPr>
        <w:t xml:space="preserve">voter </w:t>
      </w:r>
      <w:proofErr w:type="gramStart"/>
      <w:r w:rsidRPr="00D11E04">
        <w:rPr>
          <w:b/>
          <w:bCs/>
          <w:u w:val="single"/>
        </w:rPr>
        <w:t>disenfranchisement</w:t>
      </w:r>
      <w:r w:rsidRPr="00625383">
        <w:rPr>
          <w:sz w:val="16"/>
        </w:rPr>
        <w:t xml:space="preserve">,   </w:t>
      </w:r>
      <w:proofErr w:type="gramEnd"/>
      <w:r w:rsidRPr="00625383">
        <w:rPr>
          <w:sz w:val="16"/>
        </w:rPr>
        <w:t xml:space="preserve">  66and civil commitments.     67Many of these </w:t>
      </w:r>
      <w:r w:rsidRPr="00D11E04">
        <w:rPr>
          <w:b/>
          <w:bCs/>
          <w:u w:val="single"/>
        </w:rPr>
        <w:t>collateral consequences continue to plague individuals convicted of crimes for the remainder of their lives</w:t>
      </w:r>
      <w:r w:rsidRPr="00625383">
        <w:rPr>
          <w:sz w:val="16"/>
        </w:rPr>
        <w:t xml:space="preserve">.     68   The offenders are not the only individuals negatively impacted by collateral consequences. </w:t>
      </w:r>
      <w:r w:rsidRPr="00D11E04">
        <w:rPr>
          <w:b/>
          <w:bCs/>
          <w:u w:val="single"/>
        </w:rPr>
        <w:t xml:space="preserve">Collateral consequences also have a deleterious impact on businesses looking for talented workers, on </w:t>
      </w:r>
      <w:proofErr w:type="gramStart"/>
      <w:r w:rsidRPr="00D11E04">
        <w:rPr>
          <w:b/>
          <w:bCs/>
          <w:u w:val="single"/>
        </w:rPr>
        <w:t xml:space="preserve">communities,   </w:t>
      </w:r>
      <w:proofErr w:type="gramEnd"/>
      <w:r w:rsidRPr="00D11E04">
        <w:rPr>
          <w:b/>
          <w:bCs/>
          <w:u w:val="single"/>
        </w:rPr>
        <w:t xml:space="preserve">  </w:t>
      </w:r>
      <w:r w:rsidRPr="00625383">
        <w:t>69</w:t>
      </w:r>
      <w:r w:rsidRPr="00D11E04">
        <w:rPr>
          <w:b/>
          <w:bCs/>
          <w:u w:val="single"/>
        </w:rPr>
        <w:t>and on families</w:t>
      </w:r>
      <w:r w:rsidRPr="00625383">
        <w:rPr>
          <w:sz w:val="16"/>
        </w:rPr>
        <w:t>.     70</w:t>
      </w:r>
      <w:proofErr w:type="gramStart"/>
      <w:r w:rsidRPr="00625383">
        <w:rPr>
          <w:sz w:val="16"/>
        </w:rPr>
        <w:t xml:space="preserve">   [</w:t>
      </w:r>
      <w:proofErr w:type="gramEnd"/>
      <w:r w:rsidRPr="00625383">
        <w:rPr>
          <w:sz w:val="16"/>
        </w:rPr>
        <w:t xml:space="preserve">*817] Collateral consequences can be either formal or informal.     71Informal collateral consequences do not arise from a statute. Instead, informal collateral consequences are the negative social, economic, and psychological consequences stemming from convictions.     </w:t>
      </w:r>
      <w:r w:rsidRPr="00D11E04">
        <w:rPr>
          <w:b/>
          <w:bCs/>
          <w:u w:val="single"/>
        </w:rPr>
        <w:t xml:space="preserve">72Informal collateral consequences include the </w:t>
      </w:r>
      <w:r w:rsidRPr="00D11E04">
        <w:rPr>
          <w:rStyle w:val="Emphasis"/>
        </w:rPr>
        <w:t>social stigma</w:t>
      </w:r>
      <w:r w:rsidRPr="00D11E04">
        <w:rPr>
          <w:b/>
          <w:bCs/>
          <w:u w:val="single"/>
        </w:rPr>
        <w:t xml:space="preserve"> of having a conviction and the decreased employment opportunities that are available following a conviction.</w:t>
      </w:r>
      <w:r w:rsidRPr="00625383">
        <w:rPr>
          <w:sz w:val="16"/>
        </w:rPr>
        <w:t xml:space="preserve">     73   In contrast, </w:t>
      </w:r>
      <w:r w:rsidRPr="00D11E04">
        <w:rPr>
          <w:b/>
          <w:bCs/>
          <w:u w:val="single"/>
        </w:rPr>
        <w:t>certain collateral consequences formally attach to a conviction by operation of laws and regulations</w:t>
      </w:r>
      <w:r w:rsidRPr="00625383">
        <w:rPr>
          <w:sz w:val="16"/>
        </w:rPr>
        <w:t xml:space="preserve">.     74These formal collateral consequences can include deportation, voter disenfranchisement, required offender registration, termination of parental rights, and loss of occupational licensing.     75Because formal collateral consequences have increased in number, severity, and complexity, the Uniform Collateral Consequences of Conviction Act was enacted to create a registry of collateral consequences.     </w:t>
      </w:r>
      <w:r w:rsidRPr="00D11E04">
        <w:rPr>
          <w:b/>
          <w:bCs/>
          <w:u w:val="single"/>
        </w:rPr>
        <w:t>76The Uniform Collateral Consequences of Conviction Act requires each state to collect information on all collateral consequences</w:t>
      </w:r>
      <w:r w:rsidRPr="00625383">
        <w:rPr>
          <w:sz w:val="16"/>
        </w:rPr>
        <w:t>, including citations and short descriptions</w:t>
      </w:r>
      <w:r w:rsidRPr="00D11E04">
        <w:rPr>
          <w:b/>
          <w:bCs/>
          <w:u w:val="single"/>
        </w:rPr>
        <w:t>, to allow judges</w:t>
      </w:r>
      <w:r w:rsidRPr="00625383">
        <w:rPr>
          <w:sz w:val="16"/>
        </w:rPr>
        <w:t xml:space="preserve">, legislators, lawyers, and defendants </w:t>
      </w:r>
      <w:r w:rsidRPr="00D11E04">
        <w:rPr>
          <w:b/>
          <w:bCs/>
          <w:u w:val="single"/>
        </w:rPr>
        <w:t>to use this information to make decisions</w:t>
      </w:r>
      <w:r w:rsidRPr="00625383">
        <w:rPr>
          <w:sz w:val="16"/>
        </w:rPr>
        <w:t>.     77</w:t>
      </w:r>
      <w:r w:rsidRPr="00D11E04">
        <w:rPr>
          <w:b/>
          <w:bCs/>
          <w:u w:val="single"/>
        </w:rPr>
        <w:t>This information is particularly important in sentencing</w:t>
      </w:r>
      <w:r w:rsidRPr="00625383">
        <w:rPr>
          <w:sz w:val="16"/>
        </w:rPr>
        <w:t xml:space="preserve"> and plea negotiations.     78The American Bar Association takes the position that these formal collateral consequences should be limited, codified, and considered at sentencing.     79   While many formal collateral consequences have obvious and discrete effects, informal employment consequences are more speculative in nature and are difficult to quantify at sentencing. However, federal</w:t>
      </w:r>
      <w:r w:rsidRPr="00D11E04">
        <w:rPr>
          <w:b/>
          <w:bCs/>
          <w:u w:val="single"/>
        </w:rPr>
        <w:t xml:space="preserve"> judges</w:t>
      </w:r>
      <w:r w:rsidRPr="00625383">
        <w:rPr>
          <w:sz w:val="16"/>
        </w:rPr>
        <w:t xml:space="preserve"> still </w:t>
      </w:r>
      <w:r w:rsidRPr="00D11E04">
        <w:rPr>
          <w:b/>
          <w:bCs/>
          <w:u w:val="single"/>
        </w:rPr>
        <w:t>should address</w:t>
      </w:r>
      <w:r w:rsidRPr="00625383">
        <w:rPr>
          <w:sz w:val="16"/>
        </w:rPr>
        <w:t xml:space="preserve"> the employment </w:t>
      </w:r>
      <w:r w:rsidRPr="00D11E04">
        <w:rPr>
          <w:b/>
          <w:bCs/>
          <w:u w:val="single"/>
        </w:rPr>
        <w:t>collateral consequences to accurately and proportionally sentence individuals to ensure that they are not being over-punished</w:t>
      </w:r>
      <w:r w:rsidRPr="00625383">
        <w:rPr>
          <w:sz w:val="16"/>
        </w:rPr>
        <w:t xml:space="preserve">. Fundamentally, </w:t>
      </w:r>
      <w:r w:rsidRPr="00D11E04">
        <w:rPr>
          <w:b/>
          <w:bCs/>
          <w:u w:val="single"/>
        </w:rPr>
        <w:t xml:space="preserve">offenders should be sentenced uniformly </w:t>
      </w:r>
      <w:proofErr w:type="gramStart"/>
      <w:r w:rsidRPr="00D11E04">
        <w:rPr>
          <w:b/>
          <w:bCs/>
          <w:u w:val="single"/>
        </w:rPr>
        <w:t>and in a manner</w:t>
      </w:r>
      <w:proofErr w:type="gramEnd"/>
      <w:r w:rsidRPr="00D11E04">
        <w:rPr>
          <w:b/>
          <w:bCs/>
          <w:u w:val="single"/>
        </w:rPr>
        <w:t xml:space="preserve"> commensurate with their crimes, regardless of whether doing so may be inconvenient or challenging for courts. </w:t>
      </w:r>
    </w:p>
    <w:p w14:paraId="469FE4A6" w14:textId="77777777" w:rsidR="0002299E" w:rsidRDefault="0002299E" w:rsidP="0002299E">
      <w:pPr>
        <w:rPr>
          <w:rStyle w:val="Style13ptBold"/>
        </w:rPr>
      </w:pPr>
    </w:p>
    <w:p w14:paraId="642D9D46" w14:textId="77777777" w:rsidR="009E05E6" w:rsidRPr="008F7C1E" w:rsidRDefault="009E05E6" w:rsidP="006C2613">
      <w:pPr>
        <w:rPr>
          <w:sz w:val="12"/>
        </w:rPr>
      </w:pPr>
    </w:p>
    <w:p w14:paraId="0AB10DDC" w14:textId="77777777" w:rsidR="001C0CA6" w:rsidRDefault="001C0CA6" w:rsidP="001C0CA6">
      <w:pPr>
        <w:pStyle w:val="Heading2"/>
      </w:pPr>
      <w:r>
        <w:t>Health Impacts</w:t>
      </w:r>
    </w:p>
    <w:p w14:paraId="456D5749" w14:textId="20B36C9C" w:rsidR="001C0CA6" w:rsidRDefault="004407B6" w:rsidP="001C0CA6">
      <w:pPr>
        <w:pStyle w:val="Heading3"/>
      </w:pPr>
      <w:r>
        <w:t>Internals: CC Restrict Health</w:t>
      </w:r>
    </w:p>
    <w:p w14:paraId="0EBA655D" w14:textId="06453049" w:rsidR="001C0CA6" w:rsidRDefault="001C0CA6" w:rsidP="001C0CA6"/>
    <w:p w14:paraId="275A0FA7" w14:textId="1613B459" w:rsidR="00205AE2" w:rsidRDefault="00205AE2" w:rsidP="00205AE2">
      <w:pPr>
        <w:pStyle w:val="Heading4"/>
      </w:pPr>
      <w:r>
        <w:t xml:space="preserve">And, collateral consequences perpetuate health disparities and result in restrictions that prevent economic survival and health --- the risk for minorities and women is significantly higher </w:t>
      </w:r>
    </w:p>
    <w:p w14:paraId="0CFA67F8" w14:textId="77777777" w:rsidR="00205AE2" w:rsidRPr="00205AE2" w:rsidRDefault="00205AE2" w:rsidP="00205AE2"/>
    <w:p w14:paraId="1FCF4C19" w14:textId="77777777" w:rsidR="001C0CA6" w:rsidRDefault="001C0CA6" w:rsidP="001C0CA6">
      <w:pPr>
        <w:rPr>
          <w:rStyle w:val="Style13ptBold"/>
        </w:rPr>
      </w:pPr>
      <w:proofErr w:type="spellStart"/>
      <w:r>
        <w:rPr>
          <w:rStyle w:val="Style13ptBold"/>
        </w:rPr>
        <w:t>Sheely</w:t>
      </w:r>
      <w:proofErr w:type="spellEnd"/>
      <w:r>
        <w:rPr>
          <w:rStyle w:val="Style13ptBold"/>
        </w:rPr>
        <w:t xml:space="preserve"> ‘15</w:t>
      </w:r>
    </w:p>
    <w:p w14:paraId="6EA70E1B" w14:textId="77777777" w:rsidR="001C0CA6" w:rsidRPr="00247186" w:rsidRDefault="001C0CA6" w:rsidP="001C0CA6">
      <w:r w:rsidRPr="00247186">
        <w:t xml:space="preserve">(Amanda </w:t>
      </w:r>
      <w:proofErr w:type="spellStart"/>
      <w:r w:rsidRPr="00247186">
        <w:t>Sheely</w:t>
      </w:r>
      <w:proofErr w:type="spellEnd"/>
      <w:r w:rsidRPr="00247186">
        <w:t xml:space="preserve">, MSW, MPH, PhD, </w:t>
      </w:r>
      <w:proofErr w:type="spellStart"/>
      <w:r w:rsidRPr="00247186">
        <w:t>Lecturercorresponding</w:t>
      </w:r>
      <w:proofErr w:type="spellEnd"/>
      <w:r w:rsidRPr="00247186">
        <w:t xml:space="preserve"> author and Shawn M. </w:t>
      </w:r>
      <w:proofErr w:type="spellStart"/>
      <w:r w:rsidRPr="00247186">
        <w:t>Kneipp</w:t>
      </w:r>
      <w:proofErr w:type="spellEnd"/>
      <w:r w:rsidRPr="00247186">
        <w:t xml:space="preserve">, Ph.D., ANP-BC, APHN-BC, Associate Professor Department of Social Policy, London School of Economics and Political </w:t>
      </w:r>
      <w:proofErr w:type="spellStart"/>
      <w:r w:rsidRPr="00247186">
        <w:t>Science,“The</w:t>
      </w:r>
      <w:proofErr w:type="spellEnd"/>
      <w:r w:rsidRPr="00247186">
        <w:t xml:space="preserve"> effects of collateral consequences of criminal involvement on employment, use of Temporary Assistance for Needy Families, and health,” Women Health. 2015; 55(5): 548–565, </w:t>
      </w:r>
      <w:proofErr w:type="spellStart"/>
      <w:r w:rsidRPr="00247186">
        <w:t>pg</w:t>
      </w:r>
      <w:proofErr w:type="spellEnd"/>
      <w:r w:rsidRPr="00247186">
        <w:t xml:space="preserve"> online @ </w:t>
      </w:r>
      <w:hyperlink r:id="rId47" w:history="1">
        <w:r w:rsidRPr="00247186">
          <w:rPr>
            <w:rStyle w:val="Hyperlink"/>
          </w:rPr>
          <w:t>https://www.ncbi.nlm.nih.gov/pmc/articles/PMC5763494/</w:t>
        </w:r>
      </w:hyperlink>
      <w:r w:rsidRPr="00247186">
        <w:t xml:space="preserve"> //um-</w:t>
      </w:r>
      <w:proofErr w:type="spellStart"/>
      <w:r w:rsidRPr="00247186">
        <w:t>ef</w:t>
      </w:r>
      <w:proofErr w:type="spellEnd"/>
      <w:r w:rsidRPr="00247186">
        <w:t>)</w:t>
      </w:r>
    </w:p>
    <w:p w14:paraId="65A90A7B" w14:textId="5D3646C1" w:rsidR="001C0CA6" w:rsidRPr="00205AE2" w:rsidRDefault="001C0CA6" w:rsidP="001C0CA6">
      <w:pPr>
        <w:rPr>
          <w:sz w:val="12"/>
        </w:rPr>
      </w:pPr>
      <w:r w:rsidRPr="00205AE2">
        <w:rPr>
          <w:sz w:val="12"/>
        </w:rPr>
        <w:t xml:space="preserve">Over the past decade, </w:t>
      </w:r>
      <w:r w:rsidRPr="00205AE2">
        <w:rPr>
          <w:rStyle w:val="StyleUnderline"/>
        </w:rPr>
        <w:t xml:space="preserve">the criminal justice system has been implicated in playing a key role in generating and </w:t>
      </w:r>
      <w:r w:rsidRPr="00205AE2">
        <w:rPr>
          <w:rStyle w:val="Emphasis"/>
        </w:rPr>
        <w:t>perpetuating health disparities</w:t>
      </w:r>
      <w:r w:rsidRPr="00205AE2">
        <w:rPr>
          <w:sz w:val="12"/>
        </w:rPr>
        <w:t xml:space="preserve"> (Binswanger et al. 2012; Burris 2002). Research has yielded substantial information about the direct effects of criminal justice involvement on health through communicable disease transmission in correctional facilities (i.e., tuberculosis, HIV) and inadequate health care services for incarcerated populations (Binswanger et al. 2012). </w:t>
      </w:r>
      <w:r w:rsidRPr="00205AE2">
        <w:rPr>
          <w:rStyle w:val="StyleUnderline"/>
        </w:rPr>
        <w:t>The criminal justice system may</w:t>
      </w:r>
      <w:r w:rsidRPr="00205AE2">
        <w:rPr>
          <w:sz w:val="12"/>
        </w:rPr>
        <w:t xml:space="preserve">, however, also indirectly </w:t>
      </w:r>
      <w:r w:rsidRPr="00205AE2">
        <w:rPr>
          <w:rStyle w:val="Emphasis"/>
        </w:rPr>
        <w:t>influence health through a set of collateral consequences that follow minor criminal convictions that do not result in a jail or prison sentence.</w:t>
      </w:r>
      <w:r w:rsidR="00205AE2">
        <w:rPr>
          <w:rStyle w:val="Emphasis"/>
        </w:rPr>
        <w:t xml:space="preserve"> </w:t>
      </w:r>
      <w:r w:rsidRPr="00205AE2">
        <w:rPr>
          <w:sz w:val="12"/>
        </w:rPr>
        <w:t xml:space="preserve">Collateral consequences are legally- and socially-imposed penalties or disadvantages that automatically occur upon a person’s conviction for a felony, misdemeanor, or other offense, and are imposed in addition to the sentence enacted by the court (American Bar Association 2004). </w:t>
      </w:r>
      <w:r w:rsidRPr="00205AE2">
        <w:rPr>
          <w:rStyle w:val="StyleUnderline"/>
        </w:rPr>
        <w:t xml:space="preserve">These consequences operate across multiple systems that influence peoples’ everyday lives, can be imposed for a finite </w:t>
      </w:r>
      <w:proofErr w:type="gramStart"/>
      <w:r w:rsidRPr="00205AE2">
        <w:rPr>
          <w:rStyle w:val="StyleUnderline"/>
        </w:rPr>
        <w:t>period of time</w:t>
      </w:r>
      <w:proofErr w:type="gramEnd"/>
      <w:r w:rsidRPr="00205AE2">
        <w:rPr>
          <w:rStyle w:val="StyleUnderline"/>
        </w:rPr>
        <w:t xml:space="preserve"> or for life, can occur in response to virtually every type of criminal conviction, and affect a significant portion of the population</w:t>
      </w:r>
      <w:r w:rsidRPr="00205AE2">
        <w:rPr>
          <w:sz w:val="12"/>
        </w:rPr>
        <w:t xml:space="preserve">. Collateral consequences can include, among other consequences, </w:t>
      </w:r>
      <w:r w:rsidRPr="00205AE2">
        <w:rPr>
          <w:rStyle w:val="Emphasis"/>
        </w:rPr>
        <w:t>losing access to job opportunities, and/or becoming ineligible to receive public assistance benefits</w:t>
      </w:r>
      <w:r w:rsidRPr="00205AE2">
        <w:rPr>
          <w:sz w:val="12"/>
        </w:rPr>
        <w:t xml:space="preserve"> (Chin 2002). </w:t>
      </w:r>
      <w:r w:rsidRPr="00205AE2">
        <w:rPr>
          <w:rStyle w:val="StyleUnderline"/>
        </w:rPr>
        <w:t>Given the well documented, positive association that employment and income have on health</w:t>
      </w:r>
      <w:r w:rsidRPr="00205AE2">
        <w:rPr>
          <w:sz w:val="12"/>
        </w:rPr>
        <w:t xml:space="preserve"> (</w:t>
      </w:r>
      <w:proofErr w:type="spellStart"/>
      <w:r w:rsidRPr="00205AE2">
        <w:rPr>
          <w:sz w:val="12"/>
        </w:rPr>
        <w:t>Roelfs</w:t>
      </w:r>
      <w:proofErr w:type="spellEnd"/>
      <w:r w:rsidRPr="00205AE2">
        <w:rPr>
          <w:sz w:val="12"/>
        </w:rPr>
        <w:t xml:space="preserve"> et al. 2011; Rueda et al. 2012), </w:t>
      </w:r>
      <w:r w:rsidRPr="00205AE2">
        <w:rPr>
          <w:rStyle w:val="StyleUnderline"/>
        </w:rPr>
        <w:t>the barriers to becoming employed and/or participating in income support programs that occur as collateral consequences would be expected to have deleterious effects on health</w:t>
      </w:r>
      <w:r w:rsidRPr="00205AE2">
        <w:rPr>
          <w:sz w:val="12"/>
        </w:rPr>
        <w:t>.</w:t>
      </w:r>
      <w:r w:rsidR="00205AE2" w:rsidRPr="00205AE2">
        <w:rPr>
          <w:sz w:val="12"/>
        </w:rPr>
        <w:t xml:space="preserve"> </w:t>
      </w:r>
      <w:r w:rsidRPr="00205AE2">
        <w:rPr>
          <w:rStyle w:val="StyleUnderline"/>
        </w:rPr>
        <w:t>Understanding the relationship between criminal convictions and health is critical given the increased reach of the criminal justice system in the U.S., as well as its growing importance among women</w:t>
      </w:r>
      <w:r w:rsidRPr="00205AE2">
        <w:rPr>
          <w:sz w:val="12"/>
        </w:rPr>
        <w:t xml:space="preserve">. </w:t>
      </w:r>
      <w:r w:rsidRPr="00205AE2">
        <w:rPr>
          <w:rStyle w:val="StyleUnderline"/>
        </w:rPr>
        <w:t>The number of women involved in the criminal justice system has increased dramatically</w:t>
      </w:r>
      <w:r w:rsidRPr="00205AE2">
        <w:rPr>
          <w:sz w:val="12"/>
        </w:rPr>
        <w:t xml:space="preserve"> in recent decades: between 1985 and 2008, the rate of imprisonment among women quadrupled (White House Council on Women and Girls 2011); and, in 2011, one in four adults on probation and over one in ten adults on parole were women (</w:t>
      </w:r>
      <w:proofErr w:type="spellStart"/>
      <w:r w:rsidRPr="00205AE2">
        <w:rPr>
          <w:sz w:val="12"/>
        </w:rPr>
        <w:t>Maruschak</w:t>
      </w:r>
      <w:proofErr w:type="spellEnd"/>
      <w:r w:rsidRPr="00205AE2">
        <w:rPr>
          <w:sz w:val="12"/>
        </w:rPr>
        <w:t xml:space="preserve"> and Parks 2012). These statistics highlight the importance of incarceration among women; however, incarcerated individuals account for only 3.5 percent of adults with a history of a criminal conviction in the U.S. (Glaze 2011). While no statistics focus specifically on women, data show that over 65 million Americans have been convicted of a crime (Rodriguez and </w:t>
      </w:r>
      <w:proofErr w:type="spellStart"/>
      <w:r w:rsidRPr="00205AE2">
        <w:rPr>
          <w:sz w:val="12"/>
        </w:rPr>
        <w:t>Emsellem</w:t>
      </w:r>
      <w:proofErr w:type="spellEnd"/>
      <w:r w:rsidRPr="00205AE2">
        <w:rPr>
          <w:sz w:val="12"/>
        </w:rPr>
        <w:t xml:space="preserve"> 2011), and in 2010 alone, U.S. courts processed over 102 million criminal cases (United States Sentencing Commission 2010). By solely focusing on the relationship between incarceration and health, </w:t>
      </w:r>
      <w:r w:rsidRPr="00205AE2">
        <w:rPr>
          <w:rStyle w:val="StyleUnderline"/>
        </w:rPr>
        <w:t>existing studies may underestimate the important indirect effects on health the criminal justice system may have through collateral consequences</w:t>
      </w:r>
      <w:r w:rsidRPr="00205AE2">
        <w:rPr>
          <w:sz w:val="12"/>
        </w:rPr>
        <w:t>.</w:t>
      </w:r>
      <w:r w:rsidR="00205AE2" w:rsidRPr="00205AE2">
        <w:rPr>
          <w:sz w:val="12"/>
        </w:rPr>
        <w:t xml:space="preserve"> </w:t>
      </w:r>
      <w:r w:rsidRPr="00205AE2">
        <w:rPr>
          <w:sz w:val="12"/>
        </w:rPr>
        <w:t>As with other determinants of health</w:t>
      </w:r>
      <w:r w:rsidRPr="00205AE2">
        <w:rPr>
          <w:rStyle w:val="StyleUnderline"/>
        </w:rPr>
        <w:t xml:space="preserve"> in the U.S., the pathways through which collateral consequences operate are not socioeconomic status-, race-, or gender-neutral</w:t>
      </w:r>
      <w:r w:rsidRPr="00205AE2">
        <w:rPr>
          <w:sz w:val="12"/>
        </w:rPr>
        <w:t xml:space="preserve">: rather, they are realized through labor market and public welfare systems in ways that </w:t>
      </w:r>
      <w:r w:rsidRPr="00205AE2">
        <w:rPr>
          <w:rStyle w:val="StyleUnderline"/>
        </w:rPr>
        <w:t>predominantly affect women who are socially or economically disadvantaged</w:t>
      </w:r>
      <w:r w:rsidRPr="00205AE2">
        <w:rPr>
          <w:sz w:val="12"/>
        </w:rPr>
        <w:t xml:space="preserve">—that is, who are poor, </w:t>
      </w:r>
      <w:r w:rsidRPr="00205AE2">
        <w:rPr>
          <w:rStyle w:val="StyleUnderline"/>
        </w:rPr>
        <w:t>are racial/ethnic minorities, and/or have a very low level of education</w:t>
      </w:r>
      <w:r w:rsidRPr="00205AE2">
        <w:rPr>
          <w:sz w:val="12"/>
        </w:rPr>
        <w:t xml:space="preserve"> (henceforth referred to as disadvantaged women) (Burgess-Proctor 2006). Indeed, data on women involved in the criminal justice system reveal that </w:t>
      </w:r>
      <w:r w:rsidRPr="00205AE2">
        <w:rPr>
          <w:rStyle w:val="StyleUnderline"/>
        </w:rPr>
        <w:t>they have many interconnected social and health characteristics that make them a particularly vulnerable population</w:t>
      </w:r>
      <w:r w:rsidRPr="00205AE2">
        <w:rPr>
          <w:sz w:val="12"/>
        </w:rPr>
        <w:t xml:space="preserve"> (Freudenberg 2001). Specifically, according to Bloom, Owen, and Covington (2004), </w:t>
      </w:r>
      <w:r w:rsidRPr="00205AE2">
        <w:rPr>
          <w:rStyle w:val="StyleUnderline"/>
        </w:rPr>
        <w:t>women involved in the criminal justice system are disproportionately single mothers of color in their early- to mid-thirties</w:t>
      </w:r>
      <w:r w:rsidRPr="00205AE2">
        <w:rPr>
          <w:sz w:val="12"/>
        </w:rPr>
        <w:t xml:space="preserve">. They have multiple attributes that influence their ability to obtain and maintain employment, such as experiencing physical and sexual abuse, as well being diagnosed with mental health conditions, such as depression, posttraumatic stress disorder, and substance abuse. Relatedly, women in the criminal justice system also have limited educational attainment as well as sporadic work histories in entry-level jobs with low pay. Given the pressing economic and personal needs of this population, </w:t>
      </w:r>
      <w:r w:rsidRPr="00205AE2">
        <w:rPr>
          <w:rStyle w:val="StyleUnderline"/>
        </w:rPr>
        <w:t>it is not surprising that women’s most frequent pathways into the criminal justice system result from attempts to survive abuse, poverty, and substance abuse</w:t>
      </w:r>
      <w:r w:rsidRPr="00205AE2">
        <w:rPr>
          <w:sz w:val="12"/>
        </w:rPr>
        <w:t xml:space="preserve"> (Bloom, Owen, and Covington 2005).</w:t>
      </w:r>
      <w:r w:rsidR="00205AE2" w:rsidRPr="00205AE2">
        <w:rPr>
          <w:sz w:val="12"/>
        </w:rPr>
        <w:t xml:space="preserve"> </w:t>
      </w:r>
      <w:r w:rsidRPr="00205AE2">
        <w:rPr>
          <w:sz w:val="12"/>
        </w:rPr>
        <w:t xml:space="preserve">Central to the goals of this review, having a criminal offense history may compound these background characteristics, which may further limit employment opportunities for women. </w:t>
      </w:r>
      <w:r w:rsidRPr="00205AE2">
        <w:rPr>
          <w:rStyle w:val="StyleUnderline"/>
        </w:rPr>
        <w:t>Rigorous studies assessing employers’ willingness to hire applicants with histories of incarceration have used an experimental audit design in which white and black male actors with and without incarceration histories applied for jobs</w:t>
      </w:r>
      <w:r w:rsidRPr="00205AE2">
        <w:rPr>
          <w:sz w:val="12"/>
        </w:rPr>
        <w:t xml:space="preserve">. Study results demonstrated that </w:t>
      </w:r>
      <w:r w:rsidRPr="00205AE2">
        <w:rPr>
          <w:rStyle w:val="StyleUnderline"/>
        </w:rPr>
        <w:t>actors with an incarceration history were 50 percent less likely to be called back for an interview</w:t>
      </w:r>
      <w:r w:rsidRPr="00205AE2">
        <w:rPr>
          <w:sz w:val="12"/>
        </w:rPr>
        <w:t xml:space="preserve">. </w:t>
      </w:r>
      <w:r w:rsidRPr="00205AE2">
        <w:rPr>
          <w:rStyle w:val="StyleUnderline"/>
        </w:rPr>
        <w:t>This effect was intensified by race:</w:t>
      </w:r>
      <w:r w:rsidRPr="00205AE2">
        <w:rPr>
          <w:sz w:val="12"/>
        </w:rPr>
        <w:t xml:space="preserve"> only 8–14 percent of blacks with an incarceration history were called back, compared to 17–29 percent of whites with an identical criminal record (Pager 2003; Pager, Western, and </w:t>
      </w:r>
      <w:proofErr w:type="spellStart"/>
      <w:r w:rsidRPr="00205AE2">
        <w:rPr>
          <w:sz w:val="12"/>
        </w:rPr>
        <w:t>Sugie</w:t>
      </w:r>
      <w:proofErr w:type="spellEnd"/>
      <w:r w:rsidRPr="00205AE2">
        <w:rPr>
          <w:sz w:val="12"/>
        </w:rPr>
        <w:t xml:space="preserve"> 2009). Consistent with these findings, in a study of employer attitudes and practices, </w:t>
      </w:r>
      <w:r w:rsidRPr="00205AE2">
        <w:rPr>
          <w:rStyle w:val="StyleUnderline"/>
        </w:rPr>
        <w:t>only 20 percent of 619 employers indicated they would hire an applicant with a criminal record history</w:t>
      </w:r>
      <w:r w:rsidRPr="00205AE2">
        <w:rPr>
          <w:sz w:val="12"/>
        </w:rPr>
        <w:t xml:space="preserve"> (Holzer, Raphael, and Stoll 2003). These studies focused on the difficulties faced by men in obtaining employment after incarceration; however, women with criminal records are likely to face similar barriers to employment. Although women typically commit less serious types of offenses than men, such as financially-motivated misdemeanors (Schwartz and Steffensmeier 2007), these </w:t>
      </w:r>
      <w:r w:rsidRPr="00205AE2">
        <w:rPr>
          <w:rStyle w:val="StyleUnderline"/>
        </w:rPr>
        <w:t>non-violent offenses are still likely to result in lifelong restrictions on working in the lower-income service sector jobs and industries that are likely to employ women</w:t>
      </w:r>
      <w:r w:rsidRPr="00205AE2">
        <w:rPr>
          <w:sz w:val="12"/>
        </w:rPr>
        <w:t xml:space="preserve"> (i.e., child care, human services) (Rodriguez and </w:t>
      </w:r>
      <w:proofErr w:type="spellStart"/>
      <w:r w:rsidRPr="00205AE2">
        <w:rPr>
          <w:sz w:val="12"/>
        </w:rPr>
        <w:t>Emsellem</w:t>
      </w:r>
      <w:proofErr w:type="spellEnd"/>
      <w:r w:rsidRPr="00205AE2">
        <w:rPr>
          <w:sz w:val="12"/>
        </w:rPr>
        <w:t xml:space="preserve"> 2011). A study of employers, for example, found that service industry employers—who represent the labor market sector most likely to hire women—were the least willing to hire ex-offenders (Holzer, Raphael, and Stoll 2003).</w:t>
      </w:r>
      <w:r w:rsidR="00205AE2" w:rsidRPr="00205AE2">
        <w:rPr>
          <w:sz w:val="12"/>
        </w:rPr>
        <w:t xml:space="preserve"> </w:t>
      </w:r>
      <w:r w:rsidRPr="00205AE2">
        <w:rPr>
          <w:sz w:val="12"/>
        </w:rPr>
        <w:t xml:space="preserve">Additionally, </w:t>
      </w:r>
      <w:r w:rsidRPr="00205AE2">
        <w:rPr>
          <w:rStyle w:val="StyleUnderline"/>
        </w:rPr>
        <w:t xml:space="preserve">women who have committed criminal offenses may be barred from access to some of the social service programs on </w:t>
      </w:r>
      <w:r w:rsidRPr="00205AE2">
        <w:rPr>
          <w:rStyle w:val="Emphasis"/>
        </w:rPr>
        <w:t>which they rely for economic survival</w:t>
      </w:r>
      <w:r w:rsidRPr="00205AE2">
        <w:rPr>
          <w:sz w:val="12"/>
        </w:rPr>
        <w:t xml:space="preserve">, </w:t>
      </w:r>
      <w:r w:rsidRPr="00205AE2">
        <w:rPr>
          <w:rStyle w:val="Emphasis"/>
        </w:rPr>
        <w:t>such as public housing</w:t>
      </w:r>
      <w:r w:rsidRPr="00205AE2">
        <w:rPr>
          <w:sz w:val="12"/>
        </w:rPr>
        <w:t>, the Supplemental Nutritional Assistance Program (</w:t>
      </w:r>
      <w:r w:rsidRPr="00205AE2">
        <w:rPr>
          <w:rStyle w:val="Emphasis"/>
        </w:rPr>
        <w:t>SNAP), and</w:t>
      </w:r>
      <w:r w:rsidRPr="00205AE2">
        <w:rPr>
          <w:sz w:val="12"/>
        </w:rPr>
        <w:t xml:space="preserve"> the Temporary Assistance for Needy Families (</w:t>
      </w:r>
      <w:r w:rsidRPr="00205AE2">
        <w:rPr>
          <w:rStyle w:val="Emphasis"/>
        </w:rPr>
        <w:t>TANF</w:t>
      </w:r>
      <w:r w:rsidRPr="00205AE2">
        <w:rPr>
          <w:sz w:val="12"/>
        </w:rPr>
        <w:t xml:space="preserve">) program. With the passage of the Personal Responsibility and Work Opportunity Reconciliation of 1996 (welfare reform), </w:t>
      </w:r>
      <w:r w:rsidRPr="00205AE2">
        <w:rPr>
          <w:rStyle w:val="StyleUnderline"/>
        </w:rPr>
        <w:t>federal lawmakers gave states the option of denying TANF and SNAP benefits to applicants convicted of a felony drug offense.</w:t>
      </w:r>
      <w:r w:rsidRPr="00205AE2">
        <w:rPr>
          <w:sz w:val="12"/>
        </w:rPr>
        <w:t xml:space="preserve"> Currently, fourteen states have adopted the federal lifetime ban on benefits; an additional twenty-two states partially enforce the ban by allowing access to benefits after an allotted period of time or by allowing individuals to have access to either TANF or SNAP (</w:t>
      </w:r>
      <w:proofErr w:type="spellStart"/>
      <w:r w:rsidRPr="00205AE2">
        <w:rPr>
          <w:sz w:val="12"/>
        </w:rPr>
        <w:t>Pinard</w:t>
      </w:r>
      <w:proofErr w:type="spellEnd"/>
      <w:r w:rsidRPr="00205AE2">
        <w:rPr>
          <w:sz w:val="12"/>
        </w:rPr>
        <w:t xml:space="preserve"> 2010). While TANF, SNAP, and public housing benefits are all important economic supports for formerly incarcerated women that may help them provide shelter and food for their families before securing employment (Bloom, Owen, and Covington 2004), </w:t>
      </w:r>
      <w:r w:rsidRPr="00205AE2">
        <w:rPr>
          <w:rStyle w:val="StyleUnderline"/>
        </w:rPr>
        <w:t>restrictions on TANF may be particularly detrimental as only TANF provides the employment training and job placement services that could directly improve employment outcomes</w:t>
      </w:r>
      <w:r w:rsidRPr="00205AE2">
        <w:rPr>
          <w:sz w:val="12"/>
        </w:rPr>
        <w:t>. For example, TANF programs often have extended employer-based networks at the local level that include employers more willing to consider hiring individuals with a prior criminal conviction.</w:t>
      </w:r>
    </w:p>
    <w:p w14:paraId="43A433CE" w14:textId="77777777" w:rsidR="004407B6" w:rsidRDefault="004407B6" w:rsidP="004407B6">
      <w:pPr>
        <w:pStyle w:val="Heading3"/>
      </w:pPr>
      <w:r>
        <w:t>Dignity Internal</w:t>
      </w:r>
    </w:p>
    <w:p w14:paraId="0D644DFD" w14:textId="77777777" w:rsidR="004407B6" w:rsidRDefault="004407B6" w:rsidP="004407B6">
      <w:pPr>
        <w:pStyle w:val="Heading4"/>
      </w:pPr>
      <w:r>
        <w:t xml:space="preserve">And, loss of access violates human dignity --- </w:t>
      </w:r>
    </w:p>
    <w:p w14:paraId="5C10A8D1" w14:textId="77777777" w:rsidR="004407B6" w:rsidRDefault="004407B6" w:rsidP="004407B6"/>
    <w:p w14:paraId="062945D4" w14:textId="77777777" w:rsidR="004407B6" w:rsidRDefault="004407B6" w:rsidP="004407B6">
      <w:pPr>
        <w:rPr>
          <w:rStyle w:val="Style13ptBold"/>
        </w:rPr>
      </w:pPr>
      <w:proofErr w:type="spellStart"/>
      <w:r>
        <w:rPr>
          <w:rStyle w:val="Style13ptBold"/>
        </w:rPr>
        <w:t>Pinard</w:t>
      </w:r>
      <w:proofErr w:type="spellEnd"/>
      <w:r>
        <w:rPr>
          <w:rStyle w:val="Style13ptBold"/>
        </w:rPr>
        <w:t xml:space="preserve"> ‘10</w:t>
      </w:r>
    </w:p>
    <w:p w14:paraId="786878B4" w14:textId="77777777" w:rsidR="004407B6" w:rsidRDefault="004407B6" w:rsidP="004407B6">
      <w:r w:rsidRPr="00361D7A">
        <w:t xml:space="preserve">(Michael, Professor, University of Maryland School of Law, “COLLATERAL CONSEQUENCES OF CRIMINAL CONVICTIONS: CONFRONTING ISSUES OF RACE AND DIGNITY, 85 N.Y.U.L. Rev. 457,” </w:t>
      </w:r>
      <w:proofErr w:type="spellStart"/>
      <w:r w:rsidRPr="00361D7A">
        <w:t>pg</w:t>
      </w:r>
      <w:proofErr w:type="spellEnd"/>
      <w:r w:rsidRPr="00361D7A">
        <w:t xml:space="preserve"> lexis//um-</w:t>
      </w:r>
      <w:proofErr w:type="spellStart"/>
      <w:r w:rsidRPr="00361D7A">
        <w:t>ef</w:t>
      </w:r>
      <w:proofErr w:type="spellEnd"/>
      <w:r w:rsidRPr="00361D7A">
        <w:t>)</w:t>
      </w:r>
    </w:p>
    <w:p w14:paraId="5AEB956A" w14:textId="77777777" w:rsidR="004407B6" w:rsidRDefault="004407B6" w:rsidP="004407B6">
      <w:r>
        <w:t>While its boundaries are vague, 361 "</w:t>
      </w:r>
      <w:r w:rsidRPr="00B67300">
        <w:rPr>
          <w:rStyle w:val="StyleUnderline"/>
        </w:rPr>
        <w:t>human dignity has come to be accepted as a core value of [human rights] jurisprudence</w:t>
      </w:r>
      <w:r>
        <w:t xml:space="preserve">." 362 The human rights model of dignity seeks to provide robust protections for the dignity of individuals who are incarcerated. The United States has adhered to a much narrower vision of the dignity interests of incarcerated and formerly incarcerated individuals than have the Comparison Countries, particularly Canada and South Africa. Perhaps the most vivid example of these narrower interests is found </w:t>
      </w:r>
      <w:r w:rsidRPr="00B67300">
        <w:rPr>
          <w:rStyle w:val="StyleUnderline"/>
        </w:rPr>
        <w:t>in the voting rights context</w:t>
      </w:r>
      <w:r>
        <w:t xml:space="preserve">. As detailed above, sentenced prisoners in Canada 363 and South Africa 364 retain their right to vote during incarceration, and the European Court of Human Rights recently struck down the United Kingdom's blanket disenfranchisement of individuals convicted of a crime. 365 In striking down laws that disenfranchised prisoners, both Canadian and South African courts invoked the human rights concept of dignity. For example, the Canadian Supreme Court held that disenfranchisement compromised [*520] the dignity interests enjoyed by all incarcerated individuals. 366 Specifically, it declared that individuals are not wholly disconnected from larger society when incarcerated, and that their voices in societal affairs, while perhaps muted, must not be silenced altogether. 367 Similarly, the European Court of Human Rights' decision in Hirst v. United Kingdom (No. 2) was premised on notions of human dignity, 368 and much of South Africa's post-apartheid constitutional jurisprudence is tied to broader human rights notions of dignity. 369 In contrast to Canadian, South African, and English prisoners, </w:t>
      </w:r>
      <w:r w:rsidRPr="00B67300">
        <w:rPr>
          <w:rStyle w:val="StyleUnderline"/>
        </w:rPr>
        <w:t>individuals incarcerated in state and federal prisons in the United States</w:t>
      </w:r>
      <w:r>
        <w:t xml:space="preserve"> - </w:t>
      </w:r>
      <w:proofErr w:type="gramStart"/>
      <w:r>
        <w:t>with the exception of</w:t>
      </w:r>
      <w:proofErr w:type="gramEnd"/>
      <w:r>
        <w:t xml:space="preserve"> those incarcerated in Maine and Vermont - </w:t>
      </w:r>
      <w:r w:rsidRPr="00B67300">
        <w:rPr>
          <w:rStyle w:val="Emphasis"/>
        </w:rPr>
        <w:t>cannot vote in any election</w:t>
      </w:r>
      <w:r>
        <w:t xml:space="preserve">. 370 </w:t>
      </w:r>
      <w:r w:rsidRPr="00B67300">
        <w:rPr>
          <w:rStyle w:val="StyleUnderline"/>
        </w:rPr>
        <w:t>While felon disenfranchisement has received the most scholarly and media coverage of any collateral consequence in the United States, the debates have centered primarily on whether to restore voting rights to individuals after they have been released from incarceration or have otherwise completed their sentences</w:t>
      </w:r>
      <w:r>
        <w:t xml:space="preserve">. </w:t>
      </w:r>
      <w:r w:rsidRPr="00B67300">
        <w:rPr>
          <w:rStyle w:val="Emphasis"/>
        </w:rPr>
        <w:t>371 The United States virtually stands alone as "the only country in the democratic world that systematically disenfranchises large numbers of nonincarcerated offenders</w:t>
      </w:r>
      <w:r>
        <w:t xml:space="preserve">." 372 In contrast to Canada and South Africa, the United States' "jurisprudence touching on human rights is impoverished." 373 Indeed, U.S. constitutional jurisprudence, at least in the contexts of criminal [*521] sentencing and confinement conditions, 374 articulates a narrow vision of dignity that is rooted in the Eighth Amendment's protection against cruel and unusual punishment. 375 This vision sets outer boundaries on the types and levels of punishment that can be inflicted without offending constitutional protections. As a result, </w:t>
      </w:r>
      <w:r w:rsidRPr="00B67300">
        <w:rPr>
          <w:rStyle w:val="StyleUnderline"/>
        </w:rPr>
        <w:t>the United States asks whether a certain measure, practice, or deprivation violates the personal dignity interests protected by the Constitution, rather than asking whether the overall legislative scheme is consistent with a robust belief in human dignity generally</w:t>
      </w:r>
      <w:r>
        <w:t xml:space="preserve">. </w:t>
      </w:r>
      <w:proofErr w:type="gramStart"/>
      <w:r>
        <w:t xml:space="preserve">In essence, </w:t>
      </w:r>
      <w:r w:rsidRPr="00B67300">
        <w:rPr>
          <w:rStyle w:val="StyleUnderline"/>
        </w:rPr>
        <w:t>in</w:t>
      </w:r>
      <w:proofErr w:type="gramEnd"/>
      <w:r w:rsidRPr="00B67300">
        <w:rPr>
          <w:rStyle w:val="StyleUnderline"/>
        </w:rPr>
        <w:t xml:space="preserve"> the United States the concept of dignity is an end point that cannot be passed; it is invoked only in response to the most egregious laws or government conduct</w:t>
      </w:r>
      <w:r>
        <w:t xml:space="preserve">. In the Comparison Countries, by contrast, the courts use dignity as the starting point for interpretation, from which rights flow. Consequently, the Comparison Countries offer much more robust protection of dignity interests than the United States. Moreover, Eighth Amendment protections extend primarily to the contexts of sentencing and prison conditions, both of which are considered criminal punishment. But because collateral consequences are not considered criminal punishment, 376 the protections of the Eighth Amendment do not apply to them. 377 This serves to further [*522] narrow the United States' conception of human dignity vis-a-vis the Comparison Countries. The various </w:t>
      </w:r>
      <w:r w:rsidRPr="00B67300">
        <w:rPr>
          <w:rStyle w:val="Emphasis"/>
        </w:rPr>
        <w:t>collateral consequences imposed upon individuals in the United States seriously infringe upon the dignity interests of those with criminal records</w:t>
      </w:r>
      <w:r>
        <w:t xml:space="preserve">. Indeed, </w:t>
      </w:r>
      <w:r w:rsidRPr="00B67300">
        <w:rPr>
          <w:rStyle w:val="Emphasis"/>
        </w:rPr>
        <w:t>the Supreme Court recognized as much in Lawrence v. Texas.</w:t>
      </w:r>
      <w:r>
        <w:t xml:space="preserve"> 378 In Lawrence, the Court overturned a Texas statute that banned same-sex sodomy. </w:t>
      </w:r>
      <w:r w:rsidRPr="00B67300">
        <w:rPr>
          <w:rStyle w:val="StyleUnderline"/>
        </w:rPr>
        <w:t>Writing for the majority, Justice Kennedy tied collateral consequences to dignity, noting that although sodomy was considered to be a minor offense in Texas because it was a low-level misdemeanor, it "still … remains a criminal offense with all that imports for the dignity of the persons charged</w:t>
      </w:r>
      <w:r>
        <w:t xml:space="preserve">." 379 In this context, </w:t>
      </w:r>
      <w:r w:rsidRPr="00B67300">
        <w:rPr>
          <w:rStyle w:val="StyleUnderline"/>
        </w:rPr>
        <w:t>Kennedy was referring to the potential sex offender registration requirements that would attach to such a conviction</w:t>
      </w:r>
      <w:r>
        <w:t xml:space="preserve">, as well as "the other collateral consequences always following a conviction, such as notations on job application forms, to mention but one example." 380 Thus, </w:t>
      </w:r>
      <w:r w:rsidRPr="00B67300">
        <w:rPr>
          <w:rStyle w:val="Emphasis"/>
        </w:rPr>
        <w:t>the Court recognized that collateral consequences extend the dignity-stripping punishments that accompany incarceration and, as a result, continue to degrade individuals after they have finished their sentences</w:t>
      </w:r>
      <w:r>
        <w:t xml:space="preserve">. By continuing to exclude these individuals from mainstream society, these consequences make it nearly impossible for them to provide for themselves and, in many ways, isolate them from their families and communities. The differing views in the United States and the Comparison Countries about how collateral consequences impact dignity may result from a deeper philosophical disagreement over how society should conceive of and apportion the amenities and opportunities that collateral consequences temporarily or permanently eliminate. As Patricia Allard has convincingly argued, </w:t>
      </w:r>
      <w:r w:rsidRPr="00B67300">
        <w:rPr>
          <w:rStyle w:val="StyleUnderline"/>
        </w:rPr>
        <w:t>collateral consequences expose a dichotomy in the United States between rights and privileges</w:t>
      </w:r>
      <w:r>
        <w:t xml:space="preserve">. 381 Allard observes that </w:t>
      </w:r>
      <w:r w:rsidRPr="00B67300">
        <w:rPr>
          <w:rStyle w:val="StyleUnderline"/>
        </w:rPr>
        <w:t>collateral consequences in the United States simply eliminate privileges, which can be stripped away from individuals with relative ease, as opposed to rights, which enjoy enhanced protections</w:t>
      </w:r>
      <w:r>
        <w:t xml:space="preserve">. This dichotomy helps to explain the distinctions between the United States and the Comparison Countries </w:t>
      </w:r>
      <w:proofErr w:type="gramStart"/>
      <w:r>
        <w:t>with regard to</w:t>
      </w:r>
      <w:proofErr w:type="gramEnd"/>
      <w:r>
        <w:t xml:space="preserve"> collateral consequences. For example, voting in Canada and South Africa is a [*523] true right specifically guaranteed to all adult citizens, 382 and these countries' courts have rejected attempts to strip this right from prisoners. In contrast, while the U.S. Supreme Court has declared that the right to vote "is regarded as a fundamental political right, … preservative of all rights," 383 the ability to exercise this right has often been limited by conditions and exceptions. Historically, African Americans were excluded from the franchise in many parts of the country, despite the Fifteenth Amendment. 384 After the passage of the Voting Rights Act of 1965 385 and key decisions by the Warren Court, 386 the right to vote became more firmly established in the United States. Nonetheless, obstacles to exercising the right to vote are not confined to history. For example, in Crawford v. Marion County Election Board, 387 the Court upheld Indiana's requirement that in-person voters have photographic identification at primary and general elections, even though the requirement imposes burdens on some otherwise qualified voters. 388 </w:t>
      </w:r>
      <w:r w:rsidRPr="003121D2">
        <w:rPr>
          <w:rStyle w:val="StyleUnderline"/>
        </w:rPr>
        <w:t>Felon disenfranchisement</w:t>
      </w:r>
      <w:r>
        <w:t xml:space="preserve"> - which is the rule in forty-eight states </w:t>
      </w:r>
      <w:r w:rsidRPr="003121D2">
        <w:rPr>
          <w:rStyle w:val="StyleUnderline"/>
        </w:rPr>
        <w:t>- is the paradigmatic example of the fragility of the right to vote in the United States</w:t>
      </w:r>
      <w:r>
        <w:t xml:space="preserve">. Thus, unlike voting rights in Canada and South Africa, the right to vote in the United States is so diminished by the Constitution's broad felony exception that it seems more akin to a privilege, rather than a true right. </w:t>
      </w:r>
      <w:r w:rsidRPr="003121D2">
        <w:rPr>
          <w:rStyle w:val="StyleUnderline"/>
        </w:rPr>
        <w:t>Moreover, this illustrates the limited dignity interests that the United States affords to individuals with criminal records</w:t>
      </w:r>
      <w:r>
        <w:t>.</w:t>
      </w:r>
    </w:p>
    <w:p w14:paraId="1ACFDF73" w14:textId="77777777" w:rsidR="004407B6" w:rsidRDefault="004407B6" w:rsidP="004407B6"/>
    <w:p w14:paraId="312C4C32" w14:textId="618849FB" w:rsidR="004407B6" w:rsidRPr="007A2F7D" w:rsidRDefault="004407B6" w:rsidP="004407B6">
      <w:pPr>
        <w:pStyle w:val="Heading2"/>
      </w:pPr>
      <w:r>
        <w:t>Gender Impacts</w:t>
      </w:r>
    </w:p>
    <w:p w14:paraId="33874BF5" w14:textId="43E5AD3E" w:rsidR="001C0CA6" w:rsidRDefault="004407B6" w:rsidP="001C0CA6">
      <w:pPr>
        <w:pStyle w:val="Heading3"/>
      </w:pPr>
      <w:r>
        <w:t>Internals: CC restrict employment/health</w:t>
      </w:r>
    </w:p>
    <w:p w14:paraId="6879C906" w14:textId="76880A34" w:rsidR="001C0CA6" w:rsidRDefault="001C0CA6" w:rsidP="001C0CA6"/>
    <w:p w14:paraId="5BFC6347" w14:textId="1A6A3F3D" w:rsidR="005C4509" w:rsidRDefault="005C4509" w:rsidP="005C4509">
      <w:pPr>
        <w:pStyle w:val="Heading4"/>
      </w:pPr>
      <w:r>
        <w:t>Collateral Consequences have a disproportionate affect on women --- restrictions limit access to employment --- that causes maternal distress, hopelessness, mental health issues</w:t>
      </w:r>
    </w:p>
    <w:p w14:paraId="7908CCD7" w14:textId="77777777" w:rsidR="005C4509" w:rsidRPr="005C4509" w:rsidRDefault="005C4509" w:rsidP="005C4509"/>
    <w:p w14:paraId="2321CEE9" w14:textId="77777777" w:rsidR="001C0CA6" w:rsidRDefault="001C0CA6" w:rsidP="001C0CA6">
      <w:pPr>
        <w:rPr>
          <w:rStyle w:val="Style13ptBold"/>
        </w:rPr>
      </w:pPr>
      <w:proofErr w:type="spellStart"/>
      <w:r>
        <w:rPr>
          <w:rStyle w:val="Style13ptBold"/>
        </w:rPr>
        <w:t>Sheely</w:t>
      </w:r>
      <w:proofErr w:type="spellEnd"/>
      <w:r>
        <w:rPr>
          <w:rStyle w:val="Style13ptBold"/>
        </w:rPr>
        <w:t xml:space="preserve"> ‘15</w:t>
      </w:r>
    </w:p>
    <w:p w14:paraId="630B916A" w14:textId="77777777" w:rsidR="001C0CA6" w:rsidRDefault="001C0CA6" w:rsidP="001C0CA6">
      <w:r w:rsidRPr="00247186">
        <w:t xml:space="preserve">(Amanda </w:t>
      </w:r>
      <w:proofErr w:type="spellStart"/>
      <w:r w:rsidRPr="00247186">
        <w:t>Sheely</w:t>
      </w:r>
      <w:proofErr w:type="spellEnd"/>
      <w:r w:rsidRPr="00247186">
        <w:t xml:space="preserve">, MSW, MPH, PhD, </w:t>
      </w:r>
      <w:proofErr w:type="spellStart"/>
      <w:r w:rsidRPr="00247186">
        <w:t>Lecturercorresponding</w:t>
      </w:r>
      <w:proofErr w:type="spellEnd"/>
      <w:r w:rsidRPr="00247186">
        <w:t xml:space="preserve"> author and Shawn M. </w:t>
      </w:r>
      <w:proofErr w:type="spellStart"/>
      <w:r w:rsidRPr="00247186">
        <w:t>Kneipp</w:t>
      </w:r>
      <w:proofErr w:type="spellEnd"/>
      <w:r w:rsidRPr="00247186">
        <w:t xml:space="preserve">, Ph.D., ANP-BC, APHN-BC, Associate Professor Department of Social Policy, London School of Economics and Political </w:t>
      </w:r>
      <w:proofErr w:type="spellStart"/>
      <w:r w:rsidRPr="00247186">
        <w:t>Science,“The</w:t>
      </w:r>
      <w:proofErr w:type="spellEnd"/>
      <w:r w:rsidRPr="00247186">
        <w:t xml:space="preserve"> effects of collateral consequences of criminal involvement on employment, use of Temporary Assistance for Needy Families, and health,” Women Health. 2015; 55(5): 548–565, </w:t>
      </w:r>
      <w:proofErr w:type="spellStart"/>
      <w:r w:rsidRPr="00247186">
        <w:t>pg</w:t>
      </w:r>
      <w:proofErr w:type="spellEnd"/>
      <w:r w:rsidRPr="00247186">
        <w:t xml:space="preserve"> online @ </w:t>
      </w:r>
      <w:hyperlink r:id="rId48" w:history="1">
        <w:r w:rsidRPr="00247186">
          <w:rPr>
            <w:rStyle w:val="Hyperlink"/>
          </w:rPr>
          <w:t>https://www.ncbi.nlm.nih.gov/pmc/articles/PMC5763494/</w:t>
        </w:r>
      </w:hyperlink>
      <w:r w:rsidRPr="00247186">
        <w:t xml:space="preserve"> //um-</w:t>
      </w:r>
      <w:proofErr w:type="spellStart"/>
      <w:r w:rsidRPr="00247186">
        <w:t>ef</w:t>
      </w:r>
      <w:proofErr w:type="spellEnd"/>
      <w:r w:rsidRPr="00247186">
        <w:t>)</w:t>
      </w:r>
    </w:p>
    <w:p w14:paraId="569F6C31" w14:textId="448B0F5B" w:rsidR="001C0CA6" w:rsidRDefault="001C0CA6" w:rsidP="001C0CA6">
      <w:r>
        <w:t>Employment and Unmet Health Needs as Distinct Post-Incarceration</w:t>
      </w:r>
      <w:r w:rsidR="005C4509">
        <w:t xml:space="preserve"> </w:t>
      </w:r>
      <w:r>
        <w:t>Collateral Consequences</w:t>
      </w:r>
      <w:r w:rsidR="005C4509">
        <w:t xml:space="preserve"> </w:t>
      </w:r>
      <w:r>
        <w:t>The sample of interest for four studies was women returning to the community after incarceration (</w:t>
      </w:r>
      <w:proofErr w:type="spellStart"/>
      <w:r>
        <w:t>Heilbrun</w:t>
      </w:r>
      <w:proofErr w:type="spellEnd"/>
      <w:r>
        <w:t xml:space="preserve"> et al. 2008; Lattimore and </w:t>
      </w:r>
      <w:proofErr w:type="spellStart"/>
      <w:r>
        <w:t>Visher</w:t>
      </w:r>
      <w:proofErr w:type="spellEnd"/>
      <w:r>
        <w:t xml:space="preserve"> 2009; La </w:t>
      </w:r>
      <w:proofErr w:type="spellStart"/>
      <w:r>
        <w:t>Vigne</w:t>
      </w:r>
      <w:proofErr w:type="spellEnd"/>
      <w:r>
        <w:t xml:space="preserve">, Brooks, and </w:t>
      </w:r>
      <w:proofErr w:type="spellStart"/>
      <w:r>
        <w:t>Shollenberger</w:t>
      </w:r>
      <w:proofErr w:type="spellEnd"/>
      <w:r>
        <w:t xml:space="preserve"> 2009; </w:t>
      </w:r>
      <w:proofErr w:type="spellStart"/>
      <w:r>
        <w:t>Visher</w:t>
      </w:r>
      <w:proofErr w:type="spellEnd"/>
      <w:r>
        <w:t xml:space="preserve"> et al. 2004), while one study interviewed low-income women seeking job training services about their barriers to employment (Brown and Barbosa 2001) (model 3.a, Figure 3). I</w:t>
      </w:r>
      <w:r w:rsidRPr="005C4509">
        <w:rPr>
          <w:rStyle w:val="StyleUnderline"/>
        </w:rPr>
        <w:t>n terms of employment outcomes, all of the studies examining employment after incarceration repeatedly identified the negative relationship between incarceration and employment</w:t>
      </w:r>
      <w:r>
        <w:t xml:space="preserve"> (Brown and Barbosa 2001; </w:t>
      </w:r>
      <w:proofErr w:type="spellStart"/>
      <w:r>
        <w:t>Heilbrun</w:t>
      </w:r>
      <w:proofErr w:type="spellEnd"/>
      <w:r>
        <w:t xml:space="preserve"> et al. 2008; Lattimore et al. 2009; La </w:t>
      </w:r>
      <w:proofErr w:type="spellStart"/>
      <w:r>
        <w:t>Vigne</w:t>
      </w:r>
      <w:proofErr w:type="spellEnd"/>
      <w:r>
        <w:t xml:space="preserve">, Brooks, and </w:t>
      </w:r>
      <w:proofErr w:type="spellStart"/>
      <w:r>
        <w:t>Shollenberger</w:t>
      </w:r>
      <w:proofErr w:type="spellEnd"/>
      <w:r>
        <w:t xml:space="preserve"> 2009; </w:t>
      </w:r>
      <w:proofErr w:type="spellStart"/>
      <w:r>
        <w:t>Visher</w:t>
      </w:r>
      <w:proofErr w:type="spellEnd"/>
      <w:r>
        <w:t xml:space="preserve"> et al. 2004). Employment was ranked as one of the highest priorities of inmates being released from prison (La </w:t>
      </w:r>
      <w:proofErr w:type="spellStart"/>
      <w:r>
        <w:t>Vigne</w:t>
      </w:r>
      <w:proofErr w:type="spellEnd"/>
      <w:r>
        <w:t xml:space="preserve">, Brooks, and </w:t>
      </w:r>
      <w:proofErr w:type="spellStart"/>
      <w:r>
        <w:t>Shollenberger</w:t>
      </w:r>
      <w:proofErr w:type="spellEnd"/>
      <w:r>
        <w:t xml:space="preserve"> 2009). Even though 58 percent of women had worked in the 6 months prior to being incarcerated in one study, only 34 percent were employed 8 months post-release (La </w:t>
      </w:r>
      <w:proofErr w:type="spellStart"/>
      <w:r>
        <w:t>Vigne</w:t>
      </w:r>
      <w:proofErr w:type="spellEnd"/>
      <w:r>
        <w:t xml:space="preserve">, Brooks, and </w:t>
      </w:r>
      <w:proofErr w:type="spellStart"/>
      <w:r>
        <w:t>Shollenberger</w:t>
      </w:r>
      <w:proofErr w:type="spellEnd"/>
      <w:r>
        <w:t xml:space="preserve"> 2009). </w:t>
      </w:r>
      <w:r w:rsidRPr="005C4509">
        <w:rPr>
          <w:rStyle w:val="StyleUnderline"/>
        </w:rPr>
        <w:t>Three of these studies also compared employment outcomes among formerly incarcerated men and women</w:t>
      </w:r>
      <w:r>
        <w:t xml:space="preserve"> (La </w:t>
      </w:r>
      <w:proofErr w:type="spellStart"/>
      <w:r>
        <w:t>Vigne</w:t>
      </w:r>
      <w:proofErr w:type="spellEnd"/>
      <w:r>
        <w:t xml:space="preserve">, Brooks, and </w:t>
      </w:r>
      <w:proofErr w:type="spellStart"/>
      <w:r>
        <w:t>Shollenberger</w:t>
      </w:r>
      <w:proofErr w:type="spellEnd"/>
      <w:r>
        <w:t xml:space="preserve"> 2009; Mallik-Kane and </w:t>
      </w:r>
      <w:proofErr w:type="spellStart"/>
      <w:r>
        <w:t>Visher</w:t>
      </w:r>
      <w:proofErr w:type="spellEnd"/>
      <w:r>
        <w:t xml:space="preserve"> 2008; Lattimore and </w:t>
      </w:r>
      <w:proofErr w:type="spellStart"/>
      <w:r>
        <w:t>Visher</w:t>
      </w:r>
      <w:proofErr w:type="spellEnd"/>
      <w:r>
        <w:t xml:space="preserve"> 2009); </w:t>
      </w:r>
      <w:r w:rsidRPr="005C4509">
        <w:rPr>
          <w:rStyle w:val="StyleUnderline"/>
        </w:rPr>
        <w:t>they documented that women reentering the community had lower employment rates over time</w:t>
      </w:r>
      <w:r>
        <w:t xml:space="preserve">. Whereas employment rates increased on average 13 percent over time post-release for men, they increased for women by only 4 percent over an 8- to 9-month period (La </w:t>
      </w:r>
      <w:proofErr w:type="spellStart"/>
      <w:r>
        <w:t>Vigne</w:t>
      </w:r>
      <w:proofErr w:type="spellEnd"/>
      <w:r>
        <w:t xml:space="preserve">, Brooks, and </w:t>
      </w:r>
      <w:proofErr w:type="spellStart"/>
      <w:r>
        <w:t>Shollenberger</w:t>
      </w:r>
      <w:proofErr w:type="spellEnd"/>
      <w:r>
        <w:t xml:space="preserve"> 2009; Lattimore and </w:t>
      </w:r>
      <w:proofErr w:type="spellStart"/>
      <w:r>
        <w:t>Visher</w:t>
      </w:r>
      <w:proofErr w:type="spellEnd"/>
      <w:r>
        <w:t xml:space="preserve"> 2009). Additionally, women reentering the community had lower wages (La </w:t>
      </w:r>
      <w:proofErr w:type="spellStart"/>
      <w:r>
        <w:t>Vigne</w:t>
      </w:r>
      <w:proofErr w:type="spellEnd"/>
      <w:r>
        <w:t xml:space="preserve">, Brooks, and </w:t>
      </w:r>
      <w:proofErr w:type="spellStart"/>
      <w:r>
        <w:t>Shollenberger</w:t>
      </w:r>
      <w:proofErr w:type="spellEnd"/>
      <w:r>
        <w:t xml:space="preserve"> 2009; </w:t>
      </w:r>
      <w:proofErr w:type="spellStart"/>
      <w:r>
        <w:t>Visher</w:t>
      </w:r>
      <w:proofErr w:type="spellEnd"/>
      <w:r>
        <w:t xml:space="preserve"> et al. 2004), were less likely to find full-time work (La </w:t>
      </w:r>
      <w:proofErr w:type="spellStart"/>
      <w:r>
        <w:t>Vigne</w:t>
      </w:r>
      <w:proofErr w:type="spellEnd"/>
      <w:r>
        <w:t xml:space="preserve">, Brooks, and </w:t>
      </w:r>
      <w:proofErr w:type="spellStart"/>
      <w:r>
        <w:t>Shollenberger</w:t>
      </w:r>
      <w:proofErr w:type="spellEnd"/>
      <w:r>
        <w:t xml:space="preserve"> 2009), and were more likely to report financial difficulties (</w:t>
      </w:r>
      <w:proofErr w:type="spellStart"/>
      <w:r>
        <w:t>Heilbrun</w:t>
      </w:r>
      <w:proofErr w:type="spellEnd"/>
      <w:r>
        <w:t xml:space="preserve"> et al. 2008) than men. However, </w:t>
      </w:r>
      <w:r w:rsidRPr="005C4509">
        <w:rPr>
          <w:rStyle w:val="StyleUnderline"/>
        </w:rPr>
        <w:t>it is important to note that these women also had lower rates of employment, as well as hourly wages, before incarceration as well</w:t>
      </w:r>
      <w:r>
        <w:t xml:space="preserve"> (La </w:t>
      </w:r>
      <w:proofErr w:type="spellStart"/>
      <w:r>
        <w:t>Vigne</w:t>
      </w:r>
      <w:proofErr w:type="spellEnd"/>
      <w:r>
        <w:t xml:space="preserve">, Brooks, and </w:t>
      </w:r>
      <w:proofErr w:type="spellStart"/>
      <w:r>
        <w:t>Shollenberger</w:t>
      </w:r>
      <w:proofErr w:type="spellEnd"/>
      <w:r>
        <w:t xml:space="preserve"> 2009). Lastly, </w:t>
      </w:r>
      <w:r w:rsidRPr="005C4509">
        <w:rPr>
          <w:rStyle w:val="StyleUnderline"/>
        </w:rPr>
        <w:t>the findings from a large intervention study suggests employment outcomes for recently incarcerated women and men may only be transiently improved through more intensive interventions that provide temporary and/or subsidized employment, job-training, job preparation, job search assistance, and other reintegration supports</w:t>
      </w:r>
      <w:r>
        <w:t xml:space="preserve"> (Lattimore and </w:t>
      </w:r>
      <w:proofErr w:type="spellStart"/>
      <w:r>
        <w:t>Visher</w:t>
      </w:r>
      <w:proofErr w:type="spellEnd"/>
      <w:r>
        <w:t xml:space="preserve"> 2009).</w:t>
      </w:r>
      <w:r w:rsidR="005C4509">
        <w:t xml:space="preserve"> </w:t>
      </w:r>
      <w:r w:rsidRPr="005C4509">
        <w:rPr>
          <w:rStyle w:val="StyleUnderline"/>
        </w:rPr>
        <w:t>These studies also document the significant health needs of formerly incarcerated women</w:t>
      </w:r>
      <w:r>
        <w:t xml:space="preserve">. </w:t>
      </w:r>
      <w:proofErr w:type="spellStart"/>
      <w:r>
        <w:t>Visher</w:t>
      </w:r>
      <w:proofErr w:type="spellEnd"/>
      <w:r>
        <w:t xml:space="preserve"> and colleagues (2004) find that, </w:t>
      </w:r>
      <w:r w:rsidRPr="005C4509">
        <w:rPr>
          <w:rStyle w:val="StyleUnderline"/>
        </w:rPr>
        <w:t xml:space="preserve">among their sample of women reentering the community after incarceration, 38.2 percent said that they have experienced serious depression, sadness, hopelessness, </w:t>
      </w:r>
      <w:r>
        <w:t xml:space="preserve">and loss of interest in the past 30 days and 29 percent said that they had problems understanding and concentrating. Women were more likely to experience these symptoms than men in the sample. In another study, </w:t>
      </w:r>
      <w:r w:rsidRPr="005C4509">
        <w:rPr>
          <w:rStyle w:val="StyleUnderline"/>
        </w:rPr>
        <w:t>67 percent of women were diagnosed with a chronic health condition after leaving prison</w:t>
      </w:r>
      <w:r>
        <w:t xml:space="preserve"> (La </w:t>
      </w:r>
      <w:proofErr w:type="spellStart"/>
      <w:r>
        <w:t>Vigne</w:t>
      </w:r>
      <w:proofErr w:type="spellEnd"/>
      <w:r>
        <w:t xml:space="preserve">, Brooks, and </w:t>
      </w:r>
      <w:proofErr w:type="spellStart"/>
      <w:r>
        <w:t>Shollenberger</w:t>
      </w:r>
      <w:proofErr w:type="spellEnd"/>
      <w:r>
        <w:t xml:space="preserve"> 2009).</w:t>
      </w:r>
      <w:r w:rsidR="005C4509">
        <w:t xml:space="preserve"> </w:t>
      </w:r>
      <w:r>
        <w:t>The Compounding Relation of Post-Incarceration Collateral</w:t>
      </w:r>
      <w:r w:rsidR="005C4509">
        <w:t xml:space="preserve"> </w:t>
      </w:r>
      <w:r>
        <w:t>Consequences to Employment and Health</w:t>
      </w:r>
      <w:r w:rsidR="005C4509">
        <w:t xml:space="preserve"> </w:t>
      </w:r>
      <w:r>
        <w:t xml:space="preserve">Six of the studies in this review examined both the ways in which criminal convictions were negatively related to health and employment among women. One important feature of this set of studies included depicting the processes—or mechanisms—through which poor health and unemployment intersected and compounded health risks over time (model 3.b, Figure 3) (Arditti and Few 2006, 2008; Brown and Bloom 2009; Luther et al. 2011; Mallik-Kane and </w:t>
      </w:r>
      <w:proofErr w:type="spellStart"/>
      <w:r>
        <w:t>Visher</w:t>
      </w:r>
      <w:proofErr w:type="spellEnd"/>
      <w:r>
        <w:t xml:space="preserve"> 2008; van </w:t>
      </w:r>
      <w:proofErr w:type="spellStart"/>
      <w:r>
        <w:t>Olphen</w:t>
      </w:r>
      <w:proofErr w:type="spellEnd"/>
      <w:r>
        <w:t xml:space="preserve"> et al. 2009). The samples of </w:t>
      </w:r>
      <w:proofErr w:type="gramStart"/>
      <w:r>
        <w:t>all of</w:t>
      </w:r>
      <w:proofErr w:type="gramEnd"/>
      <w:r>
        <w:t xml:space="preserve"> these studies were formerly incarcerated women, and all but one study (Mallik-Kane and </w:t>
      </w:r>
      <w:proofErr w:type="spellStart"/>
      <w:r>
        <w:t>Visher</w:t>
      </w:r>
      <w:proofErr w:type="spellEnd"/>
      <w:r>
        <w:t xml:space="preserve"> 2008) used a qualitative research design. </w:t>
      </w:r>
      <w:r w:rsidRPr="005C4509">
        <w:rPr>
          <w:rStyle w:val="StyleUnderline"/>
        </w:rPr>
        <w:t>The findings of these studies support research in the last section showing the negative relation of criminal justice involvement to employment and, subsequently, health</w:t>
      </w:r>
      <w:r>
        <w:t xml:space="preserve">. For example, Mallik-Kane and </w:t>
      </w:r>
      <w:proofErr w:type="spellStart"/>
      <w:r>
        <w:t>Visher</w:t>
      </w:r>
      <w:proofErr w:type="spellEnd"/>
      <w:r>
        <w:t xml:space="preserve"> (2008) found that </w:t>
      </w:r>
      <w:r w:rsidRPr="005C4509">
        <w:rPr>
          <w:rStyle w:val="StyleUnderline"/>
        </w:rPr>
        <w:t>77 percent of recently incarcerated women reported having a chronic physical or mental health condition, and only 40 percent of women had some type of health insurance coverage</w:t>
      </w:r>
      <w:r>
        <w:t xml:space="preserve">. This study also found additive effects of a criminal record history and poor health in relation to employment, including the finding that health problems were associated with a 13 percent decreased probability of employment (Mallik-Kane and </w:t>
      </w:r>
      <w:proofErr w:type="spellStart"/>
      <w:r>
        <w:t>Visher</w:t>
      </w:r>
      <w:proofErr w:type="spellEnd"/>
      <w:r>
        <w:t xml:space="preserve"> 2008).</w:t>
      </w:r>
      <w:r w:rsidR="005C4509">
        <w:t xml:space="preserve"> </w:t>
      </w:r>
      <w:r>
        <w:t xml:space="preserve">Four qualitative studies explored the mechanisms through which a criminal record history and subsequent unemployment could influence health. </w:t>
      </w:r>
      <w:r w:rsidRPr="005C4509">
        <w:rPr>
          <w:rStyle w:val="Emphasis"/>
        </w:rPr>
        <w:t>These studies clearly identified the inability to find employment after involvement with the criminal justice system as eliciting fear of being rejected or stigmatized in employment application encounters</w:t>
      </w:r>
      <w:r>
        <w:t xml:space="preserve"> (Brown and Bloom 2009), </w:t>
      </w:r>
      <w:r w:rsidRPr="005C4509">
        <w:rPr>
          <w:rStyle w:val="Emphasis"/>
        </w:rPr>
        <w:t>hopelessness</w:t>
      </w:r>
      <w:r>
        <w:t xml:space="preserve"> (Luther et al. 2011), </w:t>
      </w:r>
      <w:r w:rsidRPr="005C4509">
        <w:rPr>
          <w:rStyle w:val="Emphasis"/>
        </w:rPr>
        <w:t>and depression</w:t>
      </w:r>
      <w:r>
        <w:t xml:space="preserve"> (van </w:t>
      </w:r>
      <w:proofErr w:type="spellStart"/>
      <w:r>
        <w:t>Olphen</w:t>
      </w:r>
      <w:proofErr w:type="spellEnd"/>
      <w:r>
        <w:t xml:space="preserve"> et al. 2009). Studies also link the inability to get a job with feelings of “maternal distress,” in which </w:t>
      </w:r>
      <w:r w:rsidRPr="005C4509">
        <w:rPr>
          <w:rStyle w:val="StyleUnderline"/>
        </w:rPr>
        <w:t>the inability to provide financial resources for their children exacerbates existing mental health problems among formerly incarcerated mothers</w:t>
      </w:r>
      <w:r>
        <w:t xml:space="preserve"> (Arditti and Few 2006, 2008). Another qualitative study documents that </w:t>
      </w:r>
      <w:r w:rsidRPr="005C4509">
        <w:rPr>
          <w:rStyle w:val="StyleUnderline"/>
        </w:rPr>
        <w:t>women coped with a lack of financial resources when leaving prison by engaging in prostitution, which left them with an increased exposure risk for HIV and other sexually transmitted diseases</w:t>
      </w:r>
      <w:r>
        <w:t xml:space="preserve"> (Luther et al. 2011; van </w:t>
      </w:r>
      <w:proofErr w:type="spellStart"/>
      <w:r>
        <w:t>Olphen</w:t>
      </w:r>
      <w:proofErr w:type="spellEnd"/>
      <w:r>
        <w:t xml:space="preserve"> et al. 2009). Importantly, studies comparing outcomes among men and women also found that when formerly incarcerated women could not find employment, their families were less likely than those of men to provide financial and other support—even though women had been more engaged in substance use treatment post-release (Lattimore et al. 2009; Mallik-Kane and </w:t>
      </w:r>
      <w:proofErr w:type="spellStart"/>
      <w:r>
        <w:t>Visher</w:t>
      </w:r>
      <w:proofErr w:type="spellEnd"/>
      <w:r>
        <w:t xml:space="preserve"> 2008). This differential level of family support noted between men and women upon release from prison may also contribute to the higher prevalence of poor psychological outcomes for women following reentry into the community (Lattimore et al. 2009; Mallik-Kane and </w:t>
      </w:r>
      <w:proofErr w:type="spellStart"/>
      <w:r>
        <w:t>Visher</w:t>
      </w:r>
      <w:proofErr w:type="spellEnd"/>
      <w:r>
        <w:t xml:space="preserve"> 2008).</w:t>
      </w:r>
    </w:p>
    <w:p w14:paraId="25D8E27D" w14:textId="76E38A7E" w:rsidR="004407B6" w:rsidRDefault="004407B6" w:rsidP="004407B6">
      <w:pPr>
        <w:pStyle w:val="Heading3"/>
      </w:pPr>
      <w:r>
        <w:t xml:space="preserve">Internals: TANF can solve CC Restrict </w:t>
      </w:r>
    </w:p>
    <w:p w14:paraId="1244EEED" w14:textId="77777777" w:rsidR="004407B6" w:rsidRPr="004407B6" w:rsidRDefault="004407B6" w:rsidP="004407B6"/>
    <w:p w14:paraId="3D067369" w14:textId="44EE20AD" w:rsidR="001C0CA6" w:rsidRDefault="004407B6" w:rsidP="004407B6">
      <w:pPr>
        <w:pStyle w:val="Heading4"/>
      </w:pPr>
      <w:r>
        <w:t>TANF could play an important role in mitigating these impacts, but CC’s restrict their use --- ensures significant impact on public health of women</w:t>
      </w:r>
    </w:p>
    <w:p w14:paraId="3DDF9A05" w14:textId="77777777" w:rsidR="004407B6" w:rsidRPr="004407B6" w:rsidRDefault="004407B6" w:rsidP="004407B6"/>
    <w:p w14:paraId="4DA84460" w14:textId="77777777" w:rsidR="005C4509" w:rsidRDefault="005C4509" w:rsidP="005C4509">
      <w:pPr>
        <w:rPr>
          <w:rStyle w:val="Style13ptBold"/>
        </w:rPr>
      </w:pPr>
      <w:proofErr w:type="spellStart"/>
      <w:r>
        <w:rPr>
          <w:rStyle w:val="Style13ptBold"/>
        </w:rPr>
        <w:t>Sheely</w:t>
      </w:r>
      <w:proofErr w:type="spellEnd"/>
      <w:r>
        <w:rPr>
          <w:rStyle w:val="Style13ptBold"/>
        </w:rPr>
        <w:t xml:space="preserve"> ‘15</w:t>
      </w:r>
    </w:p>
    <w:p w14:paraId="1A5F1B55" w14:textId="6E0730FF" w:rsidR="005C4509" w:rsidRDefault="005C4509" w:rsidP="001C0CA6">
      <w:r w:rsidRPr="00247186">
        <w:t xml:space="preserve">(Amanda </w:t>
      </w:r>
      <w:proofErr w:type="spellStart"/>
      <w:r w:rsidRPr="00247186">
        <w:t>Sheely</w:t>
      </w:r>
      <w:proofErr w:type="spellEnd"/>
      <w:r w:rsidRPr="00247186">
        <w:t xml:space="preserve">, MSW, MPH, PhD, </w:t>
      </w:r>
      <w:proofErr w:type="spellStart"/>
      <w:r w:rsidRPr="00247186">
        <w:t>Lecturercorresponding</w:t>
      </w:r>
      <w:proofErr w:type="spellEnd"/>
      <w:r w:rsidRPr="00247186">
        <w:t xml:space="preserve"> author and Shawn M. </w:t>
      </w:r>
      <w:proofErr w:type="spellStart"/>
      <w:r w:rsidRPr="00247186">
        <w:t>Kneipp</w:t>
      </w:r>
      <w:proofErr w:type="spellEnd"/>
      <w:r w:rsidRPr="00247186">
        <w:t xml:space="preserve">, Ph.D., ANP-BC, APHN-BC, Associate Professor Department of Social Policy, London School of Economics and Political </w:t>
      </w:r>
      <w:proofErr w:type="spellStart"/>
      <w:r w:rsidRPr="00247186">
        <w:t>Science,“The</w:t>
      </w:r>
      <w:proofErr w:type="spellEnd"/>
      <w:r w:rsidRPr="00247186">
        <w:t xml:space="preserve"> effects of collateral consequences of criminal involvement on employment, use of Temporary Assistance for Needy Families, and health,” Women Health. 2015; 55(5): 548–565, </w:t>
      </w:r>
      <w:proofErr w:type="spellStart"/>
      <w:r w:rsidRPr="00247186">
        <w:t>pg</w:t>
      </w:r>
      <w:proofErr w:type="spellEnd"/>
      <w:r w:rsidRPr="00247186">
        <w:t xml:space="preserve"> online @ </w:t>
      </w:r>
      <w:hyperlink r:id="rId49" w:history="1">
        <w:r w:rsidRPr="00247186">
          <w:rPr>
            <w:rStyle w:val="Hyperlink"/>
          </w:rPr>
          <w:t>https://www.ncbi.nlm.nih.gov/pmc/articles/PMC5763494/</w:t>
        </w:r>
      </w:hyperlink>
      <w:r w:rsidRPr="00247186">
        <w:t xml:space="preserve"> //um-</w:t>
      </w:r>
      <w:proofErr w:type="spellStart"/>
      <w:r w:rsidRPr="00247186">
        <w:t>ef</w:t>
      </w:r>
      <w:proofErr w:type="spellEnd"/>
      <w:r w:rsidRPr="00247186">
        <w:t>)</w:t>
      </w:r>
    </w:p>
    <w:p w14:paraId="20731CAE" w14:textId="375D23BF" w:rsidR="001C0CA6" w:rsidRPr="004407B6" w:rsidRDefault="001C0CA6" w:rsidP="001C0CA6">
      <w:pPr>
        <w:rPr>
          <w:sz w:val="12"/>
        </w:rPr>
      </w:pPr>
      <w:r w:rsidRPr="004407B6">
        <w:rPr>
          <w:sz w:val="12"/>
        </w:rPr>
        <w:t>TANF, Criminal History, and Health as Employment Barriers</w:t>
      </w:r>
      <w:r w:rsidR="004407B6" w:rsidRPr="004407B6">
        <w:rPr>
          <w:sz w:val="12"/>
        </w:rPr>
        <w:t xml:space="preserve"> </w:t>
      </w:r>
      <w:r w:rsidRPr="004407B6">
        <w:rPr>
          <w:sz w:val="12"/>
        </w:rPr>
        <w:t>Given its programmatic focus on providing economic support and job search services</w:t>
      </w:r>
      <w:r w:rsidRPr="005C4509">
        <w:rPr>
          <w:rStyle w:val="StyleUnderline"/>
        </w:rPr>
        <w:t>, TANF could play an important role in mitigating the negative impacts of a criminal record on both employment and health for disadvantaged women.</w:t>
      </w:r>
      <w:r w:rsidRPr="004407B6">
        <w:rPr>
          <w:sz w:val="12"/>
        </w:rPr>
        <w:t xml:space="preserve"> However, none of the studies in the review considered receiving TANF as potentially moderating the effect of a criminal record history on either employment or health. Of the seven studies that included TANF as a variable, in most receiving TANF was assessed primarily as a background or sample characteristic (</w:t>
      </w:r>
      <w:proofErr w:type="spellStart"/>
      <w:r w:rsidRPr="004407B6">
        <w:rPr>
          <w:sz w:val="12"/>
        </w:rPr>
        <w:t>Acs</w:t>
      </w:r>
      <w:proofErr w:type="spellEnd"/>
      <w:r w:rsidRPr="004407B6">
        <w:rPr>
          <w:sz w:val="12"/>
        </w:rPr>
        <w:t xml:space="preserve"> and </w:t>
      </w:r>
      <w:proofErr w:type="spellStart"/>
      <w:r w:rsidRPr="004407B6">
        <w:rPr>
          <w:sz w:val="12"/>
        </w:rPr>
        <w:t>Loprest</w:t>
      </w:r>
      <w:proofErr w:type="spellEnd"/>
      <w:r w:rsidRPr="004407B6">
        <w:rPr>
          <w:sz w:val="12"/>
        </w:rPr>
        <w:t xml:space="preserve"> 2003; Brock et al. 2002; </w:t>
      </w:r>
      <w:proofErr w:type="spellStart"/>
      <w:r w:rsidRPr="004407B6">
        <w:rPr>
          <w:sz w:val="12"/>
        </w:rPr>
        <w:t>Michalopoulos</w:t>
      </w:r>
      <w:proofErr w:type="spellEnd"/>
      <w:r w:rsidRPr="004407B6">
        <w:rPr>
          <w:sz w:val="12"/>
        </w:rPr>
        <w:t xml:space="preserve"> et al. 2003; Morgenstern et al. 2003; Quint et al. 1999). Thus, while these studies examined the extent to which health problems and criminal histories created employment barriers for TANF recipients (model 3.c, Figure 3), none conceptualized the potential cascade of events that a criminal record history could have on health via employment and/or receiving TANF.</w:t>
      </w:r>
      <w:r w:rsidR="004407B6" w:rsidRPr="004407B6">
        <w:rPr>
          <w:sz w:val="12"/>
        </w:rPr>
        <w:t xml:space="preserve"> </w:t>
      </w:r>
      <w:r w:rsidRPr="004407B6">
        <w:rPr>
          <w:sz w:val="12"/>
        </w:rPr>
        <w:t>One relatively stark finding that emerged from this group of studies was the wide variation in the estimated prevalence of criminal record histories among the TANF population. This is likely in part due to differences in using arrests, convictions, or incarcerations as an indicator of a “criminal background,” differences in state laws that bar individuals with select types of past convictions (most often drug-related) from receiving TANF support (Pogorzelski et al. 2005), and differences in criminal record histories in TANF subgroups. For example, one study found that about 6 percent of TANF recipients had a criminal conviction (Brock et al. 2002), while another found 56 percent and 25 percent of TANF recipients with substance abuse problems report ever being arrested or incarcerated, respectively (Morgenstern et al. 2003). Findings related to the extent to which a criminal record history is a barrier to employment were equivocal. One study documented no significant differences in employment between women on TANF with and without a criminal conviction (</w:t>
      </w:r>
      <w:proofErr w:type="spellStart"/>
      <w:r w:rsidRPr="004407B6">
        <w:rPr>
          <w:sz w:val="12"/>
        </w:rPr>
        <w:t>Acs</w:t>
      </w:r>
      <w:proofErr w:type="spellEnd"/>
      <w:r w:rsidRPr="004407B6">
        <w:rPr>
          <w:sz w:val="12"/>
        </w:rPr>
        <w:t xml:space="preserve"> and </w:t>
      </w:r>
      <w:proofErr w:type="spellStart"/>
      <w:r w:rsidRPr="004407B6">
        <w:rPr>
          <w:sz w:val="12"/>
        </w:rPr>
        <w:t>Loprest</w:t>
      </w:r>
      <w:proofErr w:type="spellEnd"/>
      <w:r w:rsidRPr="004407B6">
        <w:rPr>
          <w:sz w:val="12"/>
        </w:rPr>
        <w:t xml:space="preserve"> 2003). Another study conducted roughly during the same </w:t>
      </w:r>
      <w:proofErr w:type="gramStart"/>
      <w:r w:rsidRPr="004407B6">
        <w:rPr>
          <w:sz w:val="12"/>
        </w:rPr>
        <w:t>period of time</w:t>
      </w:r>
      <w:proofErr w:type="gramEnd"/>
      <w:r w:rsidRPr="004407B6">
        <w:rPr>
          <w:sz w:val="12"/>
        </w:rPr>
        <w:t>, however, found TANF recipients with a criminal conviction were almost twice as likely to be unemployed (Brock et al. 2002).</w:t>
      </w:r>
      <w:r w:rsidR="004407B6" w:rsidRPr="004407B6">
        <w:rPr>
          <w:sz w:val="12"/>
        </w:rPr>
        <w:t xml:space="preserve"> </w:t>
      </w:r>
      <w:r w:rsidRPr="004407B6">
        <w:rPr>
          <w:sz w:val="12"/>
        </w:rPr>
        <w:t xml:space="preserve">Along with these studies of TANF recipients, additional studies in the review highlighted that, </w:t>
      </w:r>
      <w:proofErr w:type="gramStart"/>
      <w:r w:rsidRPr="005C4509">
        <w:rPr>
          <w:rStyle w:val="StyleUnderline"/>
        </w:rPr>
        <w:t>despite the fact that</w:t>
      </w:r>
      <w:proofErr w:type="gramEnd"/>
      <w:r w:rsidRPr="005C4509">
        <w:rPr>
          <w:rStyle w:val="StyleUnderline"/>
        </w:rPr>
        <w:t xml:space="preserve"> women leaving jails and prisons assert that they will need financial support, few used TANF</w:t>
      </w:r>
      <w:r w:rsidRPr="004407B6">
        <w:rPr>
          <w:sz w:val="12"/>
        </w:rPr>
        <w:t>. Although nearly 25 percent of offenders said that they expected to use “public assistance” upon release</w:t>
      </w:r>
      <w:r w:rsidRPr="005C4509">
        <w:rPr>
          <w:rStyle w:val="StyleUnderline"/>
        </w:rPr>
        <w:t xml:space="preserve">, only 5.9 percent were receiving aid </w:t>
      </w:r>
      <w:proofErr w:type="gramStart"/>
      <w:r w:rsidRPr="005C4509">
        <w:rPr>
          <w:rStyle w:val="StyleUnderline"/>
        </w:rPr>
        <w:t>1 month</w:t>
      </w:r>
      <w:proofErr w:type="gramEnd"/>
      <w:r w:rsidRPr="005C4509">
        <w:rPr>
          <w:rStyle w:val="StyleUnderline"/>
        </w:rPr>
        <w:t xml:space="preserve"> post-release</w:t>
      </w:r>
      <w:r w:rsidRPr="004407B6">
        <w:rPr>
          <w:sz w:val="12"/>
        </w:rPr>
        <w:t xml:space="preserve"> (</w:t>
      </w:r>
      <w:proofErr w:type="spellStart"/>
      <w:r w:rsidRPr="004407B6">
        <w:rPr>
          <w:sz w:val="12"/>
        </w:rPr>
        <w:t>Visher</w:t>
      </w:r>
      <w:proofErr w:type="spellEnd"/>
      <w:r w:rsidRPr="004407B6">
        <w:rPr>
          <w:sz w:val="12"/>
        </w:rPr>
        <w:t xml:space="preserve"> et al. 2004). </w:t>
      </w:r>
      <w:r w:rsidRPr="005C4509">
        <w:rPr>
          <w:rStyle w:val="StyleUnderline"/>
        </w:rPr>
        <w:t>Qualitative interviews with women leaving prison suggested that reasons for this difference in seeking access to and receipt of public assistance benefits may have been due to women’s fear of stigma during the TANF application process</w:t>
      </w:r>
      <w:r w:rsidRPr="004407B6">
        <w:rPr>
          <w:sz w:val="12"/>
        </w:rPr>
        <w:t>, their unwillingness to involve another case manager in their lives, and the fact that parole guidelines require that they find work (Brown and Bloom 2009; Brown and Barbosa 2001).</w:t>
      </w:r>
      <w:r w:rsidR="004407B6" w:rsidRPr="004407B6">
        <w:rPr>
          <w:sz w:val="12"/>
        </w:rPr>
        <w:t xml:space="preserve"> </w:t>
      </w:r>
      <w:r w:rsidRPr="004407B6">
        <w:rPr>
          <w:sz w:val="12"/>
        </w:rPr>
        <w:t xml:space="preserve">The purpose of this research synthesis was to understand researchers’ conceptualizations of the relationships among: (1) a criminal conviction; the collateral consequences of restricted (2) employment and (3) receiving TANF that can occur following a criminal conviction; and (4) health among women. </w:t>
      </w:r>
      <w:r w:rsidRPr="005C4509">
        <w:rPr>
          <w:rStyle w:val="StyleUnderline"/>
        </w:rPr>
        <w:t>Given the literature showing that employment improves the lives of poor women, and the fact that TANF is the primary government program accessible to poor women that provides job training and placement services, we were particularly interested in determining whether any findings suggested that employment or TANF might mediate the negative consequences of criminal justice involvement on health.</w:t>
      </w:r>
      <w:r w:rsidR="004407B6">
        <w:rPr>
          <w:rStyle w:val="StyleUnderline"/>
        </w:rPr>
        <w:t xml:space="preserve"> </w:t>
      </w:r>
      <w:r w:rsidRPr="004407B6">
        <w:rPr>
          <w:sz w:val="12"/>
        </w:rPr>
        <w:t xml:space="preserve">Studies included in this research synthesis did yield several important findings. First, </w:t>
      </w:r>
      <w:r w:rsidRPr="005C4509">
        <w:rPr>
          <w:rStyle w:val="StyleUnderline"/>
        </w:rPr>
        <w:t>engagement with the criminal justice system</w:t>
      </w:r>
      <w:r w:rsidRPr="004407B6">
        <w:rPr>
          <w:sz w:val="12"/>
        </w:rPr>
        <w:t xml:space="preserve"> (mainly incarceration) </w:t>
      </w:r>
      <w:r w:rsidRPr="005C4509">
        <w:rPr>
          <w:rStyle w:val="StyleUnderline"/>
        </w:rPr>
        <w:t>had significant and long-lasting detrimental manifestations on employment among women.</w:t>
      </w:r>
      <w:r w:rsidRPr="004407B6">
        <w:rPr>
          <w:sz w:val="12"/>
        </w:rPr>
        <w:t xml:space="preserve"> Second, </w:t>
      </w:r>
      <w:r w:rsidRPr="005C4509">
        <w:rPr>
          <w:rStyle w:val="StyleUnderline"/>
        </w:rPr>
        <w:t>formerly incarcerated women had a high burden of poor health and faced a lack of services upon release</w:t>
      </w:r>
      <w:r w:rsidRPr="004407B6">
        <w:rPr>
          <w:sz w:val="12"/>
        </w:rPr>
        <w:t xml:space="preserve">. A major theme of the qualitative </w:t>
      </w:r>
      <w:r w:rsidRPr="005C4509">
        <w:rPr>
          <w:rStyle w:val="StyleUnderline"/>
        </w:rPr>
        <w:t>findings from women returning to their communities after incarceration was that not being able to secure employment was quickly associated with stress, hopelessness, and reports of feeling depressed</w:t>
      </w:r>
      <w:r w:rsidRPr="004407B6">
        <w:rPr>
          <w:sz w:val="12"/>
        </w:rPr>
        <w:t>. Third, although the TANF program could potentially link disadvantaged women with criminal convictions to employment, research in this area has been limited. However, a few studies did show that, along with laws prohibiting some women with convictions from receiving TANF, access was also limited by the stigma associated with the TANF program.</w:t>
      </w:r>
      <w:r w:rsidR="004407B6" w:rsidRPr="004407B6">
        <w:rPr>
          <w:sz w:val="12"/>
        </w:rPr>
        <w:t xml:space="preserve"> </w:t>
      </w:r>
      <w:r w:rsidRPr="004407B6">
        <w:rPr>
          <w:sz w:val="12"/>
        </w:rPr>
        <w:t>Several limitations of this study should be noted. First, it is possible that our search protocol could have missed some studies worthy of inclusion. To minimize this possibility, we searched multiple databases; included grey literature from organizations with long histories of conducting research in the areas of TANF, employment, and the criminal justice system; and incorporated multiple search terms to include as many relevant studies as possible. Second, we were only able to analyze articles published in English, although the fact that our study focused on articles about the U.S. criminal justice system made this less of a concern. Third, given the fact that we only included studies on women, the findings from this review may not be applicable to formerly incarcerated men.</w:t>
      </w:r>
      <w:r w:rsidR="004407B6" w:rsidRPr="004407B6">
        <w:rPr>
          <w:sz w:val="12"/>
        </w:rPr>
        <w:t xml:space="preserve"> </w:t>
      </w:r>
      <w:r w:rsidRPr="005C4509">
        <w:rPr>
          <w:rStyle w:val="StyleUnderline"/>
        </w:rPr>
        <w:t>From a public health perspective, the collateral consequences of criminal convictions are likely to be associated with critically important social determinants of health for women</w:t>
      </w:r>
      <w:r w:rsidRPr="004407B6">
        <w:rPr>
          <w:sz w:val="12"/>
        </w:rPr>
        <w:t xml:space="preserve">. Both a criminal conviction and the </w:t>
      </w:r>
      <w:r w:rsidRPr="004407B6">
        <w:rPr>
          <w:rStyle w:val="StyleUnderline"/>
        </w:rPr>
        <w:t xml:space="preserve">legally- and </w:t>
      </w:r>
      <w:proofErr w:type="gramStart"/>
      <w:r w:rsidRPr="004407B6">
        <w:rPr>
          <w:rStyle w:val="StyleUnderline"/>
        </w:rPr>
        <w:t>socially-imposed</w:t>
      </w:r>
      <w:proofErr w:type="gramEnd"/>
      <w:r w:rsidRPr="004407B6">
        <w:rPr>
          <w:rStyle w:val="StyleUnderline"/>
        </w:rPr>
        <w:t xml:space="preserve"> restrictions to TANF benefits are associated with employment opportunities available to disadvantaged women</w:t>
      </w:r>
      <w:r w:rsidRPr="004407B6">
        <w:rPr>
          <w:sz w:val="12"/>
        </w:rPr>
        <w:t xml:space="preserve">. The </w:t>
      </w:r>
      <w:r w:rsidRPr="004407B6">
        <w:rPr>
          <w:rStyle w:val="Emphasis"/>
        </w:rPr>
        <w:t>erosion</w:t>
      </w:r>
      <w:r w:rsidRPr="004407B6">
        <w:rPr>
          <w:sz w:val="12"/>
        </w:rPr>
        <w:t xml:space="preserve"> </w:t>
      </w:r>
      <w:r w:rsidRPr="004407B6">
        <w:rPr>
          <w:rStyle w:val="Emphasis"/>
        </w:rPr>
        <w:t>of employment opportunities</w:t>
      </w:r>
      <w:r w:rsidRPr="004407B6">
        <w:rPr>
          <w:sz w:val="12"/>
        </w:rPr>
        <w:t xml:space="preserve"> </w:t>
      </w:r>
      <w:r w:rsidRPr="004407B6">
        <w:rPr>
          <w:rStyle w:val="StyleUnderline"/>
        </w:rPr>
        <w:t xml:space="preserve">that occur </w:t>
      </w:r>
      <w:proofErr w:type="gramStart"/>
      <w:r w:rsidRPr="004407B6">
        <w:rPr>
          <w:rStyle w:val="StyleUnderline"/>
        </w:rPr>
        <w:t>as a consequence of</w:t>
      </w:r>
      <w:proofErr w:type="gramEnd"/>
      <w:r w:rsidRPr="004407B6">
        <w:rPr>
          <w:rStyle w:val="StyleUnderline"/>
        </w:rPr>
        <w:t xml:space="preserve"> a criminal record history have been well-documented among men—and are equally likely to influence the economic trajectory that women experience over the remainder of their lives</w:t>
      </w:r>
      <w:r w:rsidRPr="004407B6">
        <w:rPr>
          <w:sz w:val="12"/>
        </w:rPr>
        <w:t xml:space="preserve">. Moreover, although </w:t>
      </w:r>
      <w:proofErr w:type="gramStart"/>
      <w:r w:rsidRPr="004407B6">
        <w:rPr>
          <w:sz w:val="12"/>
        </w:rPr>
        <w:t>the majority of</w:t>
      </w:r>
      <w:proofErr w:type="gramEnd"/>
      <w:r w:rsidRPr="004407B6">
        <w:rPr>
          <w:sz w:val="12"/>
        </w:rPr>
        <w:t xml:space="preserve"> studies have focused on previously incarcerated individuals, some findings suggest </w:t>
      </w:r>
      <w:r w:rsidRPr="004407B6">
        <w:rPr>
          <w:rStyle w:val="StyleUnderline"/>
        </w:rPr>
        <w:t>any type of criminal record history results in employers being less willing to hire applicants</w:t>
      </w:r>
      <w:r w:rsidRPr="004407B6">
        <w:rPr>
          <w:sz w:val="12"/>
        </w:rPr>
        <w:t xml:space="preserve"> (Holzer, Raphael, and Stoll 2003). Despite their clear potential theoretical significance, we find that relevant potentially causal pathways between employment- and TANF-related collateral consequences due to a criminal conviction and health are largely untested. Rather than using a causal framework to understand the extent to which criminal involvement may indirectly relate to health through its effects on employment and TANF, studies in this area have overwhelmingly solely provided descriptions of the health conditions, employment experiences, and TANF use among those who have been incarcerated.</w:t>
      </w:r>
    </w:p>
    <w:p w14:paraId="6B86E34F" w14:textId="77777777" w:rsidR="001C0CA6" w:rsidRDefault="001C0CA6" w:rsidP="001C0CA6"/>
    <w:p w14:paraId="63EB6D73" w14:textId="2019ECB1" w:rsidR="008550B5" w:rsidRDefault="008550B5" w:rsidP="008550B5">
      <w:pPr>
        <w:pStyle w:val="Heading2"/>
      </w:pPr>
      <w:r>
        <w:t>Housing Scenario</w:t>
      </w:r>
    </w:p>
    <w:p w14:paraId="3875B73B" w14:textId="77777777" w:rsidR="00D100E8" w:rsidRDefault="00D100E8" w:rsidP="00D100E8">
      <w:pPr>
        <w:pStyle w:val="Heading3"/>
      </w:pPr>
      <w:r>
        <w:t>1AC?</w:t>
      </w:r>
    </w:p>
    <w:p w14:paraId="17031858" w14:textId="77777777" w:rsidR="00D100E8" w:rsidRDefault="00D100E8" w:rsidP="00D100E8"/>
    <w:p w14:paraId="6CC9AD80" w14:textId="77777777" w:rsidR="00D100E8" w:rsidRDefault="00D100E8" w:rsidP="00D100E8">
      <w:pPr>
        <w:pStyle w:val="Heading4"/>
      </w:pPr>
      <w:r>
        <w:t>Mass incarceration results in thousands leaving prisons with records and restrictions from government services including housing --- that causes homelessness, recidivism, mental health &amp; physical health issues, domestic violence and death disproportionately impacting African Americans</w:t>
      </w:r>
    </w:p>
    <w:p w14:paraId="1011F6EC" w14:textId="77777777" w:rsidR="00D100E8" w:rsidRPr="00C53D18" w:rsidRDefault="00D100E8" w:rsidP="00D100E8"/>
    <w:p w14:paraId="1C3A731C" w14:textId="77777777" w:rsidR="00D100E8" w:rsidRDefault="00D100E8" w:rsidP="00D100E8">
      <w:pPr>
        <w:rPr>
          <w:rStyle w:val="Style13ptBold"/>
        </w:rPr>
      </w:pPr>
      <w:r>
        <w:rPr>
          <w:rStyle w:val="Style13ptBold"/>
        </w:rPr>
        <w:t>Schneider ‘18</w:t>
      </w:r>
    </w:p>
    <w:p w14:paraId="095EB591" w14:textId="77777777" w:rsidR="00D100E8" w:rsidRPr="007E6B8C" w:rsidRDefault="00D100E8" w:rsidP="00D100E8">
      <w:r w:rsidRPr="007E6B8C">
        <w:t xml:space="preserve">(Valerie, Professor of Law, Howard University School of Law, J.D., George Washington University Law School, B.S., University of Pennsylvania, “The Prison to Homelessness Pipeline: Criminal Record Checks, Race, and Disparate Impact,” </w:t>
      </w:r>
      <w:proofErr w:type="spellStart"/>
      <w:r w:rsidRPr="007E6B8C">
        <w:t>pg</w:t>
      </w:r>
      <w:proofErr w:type="spellEnd"/>
      <w:r w:rsidRPr="007E6B8C">
        <w:t xml:space="preserve"> lexis //um-</w:t>
      </w:r>
      <w:proofErr w:type="spellStart"/>
      <w:r w:rsidRPr="007E6B8C">
        <w:t>ef</w:t>
      </w:r>
      <w:proofErr w:type="spellEnd"/>
      <w:r w:rsidRPr="007E6B8C">
        <w:t xml:space="preserve">) </w:t>
      </w:r>
    </w:p>
    <w:p w14:paraId="11683E97" w14:textId="77777777" w:rsidR="00D100E8" w:rsidRPr="000744BE" w:rsidRDefault="00D100E8" w:rsidP="00D100E8">
      <w:pPr>
        <w:rPr>
          <w:sz w:val="12"/>
        </w:rPr>
      </w:pPr>
      <w:r w:rsidRPr="00C53D18">
        <w:rPr>
          <w:sz w:val="12"/>
        </w:rPr>
        <w:t xml:space="preserve">I. INCARCERATION AND DECARCERATION IN CONTEXT A. Mass Incarceration's Disproportionate Effect As has been well documented by scholars such as Michelle Alexander and others, </w:t>
      </w:r>
      <w:r w:rsidRPr="007E6B8C">
        <w:rPr>
          <w:rStyle w:val="StyleUnderline"/>
        </w:rPr>
        <w:t>beginning in the 1970s, the prison population in the United States surged, and "[t]he United States currently incarcerates a higher percentage of its population than any other country in the world</w:t>
      </w:r>
      <w:r w:rsidRPr="00C53D18">
        <w:rPr>
          <w:sz w:val="12"/>
        </w:rPr>
        <w:t xml:space="preserve">." 16 </w:t>
      </w:r>
      <w:r w:rsidRPr="007E6B8C">
        <w:rPr>
          <w:rStyle w:val="StyleUnderline"/>
        </w:rPr>
        <w:t>The explosion of the prison population has affected minorities in particular</w:t>
      </w:r>
      <w:r w:rsidRPr="00C53D18">
        <w:rPr>
          <w:sz w:val="12"/>
        </w:rPr>
        <w:t xml:space="preserve">. Approximately </w:t>
      </w:r>
      <w:r w:rsidRPr="007E6B8C">
        <w:rPr>
          <w:rStyle w:val="StyleUnderline"/>
        </w:rPr>
        <w:t>one in nine African American men between the ages of twenty and thirty-four is currently incarcerated, and one in three African American men will serve time in jail or prison at some point during his life</w:t>
      </w:r>
      <w:r w:rsidRPr="00C53D18">
        <w:rPr>
          <w:sz w:val="12"/>
        </w:rPr>
        <w:t xml:space="preserve">. 17 To make these facts all the more stark, consider this: African Americans are six times more likely to be imprisoned in the United States than a Black person who lived [*426] under South African apartheid, 18 and "Blacks now make up a larger portion of the prison population than they did at the time of Brown v. Board of Education." 19 Numerous studies have shown that, </w:t>
      </w:r>
      <w:r w:rsidRPr="007E6B8C">
        <w:rPr>
          <w:rStyle w:val="StyleUnderline"/>
        </w:rPr>
        <w:t>at all levels of the criminal justice system, African Americans and other minorities are targeted for harsher treatment than white Americans</w:t>
      </w:r>
      <w:r w:rsidRPr="00C53D18">
        <w:rPr>
          <w:sz w:val="12"/>
        </w:rPr>
        <w:t xml:space="preserve">. 20 Starting with arrests and "stop and frisks," police officers interact with minorities in a manner that is disproportionate both to percentage of population and likelihood that a crime has been committed. 21 One study of traffic stops on the New Jersey Turnpike, for example, found that although only fifteen percent of drivers were African American, African Americans represented forty-two percent of individuals stopped and seventy-three percent of individuals arrested. 22 This was true despite that fact that African Americans and whites are equally likely to violate traffic laws, and, even more importantly, the study found that whites were twice as likely to be carrying illegal drugs or contraband when stopped. 23 Similarly, although whites [*427] have a higher rate of illegal drug use, sixty percent of those imprisoned for drug charges in 1998 were Black. 24 </w:t>
      </w:r>
      <w:r w:rsidRPr="007E6B8C">
        <w:rPr>
          <w:rStyle w:val="Emphasis"/>
        </w:rPr>
        <w:t>The racial disparities in the justice system continue after arrest, and extend into trial, jury selection, sentencing, and post-conviction relief</w:t>
      </w:r>
      <w:r w:rsidRPr="00C53D18">
        <w:rPr>
          <w:sz w:val="12"/>
        </w:rPr>
        <w:t xml:space="preserve">. 25 Public policies, such as the "war on drugs," an emphasis on "law-and-order" political rhetoric, the explosion of sentencing guidelines, and lobbying efforts from entities such as private prison corporations and correctional officers' unions fueled the "prison boom" in the United States. 26 For drug crimes as well as other types of crime, criminal courts divert fewer offenders, send more offenders to prison, and hand down much longer sentences than courts did prior to the 1970s. 27 It is now clear that </w:t>
      </w:r>
      <w:r w:rsidRPr="007E6B8C">
        <w:rPr>
          <w:rStyle w:val="StyleUnderline"/>
        </w:rPr>
        <w:t>the increase in the prison population during the 1980s, 1990s, and 2000s was not, as previously thought, due to a substantial increase in criminal behavior</w:t>
      </w:r>
      <w:r w:rsidRPr="00C53D18">
        <w:rPr>
          <w:sz w:val="12"/>
        </w:rPr>
        <w:t xml:space="preserve">. 28 </w:t>
      </w:r>
      <w:r w:rsidRPr="007E6B8C">
        <w:rPr>
          <w:rStyle w:val="StyleUnderline"/>
        </w:rPr>
        <w:t>Mass incarceration's disproportionate impact on African Americans affects not only the individuals who are sent to prisons or jails, but also the communities from which those individuals came</w:t>
      </w:r>
      <w:r w:rsidRPr="00C53D18">
        <w:rPr>
          <w:sz w:val="12"/>
        </w:rPr>
        <w:t xml:space="preserve">. 29 </w:t>
      </w:r>
      <w:r w:rsidRPr="007E6B8C">
        <w:rPr>
          <w:rStyle w:val="StyleUnderline"/>
        </w:rPr>
        <w:t xml:space="preserve">One author compared the effect mass incarceration has had on low-income African American communities to the impacts associated with "losses due to </w:t>
      </w:r>
      <w:r w:rsidRPr="007E6B8C">
        <w:rPr>
          <w:rStyle w:val="Emphasis"/>
        </w:rPr>
        <w:t>epidemics, wars, and terrorist attacks"</w:t>
      </w:r>
      <w:r w:rsidRPr="007E6B8C">
        <w:rPr>
          <w:rStyle w:val="StyleUnderline"/>
        </w:rPr>
        <w:t xml:space="preserve"> in terms of the </w:t>
      </w:r>
      <w:r w:rsidRPr="007E6B8C">
        <w:rPr>
          <w:rStyle w:val="Emphasis"/>
        </w:rPr>
        <w:t>effects on the "survivors"</w:t>
      </w:r>
      <w:r w:rsidRPr="007E6B8C">
        <w:rPr>
          <w:rStyle w:val="StyleUnderline"/>
        </w:rPr>
        <w:t xml:space="preserve"> and the </w:t>
      </w:r>
      <w:r w:rsidRPr="007E6B8C">
        <w:rPr>
          <w:rStyle w:val="Emphasis"/>
        </w:rPr>
        <w:t>social structures</w:t>
      </w:r>
      <w:r w:rsidRPr="007E6B8C">
        <w:rPr>
          <w:rStyle w:val="StyleUnderline"/>
        </w:rPr>
        <w:t xml:space="preserve"> in communities.</w:t>
      </w:r>
      <w:r w:rsidRPr="00C53D18">
        <w:rPr>
          <w:sz w:val="12"/>
        </w:rPr>
        <w:t xml:space="preserve"> 30 </w:t>
      </w:r>
      <w:r w:rsidRPr="007E6B8C">
        <w:rPr>
          <w:rStyle w:val="StyleUnderline"/>
        </w:rPr>
        <w:t>The depopulation of minority communities due to mass incarceration has a "destabilizing effect on community life, so that the most basic underpinnings of informal social control are damaged</w:t>
      </w:r>
      <w:r w:rsidRPr="00C53D18">
        <w:rPr>
          <w:sz w:val="12"/>
        </w:rPr>
        <w:t xml:space="preserve"> [*428] . . . [and this], in turn, reproduces the very dynamics that sustain crime." 31 Removing some criminals from communities may support social order, but high </w:t>
      </w:r>
      <w:r w:rsidRPr="007E6B8C">
        <w:rPr>
          <w:rStyle w:val="StyleUnderline"/>
        </w:rPr>
        <w:t>levels of imprisonment have been found to shift social norms in such a way that social pressure to avoid crime is diminished</w:t>
      </w:r>
      <w:r w:rsidRPr="00C53D18">
        <w:rPr>
          <w:sz w:val="12"/>
        </w:rPr>
        <w:t xml:space="preserve">. 32 Indeed, one scholar posits that "imprisonment is now a key social institution in many black neighborhoods" and that incarceration has become a "'rite of passage' imposed upon African American teenagers." 33 B. Denying Housing as a Means of Social Control After Incarceration </w:t>
      </w:r>
      <w:r w:rsidRPr="007E6B8C">
        <w:rPr>
          <w:rStyle w:val="StyleUnderline"/>
        </w:rPr>
        <w:t>The effects of mass incarceration on African Americans are felt long after individuals leave jails and prisons</w:t>
      </w:r>
      <w:r w:rsidRPr="00C53D18">
        <w:rPr>
          <w:sz w:val="12"/>
        </w:rPr>
        <w:t xml:space="preserve">, </w:t>
      </w:r>
      <w:r w:rsidRPr="007E6B8C">
        <w:rPr>
          <w:rStyle w:val="Emphasis"/>
        </w:rPr>
        <w:t>particularly in the arena of housing</w:t>
      </w:r>
      <w:r w:rsidRPr="00C53D18">
        <w:rPr>
          <w:sz w:val="12"/>
        </w:rPr>
        <w:t xml:space="preserve">. Even first-time offenders and those who committed no </w:t>
      </w:r>
      <w:proofErr w:type="gramStart"/>
      <w:r w:rsidRPr="00C53D18">
        <w:rPr>
          <w:sz w:val="12"/>
        </w:rPr>
        <w:t>crime, but</w:t>
      </w:r>
      <w:proofErr w:type="gramEnd"/>
      <w:r w:rsidRPr="00C53D18">
        <w:rPr>
          <w:sz w:val="12"/>
        </w:rPr>
        <w:t xml:space="preserve"> plead "guilty" to avoid the possibility of long prison sentences, are often subjected to the denial of many of the core benefits of citizenship. </w:t>
      </w:r>
      <w:r w:rsidRPr="007E6B8C">
        <w:rPr>
          <w:rStyle w:val="StyleUnderline"/>
        </w:rPr>
        <w:t>Those with criminal records may be ineligible for many federally funded health and welfare benefits, food stamps, and federal education assistance</w:t>
      </w:r>
      <w:r w:rsidRPr="00C53D18">
        <w:rPr>
          <w:sz w:val="12"/>
        </w:rPr>
        <w:t xml:space="preserve">. 34 </w:t>
      </w:r>
      <w:r w:rsidRPr="007E6B8C">
        <w:rPr>
          <w:rStyle w:val="StyleUnderline"/>
        </w:rPr>
        <w:t>They may be denied the right to vote, to enlist in the military, or to obtain security clearances needed for jobs</w:t>
      </w:r>
      <w:r w:rsidRPr="00C53D18">
        <w:rPr>
          <w:sz w:val="12"/>
        </w:rPr>
        <w:t xml:space="preserve">. 35 And, most relevant to this Article, </w:t>
      </w:r>
      <w:r w:rsidRPr="007E6B8C">
        <w:rPr>
          <w:rStyle w:val="Emphasis"/>
        </w:rPr>
        <w:t>they may be denied both public and private housing.</w:t>
      </w:r>
      <w:r>
        <w:rPr>
          <w:rStyle w:val="Emphasis"/>
        </w:rPr>
        <w:t xml:space="preserve"> </w:t>
      </w:r>
      <w:r w:rsidRPr="00C53D18">
        <w:rPr>
          <w:sz w:val="12"/>
        </w:rPr>
        <w:t xml:space="preserve">With technological advances in recent years, </w:t>
      </w:r>
      <w:r w:rsidRPr="007E6B8C">
        <w:rPr>
          <w:rStyle w:val="StyleUnderline"/>
        </w:rPr>
        <w:t>criminal records have become more widely available and, as a result, are being used for non-law enforcement purposes with increased frequency</w:t>
      </w:r>
      <w:r w:rsidRPr="00C53D18">
        <w:rPr>
          <w:sz w:val="12"/>
        </w:rPr>
        <w:t xml:space="preserve">. 36 In fact, as criminal records have become available electronically, an entire industry has arisen to respond to the demand for this type of information from housing providers. 37 One company, for example, boasts in its brochure that it is capable of combining criminal, proprietary, and credit data for over "200 million convictions associated with more than 62 million unique individuals, to [*429] which it adds approximately 22,000 new records daily." 38 Another company gives landlords access to over "200+ million criminal records" from state and national databases within minutes. 39 Landlords have not always been so focused on tenants' criminal histories. One study found that among twenty popular "how-to-landlord" books available for purchase in 2008, all of the ones published after 1990 advised landlords to conduct criminal background screenings and include questions about criminal history in the sample rental application. 40 Conversely, none of the titles published before 1990 contained recommendations related to criminal background checks; instead, the books published prior to 1990 focused primarily on finding tenants who presented the fewest financial risks--for example, applicants with good employment histories, rental histories, and credit. 41 Unfortunately, </w:t>
      </w:r>
      <w:r w:rsidRPr="007E6B8C">
        <w:rPr>
          <w:rStyle w:val="StyleUnderline"/>
        </w:rPr>
        <w:t>even as housing providers have relied more heavily on criminal background checks, the data provided in such checks is sometimes inaccurate and often misunderstood by housing providers</w:t>
      </w:r>
      <w:r w:rsidRPr="00C53D18">
        <w:rPr>
          <w:sz w:val="12"/>
        </w:rPr>
        <w:t xml:space="preserve">. 42 Poor data integrity sometimes results in the attribution of an offense to the wrong individual, a listing of an incorrect offense, and reports in which the disposition of arrests has not been entered even after charges were dropped. 43 C. A Slight Shift Toward </w:t>
      </w:r>
      <w:proofErr w:type="spellStart"/>
      <w:r w:rsidRPr="00C53D18">
        <w:rPr>
          <w:sz w:val="12"/>
        </w:rPr>
        <w:t>Decarceration</w:t>
      </w:r>
      <w:proofErr w:type="spellEnd"/>
      <w:r w:rsidRPr="00C53D18">
        <w:rPr>
          <w:sz w:val="12"/>
        </w:rPr>
        <w:t xml:space="preserve">? For the first time since the prison population began its exponential increase in the 1970s, the prison population in the United States decreased for three consecutive years from 2010 through 2013, a response, in part, to the financial costs of housing so many prisoners. 44 The financial downturn and subsequent housing crisis prior to 2010 made the astronomical cost of housing so many prisoners even more unpalatable to many Americans, and legislatures in many areas of the country have responded by enacting early release bills and decriminalizing low-level offenses such as marijuana possession. 45 Twenty-three states have passed laws repealing or shortening [*430] mandatory minimum sentences, and many states have increased opportunities for early release and worked to reduce reincarceration through parole violations. 46 On a federal level, Congress also seems to have shifted its focus from a pure "tough on crime" model to a model that </w:t>
      </w:r>
      <w:proofErr w:type="gramStart"/>
      <w:r w:rsidRPr="00C53D18">
        <w:rPr>
          <w:sz w:val="12"/>
        </w:rPr>
        <w:t>takes into account</w:t>
      </w:r>
      <w:proofErr w:type="gramEnd"/>
      <w:r w:rsidRPr="00C53D18">
        <w:rPr>
          <w:sz w:val="12"/>
        </w:rPr>
        <w:t xml:space="preserve"> some of the financial and societal costs of mass incarceration. For example, in 2010, Congress passed the Fair Sentencing Act, which reduced the weight ratio of the amount of crack and powder cocaine needed to trigger mandatory sentencing from 100:1 to 18:1. 47 The Fair Sentencing Act also eliminated the mandatory minimum for first-time possession of crack cocaine, resulting in a decrease in those sent to prison for a first-time minor offense. 48 In 2011, the U.S. Supreme Court also weighed in on the era of mass incarceration in Brown v. Plata, ruling that overcrowding in California prisons was unconstitutional. 49 In a five-to-four decision, </w:t>
      </w:r>
      <w:proofErr w:type="gramStart"/>
      <w:r w:rsidRPr="00C53D18">
        <w:rPr>
          <w:sz w:val="12"/>
        </w:rPr>
        <w:t>a majority of</w:t>
      </w:r>
      <w:proofErr w:type="gramEnd"/>
      <w:r w:rsidRPr="00C53D18">
        <w:rPr>
          <w:sz w:val="12"/>
        </w:rPr>
        <w:t xml:space="preserve"> the Justices found that inadequate medical and mental healthcare and other conditions were responsible for one inmate dying each week due to neglect. 50 In response, the Supreme Court required that California decrease its prison occupancy rate to 137.5% of the design capacity of the buildings by 2013. 51 While about half of the current numerical trend towards </w:t>
      </w:r>
      <w:proofErr w:type="spellStart"/>
      <w:r w:rsidRPr="00C53D18">
        <w:rPr>
          <w:sz w:val="12"/>
        </w:rPr>
        <w:t>decarceration</w:t>
      </w:r>
      <w:proofErr w:type="spellEnd"/>
      <w:r w:rsidRPr="00C53D18">
        <w:rPr>
          <w:sz w:val="12"/>
        </w:rPr>
        <w:t xml:space="preserve"> is driven by California's court-mandated reduction in its prison population, the impact of the Brown v. Plata decision has been felt nationwide. 52 Despite the legislative and judicial push to limit the explosion of the prison population, it is important not to overstate the trend towards </w:t>
      </w:r>
      <w:proofErr w:type="spellStart"/>
      <w:r w:rsidRPr="00C53D18">
        <w:rPr>
          <w:sz w:val="12"/>
        </w:rPr>
        <w:t>decarceration</w:t>
      </w:r>
      <w:proofErr w:type="spellEnd"/>
      <w:r w:rsidRPr="00C53D18">
        <w:rPr>
          <w:sz w:val="12"/>
        </w:rPr>
        <w:t xml:space="preserve">. America still maintains the highest per population incarceration rate in the world, and, even with the current rates of </w:t>
      </w:r>
      <w:proofErr w:type="spellStart"/>
      <w:r w:rsidRPr="00C53D18">
        <w:rPr>
          <w:sz w:val="12"/>
        </w:rPr>
        <w:t>decarceration</w:t>
      </w:r>
      <w:proofErr w:type="spellEnd"/>
      <w:r w:rsidRPr="00C53D18">
        <w:rPr>
          <w:sz w:val="12"/>
        </w:rPr>
        <w:t xml:space="preserve">, the Sentencing Project estimates that it would take almost 100 years for the incarceration rate to return to the rate that existed in 1980. 53 [*431] Further, while some efforts have been made to limit the growth of the prison population, there are significant forces, both public and private, that are resisting the </w:t>
      </w:r>
      <w:proofErr w:type="spellStart"/>
      <w:r w:rsidRPr="00C53D18">
        <w:rPr>
          <w:sz w:val="12"/>
        </w:rPr>
        <w:t>decarceration</w:t>
      </w:r>
      <w:proofErr w:type="spellEnd"/>
      <w:r w:rsidRPr="00C53D18">
        <w:rPr>
          <w:sz w:val="12"/>
        </w:rPr>
        <w:t xml:space="preserve"> trend. Correctional officers' unions and private prison corporations, for example, spend millions of dollars in lobbying efforts each year in efforts to block legislation that might decrease prison populations. 54 Additionally, while the Brown v. Plata litigation did result in an overall reduction in the prison population in California, some California counties have responded to the requirement to reduce overcrowding, not by reducing the population of prisoners, but by building more prisons. 55 D. The Problem: Barriers to Housing for Those with Criminal Records Decreases Public Safety, Increases Rates of Recidivism, and Disproportionately Impacts Minorities With a recent, limited shift towards </w:t>
      </w:r>
      <w:proofErr w:type="spellStart"/>
      <w:r w:rsidRPr="00C53D18">
        <w:rPr>
          <w:sz w:val="12"/>
        </w:rPr>
        <w:t>decarceration</w:t>
      </w:r>
      <w:proofErr w:type="spellEnd"/>
      <w:r w:rsidRPr="00C53D18">
        <w:rPr>
          <w:sz w:val="12"/>
        </w:rPr>
        <w:t xml:space="preserve">, </w:t>
      </w:r>
      <w:r w:rsidRPr="007E6B8C">
        <w:rPr>
          <w:rStyle w:val="StyleUnderline"/>
        </w:rPr>
        <w:t>nearly 650,000 individuals with criminal records are released each year</w:t>
      </w:r>
      <w:r w:rsidRPr="00C53D18">
        <w:rPr>
          <w:sz w:val="12"/>
        </w:rPr>
        <w:t xml:space="preserve">. 56 Many of those with criminal records pled guilty to or were convicted of minor misdemeanors such as shoplifting, disorderly conduct, or trespass--crimes that may have little bearing on whether an individual will fulfill his or her obligations under a lease or prove him/herself to be a good tenant and neighbor. </w:t>
      </w:r>
      <w:r w:rsidRPr="007E6B8C">
        <w:rPr>
          <w:rStyle w:val="StyleUnderline"/>
        </w:rPr>
        <w:t xml:space="preserve">Millions more individuals have arrest </w:t>
      </w:r>
      <w:proofErr w:type="gramStart"/>
      <w:r w:rsidRPr="007E6B8C">
        <w:rPr>
          <w:rStyle w:val="StyleUnderline"/>
        </w:rPr>
        <w:t>records, but</w:t>
      </w:r>
      <w:proofErr w:type="gramEnd"/>
      <w:r w:rsidRPr="007E6B8C">
        <w:rPr>
          <w:rStyle w:val="StyleUnderline"/>
        </w:rPr>
        <w:t xml:space="preserve"> were never convicted of a crime.</w:t>
      </w:r>
      <w:r w:rsidRPr="00C53D18">
        <w:rPr>
          <w:sz w:val="12"/>
        </w:rPr>
        <w:t xml:space="preserve"> 57 Regardless of the nature of the crime, its recency, or its relation to an individual's likelihood to fulfill his or her obligations as a tenant, </w:t>
      </w:r>
      <w:r w:rsidRPr="007E6B8C">
        <w:rPr>
          <w:rStyle w:val="StyleUnderline"/>
        </w:rPr>
        <w:t>such criminal records</w:t>
      </w:r>
      <w:r w:rsidRPr="00C53D18">
        <w:rPr>
          <w:sz w:val="12"/>
        </w:rPr>
        <w:t xml:space="preserve"> (or in many cases, even an arrest record with no ultimate conviction) </w:t>
      </w:r>
      <w:r w:rsidRPr="007E6B8C">
        <w:rPr>
          <w:rStyle w:val="StyleUnderline"/>
        </w:rPr>
        <w:t>have often served as an absolute bar to finding housing, particularly public housing</w:t>
      </w:r>
      <w:r w:rsidRPr="00C53D18">
        <w:rPr>
          <w:sz w:val="12"/>
        </w:rPr>
        <w:t xml:space="preserve">. 58 [*432] Though the goal of those who support denying housing to individuals with criminal records may be to increase safety or decrease crime in their communities, </w:t>
      </w:r>
      <w:r w:rsidRPr="007E6B8C">
        <w:rPr>
          <w:rStyle w:val="StyleUnderline"/>
        </w:rPr>
        <w:t>denying housing to those with criminal records has the predictable, but absurd effect of increasing rates of recidivism and harming public safety</w:t>
      </w:r>
      <w:r w:rsidRPr="00C53D18">
        <w:rPr>
          <w:sz w:val="12"/>
        </w:rPr>
        <w:t xml:space="preserve">. 59 </w:t>
      </w:r>
      <w:r w:rsidRPr="007E6B8C">
        <w:rPr>
          <w:rStyle w:val="StyleUnderline"/>
        </w:rPr>
        <w:t>Individuals with conviction records who cannot find stable housing have a greatly increased chance of being rearrested compared with individuals with conviction records who are able to find stable housing</w:t>
      </w:r>
      <w:r w:rsidRPr="00C53D18">
        <w:rPr>
          <w:sz w:val="12"/>
        </w:rPr>
        <w:t xml:space="preserve">. 60 Homelessness is often a direct path to arrests for crimes both consequential and minor. </w:t>
      </w:r>
      <w:r w:rsidRPr="007E6B8C">
        <w:rPr>
          <w:rStyle w:val="StyleUnderline"/>
        </w:rPr>
        <w:t>Without housing, individuals are more likely to engage in crimes of survival, such as burglary, and are also more likely to seek money through illegal means, such as the drug trade</w:t>
      </w:r>
      <w:r w:rsidRPr="00C53D18">
        <w:rPr>
          <w:sz w:val="12"/>
        </w:rPr>
        <w:t>. 61 Additionally, homelessness is a predictor for more minor crimes, as homeless individuals are forced to "live private lives in public spaces," leading to arrests for offenses such as urinating or drinking in public. 62 One study in New York [*433] revealed that "a person without stable housing is seven times more likely to re-offend after returning from prison" than a person who has stable housing. 63 One report by the Sargent Shriver National Center on Poverty Law found that "overly restrictive policies against people with criminal records can lead to a vicious cycle where 'the difficulties in reintegrating into the community increase the risk of homelessness for released prisoners, and homelessness in turn increases the risk for subsequent reincarceration.'" 64 As one scholar put it: [C]</w:t>
      </w:r>
      <w:proofErr w:type="spellStart"/>
      <w:r w:rsidRPr="00C53D18">
        <w:rPr>
          <w:sz w:val="12"/>
        </w:rPr>
        <w:t>lassification</w:t>
      </w:r>
      <w:proofErr w:type="spellEnd"/>
      <w:r w:rsidRPr="00C53D18">
        <w:rPr>
          <w:sz w:val="12"/>
        </w:rPr>
        <w:t xml:space="preserve"> by past-conviction status for public safety ends has a perverse, self-fulfilling effect. People excluded from employment, housing, and civic participation </w:t>
      </w:r>
      <w:proofErr w:type="gramStart"/>
      <w:r w:rsidRPr="00C53D18">
        <w:rPr>
          <w:sz w:val="12"/>
        </w:rPr>
        <w:t>on the basis of</w:t>
      </w:r>
      <w:proofErr w:type="gramEnd"/>
      <w:r w:rsidRPr="00C53D18">
        <w:rPr>
          <w:sz w:val="12"/>
        </w:rPr>
        <w:t xml:space="preserve"> a past conviction are more likely to commit future crimes. The resulting recidivism statistics are invoked to justify further exclusion. The classification thus relies for justification on a </w:t>
      </w:r>
      <w:proofErr w:type="gramStart"/>
      <w:r w:rsidRPr="00C53D18">
        <w:rPr>
          <w:sz w:val="12"/>
        </w:rPr>
        <w:t>state of affairs</w:t>
      </w:r>
      <w:proofErr w:type="gramEnd"/>
      <w:r w:rsidRPr="00C53D18">
        <w:rPr>
          <w:sz w:val="12"/>
        </w:rPr>
        <w:t xml:space="preserve"> for which it is partly responsible and aggravates the very risk that it purports to address. 65 Creating barriers to obtaining housing for those with criminal convictions does not just increase the recidivism rate; such </w:t>
      </w:r>
      <w:r w:rsidRPr="00C53D18">
        <w:rPr>
          <w:rStyle w:val="StyleUnderline"/>
        </w:rPr>
        <w:t>barriers also cause a host of other problems for those seeking to reenter society after release from prison.</w:t>
      </w:r>
      <w:r w:rsidRPr="00C53D18">
        <w:rPr>
          <w:sz w:val="12"/>
        </w:rPr>
        <w:t xml:space="preserve"> One author, for example, compiled the following list (paraphrased below) of consequences that often flow from the denial of housing upon reentry: Lacking stable housing, parents returning from incarceration are </w:t>
      </w:r>
      <w:r w:rsidRPr="00C53D18">
        <w:rPr>
          <w:rStyle w:val="StyleUnderline"/>
        </w:rPr>
        <w:t>unable to regain custody of their children</w:t>
      </w:r>
      <w:r w:rsidRPr="00C53D18">
        <w:rPr>
          <w:sz w:val="12"/>
        </w:rPr>
        <w:t xml:space="preserve">. Child welfare officials remove children from families that cannot provide them with stable housing. </w:t>
      </w:r>
      <w:r w:rsidRPr="00C53D18">
        <w:rPr>
          <w:rStyle w:val="StyleUnderline"/>
        </w:rPr>
        <w:t>Families are forced to choose between staying together or excluding a member of the household with a criminal record</w:t>
      </w:r>
      <w:r w:rsidRPr="00C53D18">
        <w:rPr>
          <w:sz w:val="12"/>
        </w:rPr>
        <w:t xml:space="preserve">, in order to secure affordable housing for the rest of the family. 66 [*434] Transient living </w:t>
      </w:r>
      <w:r w:rsidRPr="00C53D18">
        <w:rPr>
          <w:rStyle w:val="StyleUnderline"/>
        </w:rPr>
        <w:t>disrupts a child's education, emotional development, and sense of well-being</w:t>
      </w:r>
      <w:proofErr w:type="gramStart"/>
      <w:r w:rsidRPr="00C53D18">
        <w:rPr>
          <w:sz w:val="12"/>
        </w:rPr>
        <w:t>. . . .</w:t>
      </w:r>
      <w:proofErr w:type="gramEnd"/>
      <w:r w:rsidRPr="00C53D18">
        <w:rPr>
          <w:sz w:val="12"/>
        </w:rPr>
        <w:t xml:space="preserve"> [A]n estimated 1.5 million minor children have at least one parent in prison on any given day in the United States, and over ten million had a parent in prison at one point in their lives. 67 </w:t>
      </w:r>
      <w:r w:rsidRPr="00C53D18">
        <w:rPr>
          <w:rStyle w:val="StyleUnderline"/>
        </w:rPr>
        <w:t>Women may be forced to choose between returning to an abuser to avoid homelessness or remaining vulnerable to rape and violent crime on the streets</w:t>
      </w:r>
      <w:r w:rsidRPr="00C53D18">
        <w:rPr>
          <w:sz w:val="12"/>
        </w:rPr>
        <w:t xml:space="preserve">. Many women, along with other struggling individuals, find themselves exchanging sex for protection, money, or a place to stay. 68 </w:t>
      </w:r>
      <w:r w:rsidRPr="00C53D18">
        <w:rPr>
          <w:rStyle w:val="StyleUnderline"/>
        </w:rPr>
        <w:t>People who are inadequately housed</w:t>
      </w:r>
      <w:r w:rsidRPr="00C53D18">
        <w:rPr>
          <w:sz w:val="12"/>
        </w:rPr>
        <w:t xml:space="preserve">, especially those living on the streets or in homeless shelters, </w:t>
      </w:r>
      <w:r w:rsidRPr="00C53D18">
        <w:rPr>
          <w:rStyle w:val="Emphasis"/>
        </w:rPr>
        <w:t>are at a higher risk for communicable diseases such as HIV and tuberculosis</w:t>
      </w:r>
      <w:r w:rsidRPr="00C53D18">
        <w:rPr>
          <w:sz w:val="12"/>
        </w:rPr>
        <w:t xml:space="preserve">. </w:t>
      </w:r>
      <w:r w:rsidRPr="00C53D18">
        <w:rPr>
          <w:rStyle w:val="StyleUnderline"/>
        </w:rPr>
        <w:t>Living in conditions that are unsanitary, without cooking facilities or refrigeration, or not knowing where the night will be spent make it extremely difficult to manage a regimen of treatment for chronic diseases such as diabetes, tuberculosis, and asthma</w:t>
      </w:r>
      <w:r w:rsidRPr="00C53D18">
        <w:rPr>
          <w:sz w:val="12"/>
        </w:rPr>
        <w:t xml:space="preserve">. </w:t>
      </w:r>
      <w:r w:rsidRPr="00C53D18">
        <w:rPr>
          <w:rStyle w:val="Emphasis"/>
        </w:rPr>
        <w:t>Existing mental health conditions are exacerbated by the stress of rejection and housing instability, and depression is common</w:t>
      </w:r>
      <w:r w:rsidRPr="00C53D18">
        <w:rPr>
          <w:sz w:val="12"/>
        </w:rPr>
        <w:t xml:space="preserve">. 69 Struggling with addiction in even the most ideal circumstances is difficult. But many treatment professionals argue that without stable housing, relapse is almost certain. 70 </w:t>
      </w:r>
      <w:r w:rsidRPr="00C53D18">
        <w:rPr>
          <w:rStyle w:val="StyleUnderline"/>
        </w:rPr>
        <w:t>Because of racial injustices in our criminal law system, the burdens caused by the denial of housing to those with criminal or arrest records is disproportionately shouldered by individual minorities and by minority communities</w:t>
      </w:r>
      <w:r w:rsidRPr="00C53D18">
        <w:rPr>
          <w:sz w:val="12"/>
        </w:rPr>
        <w:t>.   71</w:t>
      </w:r>
    </w:p>
    <w:p w14:paraId="6735E232" w14:textId="77777777" w:rsidR="00D100E8" w:rsidRDefault="00D100E8" w:rsidP="00D100E8">
      <w:pPr>
        <w:pStyle w:val="Heading4"/>
      </w:pPr>
      <w:r>
        <w:t>That is a form of structural violence that should be rejected --- lack of access to housing and foot perpetuates poverty, violence and death</w:t>
      </w:r>
    </w:p>
    <w:p w14:paraId="193392F9" w14:textId="77777777" w:rsidR="00D100E8" w:rsidRPr="000744BE" w:rsidRDefault="00D100E8" w:rsidP="00D100E8"/>
    <w:p w14:paraId="6A9A2921" w14:textId="77777777" w:rsidR="00D100E8" w:rsidRDefault="00D100E8" w:rsidP="00D100E8">
      <w:pPr>
        <w:rPr>
          <w:rStyle w:val="Style13ptBold"/>
        </w:rPr>
      </w:pPr>
      <w:r>
        <w:rPr>
          <w:rStyle w:val="Style13ptBold"/>
        </w:rPr>
        <w:t>CU Online ‘17</w:t>
      </w:r>
    </w:p>
    <w:p w14:paraId="3728CC8D" w14:textId="77777777" w:rsidR="00D100E8" w:rsidRPr="000744BE" w:rsidRDefault="00D100E8" w:rsidP="00D100E8">
      <w:r w:rsidRPr="000744BE">
        <w:t xml:space="preserve">(Campbellsville University Social Work, “Recognizing and Addressing Structural Violence,” </w:t>
      </w:r>
      <w:proofErr w:type="spellStart"/>
      <w:r w:rsidRPr="000744BE">
        <w:t>pg</w:t>
      </w:r>
      <w:proofErr w:type="spellEnd"/>
      <w:r w:rsidRPr="000744BE">
        <w:t xml:space="preserve"> online @ https://online.campbellsville.edu/social-work/structural-violence/)</w:t>
      </w:r>
    </w:p>
    <w:p w14:paraId="333C16D7" w14:textId="77777777" w:rsidR="00D100E8" w:rsidRPr="006A7F91" w:rsidRDefault="00D100E8" w:rsidP="00D100E8">
      <w:pPr>
        <w:rPr>
          <w:sz w:val="12"/>
        </w:rPr>
      </w:pPr>
      <w:r w:rsidRPr="000744BE">
        <w:rPr>
          <w:sz w:val="12"/>
        </w:rPr>
        <w:t>Chronic undernourishment affected one in nine people worldwide from 2014 to 2016, according to the United Nations. The Economist reports that an estimated 1</w:t>
      </w:r>
      <w:r w:rsidRPr="000744BE">
        <w:rPr>
          <w:rStyle w:val="StyleUnderline"/>
        </w:rPr>
        <w:t>.49 million people in the United States used homeless shelters in 2014, and around another 500,000 went without shelter;</w:t>
      </w:r>
      <w:r w:rsidRPr="000744BE">
        <w:rPr>
          <w:sz w:val="12"/>
        </w:rPr>
        <w:t xml:space="preserve"> </w:t>
      </w:r>
      <w:r w:rsidRPr="000744BE">
        <w:rPr>
          <w:rStyle w:val="StyleUnderline"/>
        </w:rPr>
        <w:t>those numbers are likely to be conservative estimates at best</w:t>
      </w:r>
      <w:r w:rsidRPr="000744BE">
        <w:rPr>
          <w:sz w:val="12"/>
        </w:rPr>
        <w:t>.</w:t>
      </w:r>
      <w:r w:rsidRPr="000744BE">
        <w:rPr>
          <w:rStyle w:val="Emphasis"/>
        </w:rPr>
        <w:t xml:space="preserve"> Hunger and homelessness may not seem to fit the definition of violence, but </w:t>
      </w:r>
      <w:proofErr w:type="gramStart"/>
      <w:r w:rsidRPr="000744BE">
        <w:rPr>
          <w:rStyle w:val="Emphasis"/>
        </w:rPr>
        <w:t>they’re</w:t>
      </w:r>
      <w:proofErr w:type="gramEnd"/>
      <w:r w:rsidRPr="000744BE">
        <w:rPr>
          <w:rStyle w:val="Emphasis"/>
        </w:rPr>
        <w:t xml:space="preserve"> clear examples of structural violence</w:t>
      </w:r>
      <w:r w:rsidRPr="000744BE">
        <w:rPr>
          <w:sz w:val="12"/>
        </w:rPr>
        <w:t>. “</w:t>
      </w:r>
      <w:r w:rsidRPr="000744BE">
        <w:rPr>
          <w:rStyle w:val="StyleUnderline"/>
        </w:rPr>
        <w:t>Structural violence occurs whenever people are disadvantaged by political, legal, economic or cultural traditions</w:t>
      </w:r>
      <w:r w:rsidRPr="000744BE">
        <w:rPr>
          <w:sz w:val="12"/>
        </w:rPr>
        <w:t xml:space="preserve">. Because they are longstanding, </w:t>
      </w:r>
      <w:r w:rsidRPr="000744BE">
        <w:rPr>
          <w:rStyle w:val="StyleUnderline"/>
        </w:rPr>
        <w:t>structural inequities usually seem ordinary</w:t>
      </w:r>
      <w:r w:rsidRPr="000744BE">
        <w:rPr>
          <w:sz w:val="12"/>
        </w:rPr>
        <w:t xml:space="preserve">, the way things are and always have been,” according to D.D. Winter and D.C. Leighton. Rather than being focused on direct, brutal acts, </w:t>
      </w:r>
      <w:r w:rsidRPr="000744BE">
        <w:rPr>
          <w:rStyle w:val="Emphasis"/>
        </w:rPr>
        <w:t>structural violence is the result of societal systems, such as social stratification, that have been in place for years</w:t>
      </w:r>
      <w:r w:rsidRPr="000744BE">
        <w:rPr>
          <w:sz w:val="12"/>
        </w:rPr>
        <w:t xml:space="preserve"> — </w:t>
      </w:r>
      <w:r w:rsidRPr="000744BE">
        <w:rPr>
          <w:rStyle w:val="StyleUnderline"/>
        </w:rPr>
        <w:t>systems that create situations where people don’t have access to the things required to fulfill their basic human needs</w:t>
      </w:r>
      <w:r w:rsidRPr="000744BE">
        <w:rPr>
          <w:sz w:val="12"/>
        </w:rPr>
        <w:t>. “</w:t>
      </w:r>
      <w:r w:rsidRPr="000744BE">
        <w:rPr>
          <w:rStyle w:val="StyleUnderline"/>
        </w:rPr>
        <w:t>Structural violence is problematic in and of itself</w:t>
      </w:r>
      <w:r w:rsidRPr="000744BE">
        <w:rPr>
          <w:sz w:val="12"/>
        </w:rPr>
        <w:t xml:space="preserve">,” continue Winter and Leighton, “but </w:t>
      </w:r>
      <w:r w:rsidRPr="000744BE">
        <w:rPr>
          <w:rStyle w:val="StyleUnderline"/>
        </w:rPr>
        <w:t>it is also dangerous because it frequently leads to direct violence</w:t>
      </w:r>
      <w:r w:rsidRPr="000744BE">
        <w:rPr>
          <w:sz w:val="12"/>
        </w:rPr>
        <w:t xml:space="preserve">. </w:t>
      </w:r>
      <w:r w:rsidRPr="000744BE">
        <w:rPr>
          <w:rStyle w:val="StyleUnderline"/>
        </w:rPr>
        <w:t>Those who are chronically oppressed are often, for logical reasons, those who resort to direct violence</w:t>
      </w:r>
      <w:r w:rsidRPr="000744BE">
        <w:rPr>
          <w:sz w:val="12"/>
        </w:rPr>
        <w:t xml:space="preserve">.” This, in turn, usually leads to direct violence from law enforcement and the military that is directed at the oppressed community to re-exert the dominance of the status quo. Perhaps </w:t>
      </w:r>
      <w:r w:rsidRPr="000744BE">
        <w:rPr>
          <w:rStyle w:val="StyleUnderline"/>
        </w:rPr>
        <w:t>the most challenging aspect of addressing structural violence is how difficult it can be to bring attention to it. “When social inequities are noticed, attempts are made to rationalize and understand them</w:t>
      </w:r>
      <w:r w:rsidRPr="000744BE">
        <w:rPr>
          <w:sz w:val="12"/>
        </w:rPr>
        <w:t xml:space="preserve">,” Winter and Leighton say. “Unfortunately, one outcome of this process is to assume that victims must in some way deserve their plight.” Because the constant presence of structural violence is desensitizing, the structures that maintain the violence become normalized and seen as “the way things are.” Because of this, </w:t>
      </w:r>
      <w:r w:rsidRPr="000744BE">
        <w:rPr>
          <w:rStyle w:val="StyleUnderline"/>
        </w:rPr>
        <w:t>it can be difficult to convince those with the ability to create change that there is a problem or that it can be addressed</w:t>
      </w:r>
      <w:r w:rsidRPr="000744BE">
        <w:rPr>
          <w:sz w:val="12"/>
        </w:rPr>
        <w:t xml:space="preserve">. How Structural Violence Perpetuates Poverty In 2015, 13.5 percent of the U.S. population — around 43 million people — fell below the federal poverty line of $24,250 for a family of four. When broken down into specific populations, it becomes easy to see that some populations have higher poverty rates. Poverty among whites was 9.1 percent during that time, compared to 24.1 percent among </w:t>
      </w:r>
      <w:proofErr w:type="gramStart"/>
      <w:r w:rsidRPr="000744BE">
        <w:rPr>
          <w:sz w:val="12"/>
        </w:rPr>
        <w:t>African-Americans</w:t>
      </w:r>
      <w:proofErr w:type="gramEnd"/>
      <w:r w:rsidRPr="000744BE">
        <w:rPr>
          <w:sz w:val="12"/>
        </w:rPr>
        <w:t xml:space="preserve">; African-Americans have a long history of being the victims of structural violence in America. </w:t>
      </w:r>
      <w:r w:rsidRPr="000744BE">
        <w:rPr>
          <w:rStyle w:val="StyleUnderline"/>
        </w:rPr>
        <w:t xml:space="preserve">Structural violence usually has, at its root, some </w:t>
      </w:r>
      <w:r w:rsidRPr="000744BE">
        <w:rPr>
          <w:sz w:val="12"/>
        </w:rPr>
        <w:t>political or economic</w:t>
      </w:r>
      <w:r w:rsidRPr="000744BE">
        <w:rPr>
          <w:rStyle w:val="StyleUnderline"/>
        </w:rPr>
        <w:t xml:space="preserve"> structure that disenfranchises a group of people</w:t>
      </w:r>
      <w:r w:rsidRPr="000744BE">
        <w:rPr>
          <w:sz w:val="12"/>
        </w:rPr>
        <w:t xml:space="preserve">. For example, children in inner cities typically lack access to adequate schools, which limits their access to jobs with good salaries when they get older. </w:t>
      </w:r>
      <w:r w:rsidRPr="000744BE">
        <w:rPr>
          <w:rStyle w:val="StyleUnderline"/>
        </w:rPr>
        <w:t>This, in turn, limits their access to healthcare, legal protections, political power, safe housing and other important resources</w:t>
      </w:r>
      <w:r w:rsidRPr="000744BE">
        <w:rPr>
          <w:sz w:val="12"/>
        </w:rPr>
        <w:t xml:space="preserve">. </w:t>
      </w:r>
      <w:r w:rsidRPr="000744BE">
        <w:rPr>
          <w:rStyle w:val="Emphasis"/>
        </w:rPr>
        <w:t>This cycle of poverty perpetuates itself, creating entire communities subject to regular structural violence.</w:t>
      </w:r>
      <w:r>
        <w:rPr>
          <w:rStyle w:val="Emphasis"/>
        </w:rPr>
        <w:t xml:space="preserve"> </w:t>
      </w:r>
      <w:r w:rsidRPr="000744BE">
        <w:rPr>
          <w:rStyle w:val="StyleUnderline"/>
        </w:rPr>
        <w:t>Access to resources like education, healthcare and purchasing power are all vital to breaking the cycle of poverty</w:t>
      </w:r>
      <w:r w:rsidRPr="000744BE">
        <w:rPr>
          <w:sz w:val="12"/>
        </w:rPr>
        <w:t xml:space="preserve">. </w:t>
      </w:r>
      <w:r w:rsidRPr="000744BE">
        <w:rPr>
          <w:rStyle w:val="Emphasis"/>
        </w:rPr>
        <w:t>Individuals without adequate access to healthcare are not only more likely to have shorter life spans, but also to spend a significant portion of their income treating illnesses and other health issues</w:t>
      </w:r>
      <w:r w:rsidRPr="000744BE">
        <w:rPr>
          <w:sz w:val="12"/>
        </w:rPr>
        <w:t xml:space="preserve">, or simply enduring them and reducing their ability to work and earn money. Without adequate education, access to good jobs and influence within society is limited. </w:t>
      </w:r>
      <w:r w:rsidRPr="000744BE">
        <w:rPr>
          <w:rStyle w:val="StyleUnderline"/>
        </w:rPr>
        <w:t>An inability to buy necessities like food and shelter leads to worse healthcare outcomes</w:t>
      </w:r>
      <w:r w:rsidRPr="000744BE">
        <w:rPr>
          <w:sz w:val="12"/>
        </w:rPr>
        <w:t>, less money spent on educating the next generation and so forth.</w:t>
      </w:r>
    </w:p>
    <w:p w14:paraId="2344F2E0" w14:textId="77777777" w:rsidR="00D100E8" w:rsidRDefault="00D100E8" w:rsidP="00D100E8">
      <w:pPr>
        <w:pStyle w:val="Heading4"/>
      </w:pPr>
      <w:r>
        <w:t>And, homelessness is a cycle of violence and trauma --- failure to prevent it puts vulnerable communities at risk of ever-expanding forms of victimization and violence</w:t>
      </w:r>
    </w:p>
    <w:p w14:paraId="27263AC4" w14:textId="77777777" w:rsidR="00D100E8" w:rsidRDefault="00D100E8" w:rsidP="00D100E8"/>
    <w:p w14:paraId="00A93E4F" w14:textId="77777777" w:rsidR="00D100E8" w:rsidRDefault="00D100E8" w:rsidP="00D100E8">
      <w:pPr>
        <w:rPr>
          <w:rStyle w:val="Style13ptBold"/>
        </w:rPr>
      </w:pPr>
      <w:r>
        <w:rPr>
          <w:rStyle w:val="Style13ptBold"/>
        </w:rPr>
        <w:t>Robinson ‘10</w:t>
      </w:r>
    </w:p>
    <w:p w14:paraId="77C80CA6" w14:textId="77777777" w:rsidR="00D100E8" w:rsidRPr="009E5977" w:rsidRDefault="00D100E8" w:rsidP="00D100E8">
      <w:r w:rsidRPr="009E5977">
        <w:t xml:space="preserve">(Dr Catherine Robinson Faculty of Arts and Social Sciences University of Technology, Sydney, “ROUGH LIVING Catherine Robinson SURVIVING VIOLENCE &amp; HOMELESSNESS,” </w:t>
      </w:r>
      <w:proofErr w:type="spellStart"/>
      <w:r w:rsidRPr="009E5977">
        <w:t>pg</w:t>
      </w:r>
      <w:proofErr w:type="spellEnd"/>
      <w:r w:rsidRPr="009E5977">
        <w:t xml:space="preserve"> online @ </w:t>
      </w:r>
      <w:hyperlink r:id="rId50" w:history="1">
        <w:r w:rsidRPr="009E5977">
          <w:rPr>
            <w:rStyle w:val="Hyperlink"/>
          </w:rPr>
          <w:t>https://www.piac.asn.au/wp-content/uploads/Rough_Living_0.pdf</w:t>
        </w:r>
      </w:hyperlink>
      <w:r w:rsidRPr="009E5977">
        <w:t xml:space="preserve"> //um-</w:t>
      </w:r>
      <w:proofErr w:type="spellStart"/>
      <w:r w:rsidRPr="009E5977">
        <w:t>ef</w:t>
      </w:r>
      <w:proofErr w:type="spellEnd"/>
      <w:r w:rsidRPr="009E5977">
        <w:t>)</w:t>
      </w:r>
    </w:p>
    <w:p w14:paraId="509A4619" w14:textId="77777777" w:rsidR="00D100E8" w:rsidRPr="006A7F91" w:rsidRDefault="00D100E8" w:rsidP="00D100E8">
      <w:pPr>
        <w:rPr>
          <w:sz w:val="12"/>
        </w:rPr>
      </w:pPr>
      <w:r w:rsidRPr="009E5977">
        <w:rPr>
          <w:sz w:val="12"/>
        </w:rPr>
        <w:t xml:space="preserve">This chapter explores how violence and homelessness inform each other. As noted in the Introduction, this is to explore both how violence may increase people’s vulnerability to </w:t>
      </w:r>
      <w:r w:rsidRPr="009E5977">
        <w:rPr>
          <w:rStyle w:val="StyleUnderline"/>
        </w:rPr>
        <w:t>homelessness and how homelessness may increase people’s vulnerability to violence</w:t>
      </w:r>
      <w:r w:rsidRPr="009E5977">
        <w:rPr>
          <w:sz w:val="12"/>
        </w:rPr>
        <w:t xml:space="preserve">. In understanding how homelessness and violence interact it is crucial not to focus on violence which occurs in the context of homelessness alone. </w:t>
      </w:r>
      <w:r w:rsidRPr="009E5977">
        <w:rPr>
          <w:rStyle w:val="StyleUnderline"/>
        </w:rPr>
        <w:t xml:space="preserve">Because of the wide-ranging and enduring impacts of violence, </w:t>
      </w:r>
      <w:proofErr w:type="spellStart"/>
      <w:r w:rsidRPr="009E5977">
        <w:rPr>
          <w:rStyle w:val="StyleUnderline"/>
        </w:rPr>
        <w:t>victimisation</w:t>
      </w:r>
      <w:proofErr w:type="spellEnd"/>
      <w:r w:rsidRPr="009E5977">
        <w:rPr>
          <w:rStyle w:val="StyleUnderline"/>
        </w:rPr>
        <w:t xml:space="preserve"> should be considered as a possible factor in causing and prolonging homelessness no matter when it occurs</w:t>
      </w:r>
      <w:r w:rsidRPr="009E5977">
        <w:rPr>
          <w:sz w:val="12"/>
        </w:rPr>
        <w:t xml:space="preserve">. In this study, for all participants except one, high levels of violence preceded first and early experiences of homelessness, </w:t>
      </w:r>
      <w:proofErr w:type="gramStart"/>
      <w:r w:rsidRPr="009E5977">
        <w:rPr>
          <w:sz w:val="12"/>
        </w:rPr>
        <w:t>and also</w:t>
      </w:r>
      <w:proofErr w:type="gramEnd"/>
      <w:r w:rsidRPr="009E5977">
        <w:rPr>
          <w:sz w:val="12"/>
        </w:rPr>
        <w:t xml:space="preserve">, for all participants, homelessness was accompanied by violence too. </w:t>
      </w:r>
      <w:r w:rsidRPr="009E5977">
        <w:rPr>
          <w:rStyle w:val="StyleUnderline"/>
        </w:rPr>
        <w:t>Violence occurring both outside and within contexts of homelessness underwrote a chain of expanding disadvantage which served to both entrench homelessness and make future iterations of homelessness more likely</w:t>
      </w:r>
      <w:r w:rsidRPr="009E5977">
        <w:rPr>
          <w:sz w:val="12"/>
        </w:rPr>
        <w:t xml:space="preserve">. It is crucial to note, however, as Herman et al. (1997, pp. 252–53) argue, that </w:t>
      </w:r>
      <w:r w:rsidRPr="009E5977">
        <w:rPr>
          <w:rStyle w:val="StyleUnderline"/>
        </w:rPr>
        <w:t>violence ‘“causes” homelessness only within a broader social context that allows for the existence of widespread homelessness’</w:t>
      </w:r>
      <w:r w:rsidRPr="009E5977">
        <w:rPr>
          <w:sz w:val="12"/>
        </w:rPr>
        <w:t xml:space="preserve">. </w:t>
      </w:r>
      <w:r w:rsidRPr="009E5977">
        <w:rPr>
          <w:rStyle w:val="StyleUnderline"/>
        </w:rPr>
        <w:t>The structural absence of accessible, affordable housing and of accessible, affordable housing with support</w:t>
      </w:r>
      <w:r w:rsidRPr="009E5977">
        <w:rPr>
          <w:sz w:val="12"/>
        </w:rPr>
        <w:t>, for example</w:t>
      </w:r>
      <w:r w:rsidRPr="009E5977">
        <w:rPr>
          <w:rStyle w:val="Emphasis"/>
        </w:rPr>
        <w:t>, are core factors which frame the context in which homelessness is prolonged</w:t>
      </w:r>
      <w:r w:rsidRPr="009E5977">
        <w:rPr>
          <w:sz w:val="12"/>
        </w:rPr>
        <w:t xml:space="preserve">. In this sense, </w:t>
      </w:r>
      <w:r w:rsidRPr="009E5977">
        <w:rPr>
          <w:rStyle w:val="StyleUnderline"/>
        </w:rPr>
        <w:t xml:space="preserve">the violence that occurs during homelessness may also be understood as a structural responsibility of a society which knowingly chooses not to protect those of its citizens who, because of their lack of safe shelter, will likely be vulnerable to </w:t>
      </w:r>
      <w:proofErr w:type="spellStart"/>
      <w:r w:rsidRPr="009E5977">
        <w:rPr>
          <w:rStyle w:val="StyleUnderline"/>
        </w:rPr>
        <w:t>victimisation</w:t>
      </w:r>
      <w:proofErr w:type="spellEnd"/>
      <w:r w:rsidRPr="009E5977">
        <w:rPr>
          <w:sz w:val="12"/>
        </w:rPr>
        <w:t xml:space="preserve">. As such, it can be argued that </w:t>
      </w:r>
      <w:r w:rsidRPr="009E5977">
        <w:rPr>
          <w:rStyle w:val="Emphasis"/>
        </w:rPr>
        <w:t xml:space="preserve">homelessness </w:t>
      </w:r>
      <w:proofErr w:type="gramStart"/>
      <w:r w:rsidRPr="009E5977">
        <w:rPr>
          <w:rStyle w:val="Emphasis"/>
        </w:rPr>
        <w:t>in itself may</w:t>
      </w:r>
      <w:proofErr w:type="gramEnd"/>
      <w:r w:rsidRPr="009E5977">
        <w:rPr>
          <w:rStyle w:val="Emphasis"/>
        </w:rPr>
        <w:t xml:space="preserve"> be usefully understood as a form of structural violence and trauma</w:t>
      </w:r>
      <w:r w:rsidRPr="009E5977">
        <w:rPr>
          <w:sz w:val="12"/>
        </w:rPr>
        <w:t xml:space="preserve">. Likewise, violence only ‘causes’ homelessness in a context in which a broader social structure allows for the existence of widespread violence. </w:t>
      </w:r>
      <w:r w:rsidRPr="009E5977">
        <w:rPr>
          <w:rStyle w:val="StyleUnderline"/>
        </w:rPr>
        <w:t xml:space="preserve">A society which knowingly fails to intervene in the structured perpetration of violence itself – with children, young people and women more likely victims – and then, further, knowingly fails to provide safe and adequate care and opportunities for healing, again perpetrates both cycles of homelessness and </w:t>
      </w:r>
      <w:proofErr w:type="spellStart"/>
      <w:r w:rsidRPr="009E5977">
        <w:rPr>
          <w:rStyle w:val="StyleUnderline"/>
        </w:rPr>
        <w:t>revictimisation</w:t>
      </w:r>
      <w:proofErr w:type="spellEnd"/>
      <w:r w:rsidRPr="009E5977">
        <w:rPr>
          <w:sz w:val="12"/>
        </w:rPr>
        <w:t xml:space="preserve"> (see also, Goodman, Fels &amp; Glenn 2006, p. 3). These broader social failures culminate, for example, in the provision of abusive contexts of state care, in the experience of violence at the hands of police, in the provision of unsafe and underfunded homelessness services, </w:t>
      </w:r>
      <w:r w:rsidRPr="009E5977">
        <w:rPr>
          <w:rStyle w:val="Emphasis"/>
        </w:rPr>
        <w:t xml:space="preserve">and in </w:t>
      </w:r>
      <w:proofErr w:type="spellStart"/>
      <w:r w:rsidRPr="009E5977">
        <w:rPr>
          <w:rStyle w:val="Emphasis"/>
        </w:rPr>
        <w:t>traumatising</w:t>
      </w:r>
      <w:proofErr w:type="spellEnd"/>
      <w:r w:rsidRPr="009E5977">
        <w:rPr>
          <w:rStyle w:val="Emphasis"/>
        </w:rPr>
        <w:t xml:space="preserve"> correctional facilities which exit inmates into homelessness</w:t>
      </w:r>
      <w:r w:rsidRPr="009E5977">
        <w:rPr>
          <w:sz w:val="12"/>
        </w:rPr>
        <w:t xml:space="preserve">. </w:t>
      </w:r>
      <w:proofErr w:type="gramStart"/>
      <w:r w:rsidRPr="009E5977">
        <w:rPr>
          <w:sz w:val="12"/>
        </w:rPr>
        <w:t>Thus</w:t>
      </w:r>
      <w:proofErr w:type="gramEnd"/>
      <w:r w:rsidRPr="009E5977">
        <w:rPr>
          <w:sz w:val="12"/>
        </w:rPr>
        <w:t xml:space="preserve"> </w:t>
      </w:r>
      <w:r w:rsidRPr="009E5977">
        <w:rPr>
          <w:rStyle w:val="StyleUnderline"/>
        </w:rPr>
        <w:t xml:space="preserve">the structural perpetration of homelessness and violence should not be understood to happen ‘at a distance’ and can be easily traced to individual </w:t>
      </w:r>
      <w:proofErr w:type="spellStart"/>
      <w:r w:rsidRPr="009E5977">
        <w:rPr>
          <w:rStyle w:val="StyleUnderline"/>
        </w:rPr>
        <w:t>victimisation</w:t>
      </w:r>
      <w:proofErr w:type="spellEnd"/>
      <w:r w:rsidRPr="009E5977">
        <w:rPr>
          <w:sz w:val="12"/>
        </w:rPr>
        <w:t xml:space="preserve">. Tracing individual pathways through violence and homelessness does not then elide the importance of structural factors in causing and sustaining homelessness but instead illustrates how these contribute to the multi-dimensional disadvantage marking everyday life. Importantly, violence is revealed as an underlying complexity in the biographies of those who become homeless to which a range of presenting issues – such as drug and alcohol use and post-traumatic stress symptoms – may be connected. As such, better understandings of violence become </w:t>
      </w:r>
      <w:proofErr w:type="gramStart"/>
      <w:r w:rsidRPr="009E5977">
        <w:rPr>
          <w:sz w:val="12"/>
        </w:rPr>
        <w:t>very helpful</w:t>
      </w:r>
      <w:proofErr w:type="gramEnd"/>
      <w:r w:rsidRPr="009E5977">
        <w:rPr>
          <w:sz w:val="12"/>
        </w:rPr>
        <w:t xml:space="preserve"> analytical tools – in both policy development and service delivery – through which to </w:t>
      </w:r>
      <w:proofErr w:type="spellStart"/>
      <w:r w:rsidRPr="009E5977">
        <w:rPr>
          <w:sz w:val="12"/>
        </w:rPr>
        <w:t>historicise</w:t>
      </w:r>
      <w:proofErr w:type="spellEnd"/>
      <w:r w:rsidRPr="009E5977">
        <w:rPr>
          <w:sz w:val="12"/>
        </w:rPr>
        <w:t xml:space="preserve">, </w:t>
      </w:r>
      <w:proofErr w:type="spellStart"/>
      <w:r w:rsidRPr="009E5977">
        <w:rPr>
          <w:sz w:val="12"/>
        </w:rPr>
        <w:t>contextualise</w:t>
      </w:r>
      <w:proofErr w:type="spellEnd"/>
      <w:r w:rsidRPr="009E5977">
        <w:rPr>
          <w:sz w:val="12"/>
        </w:rPr>
        <w:t xml:space="preserve"> and make sense of issues sometimes perceived as specific, individual failures and often addressed in isolation. Further, and challenging the conception of violence as itself a random, one-dimensional and </w:t>
      </w:r>
      <w:proofErr w:type="spellStart"/>
      <w:r w:rsidRPr="009E5977">
        <w:rPr>
          <w:sz w:val="12"/>
        </w:rPr>
        <w:t>individualised</w:t>
      </w:r>
      <w:proofErr w:type="spellEnd"/>
      <w:r w:rsidRPr="009E5977">
        <w:rPr>
          <w:sz w:val="12"/>
        </w:rPr>
        <w:t xml:space="preserve"> phenomenon marking homeless people’s lives, biographies of violence enable the multi-dimensional or layered nature of </w:t>
      </w:r>
      <w:proofErr w:type="spellStart"/>
      <w:r w:rsidRPr="009E5977">
        <w:rPr>
          <w:sz w:val="12"/>
        </w:rPr>
        <w:t>victimisation</w:t>
      </w:r>
      <w:proofErr w:type="spellEnd"/>
      <w:r w:rsidRPr="009E5977">
        <w:rPr>
          <w:sz w:val="12"/>
        </w:rPr>
        <w:t xml:space="preserve"> to emerge. In the biographic context, violence is no longer a discrete ‘event’ which triggers </w:t>
      </w:r>
      <w:proofErr w:type="gramStart"/>
      <w:r w:rsidRPr="009E5977">
        <w:rPr>
          <w:sz w:val="12"/>
        </w:rPr>
        <w:t>homelessness</w:t>
      </w:r>
      <w:proofErr w:type="gramEnd"/>
      <w:r w:rsidRPr="009E5977">
        <w:rPr>
          <w:sz w:val="12"/>
        </w:rPr>
        <w:t xml:space="preserve"> or which provides a set-back for those already homeless. It is a shaping narrative, compounding with time, that must be negotiated every day as it </w:t>
      </w:r>
      <w:proofErr w:type="spellStart"/>
      <w:r w:rsidRPr="009E5977">
        <w:rPr>
          <w:sz w:val="12"/>
        </w:rPr>
        <w:t>materialises</w:t>
      </w:r>
      <w:proofErr w:type="spellEnd"/>
      <w:r w:rsidRPr="009E5977">
        <w:rPr>
          <w:sz w:val="12"/>
        </w:rPr>
        <w:t xml:space="preserve"> repeatedly and lastingly in a range of physical, psychological, emotional, </w:t>
      </w:r>
      <w:proofErr w:type="spellStart"/>
      <w:r w:rsidRPr="009E5977">
        <w:rPr>
          <w:sz w:val="12"/>
        </w:rPr>
        <w:t>behavioural</w:t>
      </w:r>
      <w:proofErr w:type="spellEnd"/>
      <w:r w:rsidRPr="009E5977">
        <w:rPr>
          <w:sz w:val="12"/>
        </w:rPr>
        <w:t xml:space="preserve"> and financial disadvantages.</w:t>
      </w:r>
    </w:p>
    <w:p w14:paraId="498013F5" w14:textId="77777777" w:rsidR="00D100E8" w:rsidRDefault="00D100E8" w:rsidP="00D100E8">
      <w:pPr>
        <w:pStyle w:val="Heading4"/>
        <w:rPr>
          <w:rFonts w:eastAsia="Arial" w:cs="Arial"/>
        </w:rPr>
      </w:pPr>
      <w:r w:rsidRPr="00A3094C">
        <w:rPr>
          <w:rFonts w:eastAsia="Arial" w:cs="Arial"/>
        </w:rPr>
        <w:t>Loss of Federally Funded Public Housing tears apart families and results in homelessness</w:t>
      </w:r>
    </w:p>
    <w:p w14:paraId="518A86E7" w14:textId="77777777" w:rsidR="00D100E8" w:rsidRPr="006A7F91" w:rsidRDefault="00D100E8" w:rsidP="00D100E8"/>
    <w:p w14:paraId="4A663125" w14:textId="77777777" w:rsidR="00D100E8" w:rsidRPr="00A3094C" w:rsidRDefault="00D100E8" w:rsidP="00D100E8">
      <w:proofErr w:type="spellStart"/>
      <w:r w:rsidRPr="00A3094C">
        <w:rPr>
          <w:rStyle w:val="Heading4Char"/>
          <w:rFonts w:cs="Arial"/>
        </w:rPr>
        <w:t>Finzen</w:t>
      </w:r>
      <w:proofErr w:type="spellEnd"/>
      <w:r w:rsidRPr="00A3094C">
        <w:rPr>
          <w:rStyle w:val="Heading4Char"/>
          <w:rFonts w:cs="Arial"/>
        </w:rPr>
        <w:t xml:space="preserve"> 05.</w:t>
      </w:r>
      <w:r w:rsidRPr="00A3094C">
        <w:t xml:space="preserve"> Margaret E. </w:t>
      </w:r>
      <w:proofErr w:type="spellStart"/>
      <w:r w:rsidRPr="00A3094C">
        <w:t>Finzen</w:t>
      </w:r>
      <w:proofErr w:type="spellEnd"/>
      <w:r w:rsidRPr="00A3094C">
        <w:t xml:space="preserve">- J.D., Georgetown University Law Center (Race and American Law Class). Summer 2005, “NOTE: </w:t>
      </w:r>
      <w:hyperlink r:id="rId51" w:history="1">
        <w:r w:rsidRPr="00A3094C">
          <w:rPr>
            <w:rStyle w:val="Hyperlink"/>
          </w:rPr>
          <w:t>Systems of Oppression: The Collateral Consequences of Incarceration and Their Effects on Black Communities</w:t>
        </w:r>
      </w:hyperlink>
      <w:r w:rsidRPr="00A3094C">
        <w:t xml:space="preserve">” Georgetown Journal on Poverty, Law, &amp; Policy. </w:t>
      </w:r>
      <w:proofErr w:type="spellStart"/>
      <w:r w:rsidRPr="00A3094C">
        <w:t>eg.</w:t>
      </w:r>
      <w:proofErr w:type="spellEnd"/>
    </w:p>
    <w:p w14:paraId="4D78417E" w14:textId="77777777" w:rsidR="00D100E8" w:rsidRPr="00A3094C" w:rsidRDefault="00D100E8" w:rsidP="00D100E8">
      <w:pPr>
        <w:rPr>
          <w:sz w:val="16"/>
        </w:rPr>
      </w:pPr>
      <w:r w:rsidRPr="00A3094C">
        <w:rPr>
          <w:sz w:val="16"/>
        </w:rPr>
        <w:t>In 1988, Congress enacted the Anti-Drug Abuse Act, which required in part that public housing authorities (PHAs) receiving federal funds or assistance "</w:t>
      </w:r>
      <w:r w:rsidRPr="00A3094C">
        <w:rPr>
          <w:rStyle w:val="StyleUnderline"/>
        </w:rPr>
        <w:t>include a lease provision stating that criminal activity of a tenant, guest, or person under the tenant's control is good cause for eviction."</w:t>
      </w:r>
      <w:r w:rsidRPr="00A3094C">
        <w:rPr>
          <w:sz w:val="16"/>
        </w:rPr>
        <w:t xml:space="preserve"> </w:t>
      </w:r>
      <w:r w:rsidRPr="00A3094C">
        <w:rPr>
          <w:sz w:val="16"/>
        </w:rPr>
        <w:footnoteReference w:customMarkFollows="1" w:id="164"/>
        <w:t xml:space="preserve">103 Congress has since amended the law to provide for even stronger and stricter language, and in 1996, the law officially became known as the </w:t>
      </w:r>
      <w:r w:rsidRPr="00A3094C">
        <w:rPr>
          <w:rStyle w:val="Emphasis"/>
        </w:rPr>
        <w:t>"One Strike and You're</w:t>
      </w:r>
      <w:r w:rsidRPr="00A3094C">
        <w:rPr>
          <w:sz w:val="16"/>
        </w:rPr>
        <w:t xml:space="preserve"> Out" policy. </w:t>
      </w:r>
      <w:r w:rsidRPr="00A3094C">
        <w:rPr>
          <w:sz w:val="16"/>
        </w:rPr>
        <w:footnoteReference w:customMarkFollows="1" w:id="165"/>
        <w:t xml:space="preserve">104 The law now states the following for individuals residing in federally funded public housing: Any criminal activity that threatens the health, safety, or right to peaceful enjoyment of the premises by other tenants or any drug-related criminal activity on or off such premises, engaged in by a public housing tenant, any member of the tenant's household, or any guest or other person under the tenant's control, shall be cause for termination of tenancy. </w:t>
      </w:r>
      <w:r w:rsidRPr="00A3094C">
        <w:rPr>
          <w:sz w:val="16"/>
        </w:rPr>
        <w:footnoteReference w:customMarkFollows="1" w:id="166"/>
        <w:t xml:space="preserve">105 PHAs can consider other factors at their discretion when determining whether or not to terminate a lease, such as the seriousness of the offense, the extent of the tenant's participation in the activity, and the effects the eviction would have on other family members. However, they are not required to consider such factors; in fact, the law as well as guidelines enacted by the Department of Housing and Urban Development pursuant to the law create incentives for PHAs to screen and evict tenants for drug-related or "safety-threatening" behavior. </w:t>
      </w:r>
      <w:r w:rsidRPr="00A3094C">
        <w:rPr>
          <w:sz w:val="16"/>
        </w:rPr>
        <w:footnoteReference w:customMarkFollows="1" w:id="167"/>
        <w:t xml:space="preserve">106 Furthermore, current housing laws permit PHAs to </w:t>
      </w:r>
      <w:r w:rsidRPr="00A3094C">
        <w:rPr>
          <w:rStyle w:val="StyleUnderline"/>
        </w:rPr>
        <w:t>require prospective tenants to undergo background checks and authorize "law enforcement agencies to provide criminal background information to public housing agencies and [*313] providers of Section 8 housing</w:t>
      </w:r>
      <w:r w:rsidRPr="00A3094C">
        <w:rPr>
          <w:sz w:val="16"/>
        </w:rPr>
        <w:t xml:space="preserve">." </w:t>
      </w:r>
      <w:r w:rsidRPr="00A3094C">
        <w:rPr>
          <w:sz w:val="16"/>
        </w:rPr>
        <w:footnoteReference w:customMarkFollows="1" w:id="168"/>
        <w:t xml:space="preserve">107 PHAs can also require prospective tenants to provide drug treatment records so that the PHAs can assess whether the applicant is using drugs. </w:t>
      </w:r>
      <w:r w:rsidRPr="00A3094C">
        <w:rPr>
          <w:sz w:val="16"/>
        </w:rPr>
        <w:footnoteReference w:customMarkFollows="1" w:id="169"/>
        <w:t xml:space="preserve">108 PHAs can deny housing to prospective tenants deemed to be engaging in criminal or drug-related activity, and tenants evicted from federally assisted housing as a result of drug-related activity are ineligible for federally assisted housing for three years, unless the evicted tenant successfully completes a rehabilitation program approved by the PHA. </w:t>
      </w:r>
      <w:r w:rsidRPr="00A3094C">
        <w:rPr>
          <w:sz w:val="16"/>
        </w:rPr>
        <w:footnoteReference w:customMarkFollows="1" w:id="170"/>
        <w:t xml:space="preserve">109 The provisions of the Act mean that, even though most criminal or drug-related activity comes to the attention of PHAs via notice of a criminal record, </w:t>
      </w:r>
      <w:r w:rsidRPr="00A3094C">
        <w:rPr>
          <w:rStyle w:val="Emphasis"/>
        </w:rPr>
        <w:t xml:space="preserve">one need not necessarily be convicted of a crime or drug-related activity in order to be evicted from his or her home. </w:t>
      </w:r>
      <w:r w:rsidRPr="00A3094C">
        <w:rPr>
          <w:rStyle w:val="StyleUnderline"/>
        </w:rPr>
        <w:t>Rather, all that is required is that the PHA receive information indicating that the individual has "engaged" in criminal or drug-related activity</w:t>
      </w:r>
      <w:r w:rsidRPr="00A3094C">
        <w:rPr>
          <w:sz w:val="16"/>
        </w:rPr>
        <w:t xml:space="preserve">. </w:t>
      </w:r>
      <w:r w:rsidRPr="00A3094C">
        <w:rPr>
          <w:sz w:val="16"/>
        </w:rPr>
        <w:footnoteReference w:customMarkFollows="1" w:id="171"/>
        <w:t xml:space="preserve">110 Furthermore, the Supreme Court held in Department of Housing &amp; Urban Development v. Rucker that there is no innocent owner defense, meaning that </w:t>
      </w:r>
      <w:r w:rsidRPr="00A3094C">
        <w:rPr>
          <w:rStyle w:val="StyleUnderline"/>
        </w:rPr>
        <w:t>the leaseholder can be evicted for the activities of one resident of the household, or a guest to the household, even if the leaseholder has no personal knowledge of the criminal activities</w:t>
      </w:r>
      <w:r w:rsidRPr="00A3094C">
        <w:rPr>
          <w:sz w:val="16"/>
        </w:rPr>
        <w:t xml:space="preserve">. </w:t>
      </w:r>
      <w:r w:rsidRPr="00A3094C">
        <w:rPr>
          <w:sz w:val="16"/>
        </w:rPr>
        <w:footnoteReference w:customMarkFollows="1" w:id="172"/>
        <w:t xml:space="preserve">111 Finally, the broad-sweeping language of the Act suggests that the criminal or drug activity need not even occur on the premises for the leaseholder to be evicted -- if residents are engaged in such activity off the premises, it can suffice as grounds for eviction. </w:t>
      </w:r>
      <w:r w:rsidRPr="00A3094C">
        <w:rPr>
          <w:sz w:val="16"/>
        </w:rPr>
        <w:footnoteReference w:customMarkFollows="1" w:id="173"/>
        <w:t xml:space="preserve">112 According to Rubinstein and </w:t>
      </w:r>
      <w:proofErr w:type="spellStart"/>
      <w:r w:rsidRPr="00A3094C">
        <w:rPr>
          <w:sz w:val="16"/>
        </w:rPr>
        <w:t>Mukamal</w:t>
      </w:r>
      <w:proofErr w:type="spellEnd"/>
      <w:r w:rsidRPr="00A3094C">
        <w:rPr>
          <w:sz w:val="16"/>
        </w:rPr>
        <w:t>: While ostensibly designed to provide a safer environment in public housing, the laws have exacerbated the difficulties faced by drug offenders and others in reintegrating back into their communities after completing their sentences</w:t>
      </w:r>
      <w:proofErr w:type="gramStart"/>
      <w:r w:rsidRPr="00A3094C">
        <w:rPr>
          <w:sz w:val="16"/>
        </w:rPr>
        <w:t>. . . .</w:t>
      </w:r>
      <w:proofErr w:type="gramEnd"/>
      <w:r w:rsidRPr="00A3094C">
        <w:rPr>
          <w:sz w:val="16"/>
        </w:rPr>
        <w:t xml:space="preserve"> </w:t>
      </w:r>
      <w:r w:rsidRPr="00A3094C">
        <w:rPr>
          <w:rStyle w:val="Emphasis"/>
        </w:rPr>
        <w:t>These laws punish those who have paid their debt to society</w:t>
      </w:r>
      <w:proofErr w:type="gramStart"/>
      <w:r w:rsidRPr="00A3094C">
        <w:rPr>
          <w:rStyle w:val="Emphasis"/>
        </w:rPr>
        <w:t>. . . .</w:t>
      </w:r>
      <w:proofErr w:type="gramEnd"/>
      <w:r w:rsidRPr="00A3094C">
        <w:rPr>
          <w:rStyle w:val="Emphasis"/>
        </w:rPr>
        <w:t xml:space="preserve"> In addition, by punishing entire families, these policies are harsh and destabilizing to communities. </w:t>
      </w:r>
      <w:r w:rsidRPr="00A3094C">
        <w:rPr>
          <w:sz w:val="16"/>
        </w:rPr>
        <w:footnoteReference w:customMarkFollows="1" w:id="174"/>
        <w:t xml:space="preserve">113 The restrictive housing policies, which PHAs must conform to in order to receive federal funding, have been quite successful in denying housing to [*314] individuals suspected of drug or criminal activity. </w:t>
      </w:r>
      <w:r w:rsidRPr="00A3094C">
        <w:rPr>
          <w:sz w:val="16"/>
        </w:rPr>
        <w:footnoteReference w:customMarkFollows="1" w:id="175"/>
        <w:t xml:space="preserve">114 One year after "One Strike and You're Out" went into effect, 75% of 1,818 housing authorities surveyed indicated that they had adopted it. </w:t>
      </w:r>
      <w:r w:rsidRPr="00A3094C">
        <w:rPr>
          <w:sz w:val="16"/>
        </w:rPr>
        <w:footnoteReference w:customMarkFollows="1" w:id="176"/>
        <w:t xml:space="preserve">115 The number of applicants denied public housing because of drug activity or criminal backgrounds almost doubled just six months later, from 9,835 to 19,405. </w:t>
      </w:r>
      <w:r w:rsidRPr="00A3094C">
        <w:rPr>
          <w:sz w:val="16"/>
        </w:rPr>
        <w:footnoteReference w:customMarkFollows="1" w:id="177"/>
        <w:t>116 It is especially unfortunate that restrictive housing laws clearly lead to many ex-</w:t>
      </w:r>
      <w:proofErr w:type="gramStart"/>
      <w:r w:rsidRPr="00A3094C">
        <w:rPr>
          <w:sz w:val="16"/>
        </w:rPr>
        <w:t>offenders'</w:t>
      </w:r>
      <w:proofErr w:type="gramEnd"/>
      <w:r w:rsidRPr="00A3094C">
        <w:rPr>
          <w:sz w:val="16"/>
        </w:rPr>
        <w:t xml:space="preserve"> inability to receive governmentally subsidized housing because studies have shown that ex-offenders who are unable to obtain adequate housing are more likely to re-offend. </w:t>
      </w:r>
      <w:r w:rsidRPr="00A3094C">
        <w:rPr>
          <w:sz w:val="16"/>
        </w:rPr>
        <w:footnoteReference w:customMarkFollows="1" w:id="178"/>
        <w:t>117 The federal housing laws operate insidiously to prevent ex-offenders from obtaining safe shelter after their release from prison and often have the effect of preventing families from reuniting</w:t>
      </w:r>
      <w:r w:rsidRPr="00A3094C">
        <w:rPr>
          <w:rStyle w:val="StyleUnderline"/>
        </w:rPr>
        <w:t>. Most ex-offenders are excluded from the private housing market because they do not have enough money for a security deposit on an apartment, and they cannot provide landlords with suitable employment and housing references</w:t>
      </w:r>
      <w:r w:rsidRPr="00A3094C">
        <w:rPr>
          <w:sz w:val="16"/>
        </w:rPr>
        <w:t xml:space="preserve">. </w:t>
      </w:r>
      <w:r w:rsidRPr="00A3094C">
        <w:rPr>
          <w:sz w:val="16"/>
        </w:rPr>
        <w:footnoteReference w:customMarkFollows="1" w:id="179"/>
        <w:t xml:space="preserve">118 Moreover, requirements to disclose financial and criminal history information create an additional test which any recently released offender is likely to fail. </w:t>
      </w:r>
      <w:r w:rsidRPr="00A3094C">
        <w:rPr>
          <w:sz w:val="16"/>
        </w:rPr>
        <w:footnoteReference w:customMarkFollows="1" w:id="180"/>
        <w:t xml:space="preserve">119 </w:t>
      </w:r>
      <w:r w:rsidRPr="00A3094C">
        <w:rPr>
          <w:rStyle w:val="Emphasis"/>
        </w:rPr>
        <w:t>Ex-offenders also may not be able to live with family members if their family members live in public housing</w:t>
      </w:r>
      <w:r w:rsidRPr="00A3094C">
        <w:rPr>
          <w:sz w:val="16"/>
        </w:rPr>
        <w:t xml:space="preserve">. </w:t>
      </w:r>
      <w:r w:rsidRPr="00A3094C">
        <w:rPr>
          <w:sz w:val="16"/>
        </w:rPr>
        <w:footnoteReference w:customMarkFollows="1" w:id="181"/>
        <w:t xml:space="preserve">120 Allard points out that "as most of the incarcerated mothers come from impoverished communities, it is likely that many of their friends and relatives live in public housing complexes." </w:t>
      </w:r>
      <w:r w:rsidRPr="00A3094C">
        <w:rPr>
          <w:sz w:val="16"/>
        </w:rPr>
        <w:footnoteReference w:customMarkFollows="1" w:id="182"/>
        <w:t xml:space="preserve">121 </w:t>
      </w:r>
      <w:r w:rsidRPr="00A3094C">
        <w:rPr>
          <w:rStyle w:val="Emphasis"/>
        </w:rPr>
        <w:t>The tenant family "may be subject to eviction by the housing authority if the ex-offender family member's crime is perceived as a threat to the health, welfare, or safety' of the housing project," and the family "bears the risk" of eviction if the ex-offender does re-offend.</w:t>
      </w:r>
      <w:r w:rsidRPr="00A3094C">
        <w:rPr>
          <w:sz w:val="16"/>
        </w:rPr>
        <w:t xml:space="preserve"> </w:t>
      </w:r>
      <w:r w:rsidRPr="00A3094C">
        <w:rPr>
          <w:sz w:val="16"/>
        </w:rPr>
        <w:footnoteReference w:customMarkFollows="1" w:id="183"/>
        <w:t xml:space="preserve">122 This may be a risk that most poor families, despite wishing to be reunited with their loved ones, are unwilling to [*315] take. </w:t>
      </w:r>
      <w:r w:rsidRPr="00A3094C">
        <w:rPr>
          <w:sz w:val="16"/>
        </w:rPr>
        <w:footnoteReference w:customMarkFollows="1" w:id="184"/>
        <w:t xml:space="preserve">123 </w:t>
      </w:r>
      <w:r w:rsidRPr="00A3094C">
        <w:rPr>
          <w:rStyle w:val="StyleUnderline"/>
        </w:rPr>
        <w:t>Finally, even homeless shelters may not be an option for the ex-offender, since all federally funded shelters require individuals to be homeless for at least twenty-four hours before they are eligible for a bed,</w:t>
      </w:r>
      <w:r w:rsidRPr="00A3094C">
        <w:rPr>
          <w:sz w:val="16"/>
        </w:rPr>
        <w:t xml:space="preserve"> and shelters may be unwilling to allocate scarce bed space to ex-offenders. </w:t>
      </w:r>
      <w:r w:rsidRPr="00A3094C">
        <w:rPr>
          <w:sz w:val="16"/>
        </w:rPr>
        <w:footnoteReference w:customMarkFollows="1" w:id="185"/>
        <w:t>124 As a result, without public housing, many ex-offenders have no option for shelter at all and face homelessness.</w:t>
      </w:r>
    </w:p>
    <w:p w14:paraId="19754B94" w14:textId="77777777" w:rsidR="00D100E8" w:rsidRDefault="00D100E8" w:rsidP="00D100E8"/>
    <w:p w14:paraId="0EACCF18" w14:textId="0149B4F2" w:rsidR="006C2613" w:rsidRDefault="00C003D2" w:rsidP="00D23622">
      <w:pPr>
        <w:pStyle w:val="Heading3"/>
      </w:pPr>
      <w:r>
        <w:t xml:space="preserve">Internals: </w:t>
      </w:r>
      <w:r w:rsidR="00D23622">
        <w:t>Housing</w:t>
      </w:r>
    </w:p>
    <w:p w14:paraId="38914B64" w14:textId="39060F79" w:rsidR="00AA5690" w:rsidRDefault="00AA5690" w:rsidP="00AA5690"/>
    <w:p w14:paraId="7E697AF1" w14:textId="77777777" w:rsidR="00AA5690" w:rsidRDefault="00AA5690" w:rsidP="00AA5690"/>
    <w:p w14:paraId="2F9E6E08" w14:textId="77777777" w:rsidR="00AA5690" w:rsidRDefault="00AA5690" w:rsidP="00AA5690">
      <w:pPr>
        <w:pStyle w:val="Heading4"/>
      </w:pPr>
      <w:r>
        <w:t xml:space="preserve">And, people of color are over-represented in prison --- upon release options for housing are limited due to collateral consequences --- results in rising homelessness and prevents community and social integration </w:t>
      </w:r>
    </w:p>
    <w:p w14:paraId="6BEFF3C2" w14:textId="77777777" w:rsidR="00AA5690" w:rsidRPr="00AA5690" w:rsidRDefault="00AA5690" w:rsidP="00AA5690"/>
    <w:p w14:paraId="6F6744EC" w14:textId="77777777" w:rsidR="00AA5690" w:rsidRDefault="00AA5690" w:rsidP="00AA5690">
      <w:pPr>
        <w:rPr>
          <w:rStyle w:val="Style13ptBold"/>
        </w:rPr>
      </w:pPr>
      <w:r>
        <w:rPr>
          <w:rStyle w:val="Style13ptBold"/>
        </w:rPr>
        <w:t>Schneider ‘17</w:t>
      </w:r>
    </w:p>
    <w:p w14:paraId="67CBFDDB" w14:textId="77777777" w:rsidR="00AA5690" w:rsidRDefault="00AA5690" w:rsidP="00AA5690">
      <w:r w:rsidRPr="00995398">
        <w:t xml:space="preserve">(J.D. Candidate, anticipated graduation in May 2018 from Fordham University School of Law. B.A. in Political Science from Barnard College of Columbia University, May 2013, “PROPERTY AND THE CHALLENGE OF HOUSING AFFORDABILITY: NOTE: DISPARATE IMPACT LACKS AN IMPACT: THE NEED FOR PAY FOR SUCCESS PROGRAMS TO HOUSE FORMERLY INCARCERATED PEOPLE,” 44 Fordham </w:t>
      </w:r>
      <w:proofErr w:type="spellStart"/>
      <w:r w:rsidRPr="00995398">
        <w:t>Urb</w:t>
      </w:r>
      <w:proofErr w:type="spellEnd"/>
      <w:r w:rsidRPr="00995398">
        <w:t xml:space="preserve">. L.J. 529, </w:t>
      </w:r>
      <w:proofErr w:type="spellStart"/>
      <w:r w:rsidRPr="00995398">
        <w:t>pg</w:t>
      </w:r>
      <w:proofErr w:type="spellEnd"/>
      <w:r w:rsidRPr="00995398">
        <w:t xml:space="preserve"> lexis//um-</w:t>
      </w:r>
      <w:proofErr w:type="spellStart"/>
      <w:r w:rsidRPr="00995398">
        <w:t>ef</w:t>
      </w:r>
      <w:proofErr w:type="spellEnd"/>
      <w:r w:rsidRPr="00995398">
        <w:t>)</w:t>
      </w:r>
    </w:p>
    <w:p w14:paraId="17D69899" w14:textId="77777777" w:rsidR="00AA5690" w:rsidRPr="00AA5690" w:rsidRDefault="00AA5690" w:rsidP="00AA5690">
      <w:pPr>
        <w:rPr>
          <w:sz w:val="10"/>
        </w:rPr>
      </w:pPr>
      <w:r w:rsidRPr="00AA5690">
        <w:rPr>
          <w:sz w:val="10"/>
        </w:rPr>
        <w:t xml:space="preserve">The United States imprisons more of its population than any other nation in the developed world. 29 The number of people incarcerated in the United States has increased dramatically in the past forty years. In 1980, roughly 500,000 people were incarcerated--today, that number has quadrupled to over 2.3 million. 30 However, </w:t>
      </w:r>
      <w:r w:rsidRPr="00834464">
        <w:rPr>
          <w:rStyle w:val="StyleUnderline"/>
        </w:rPr>
        <w:t>the demographics of the prison population do not mirror the demographics of the American population</w:t>
      </w:r>
      <w:r w:rsidRPr="00AA5690">
        <w:rPr>
          <w:sz w:val="10"/>
        </w:rPr>
        <w:t xml:space="preserve">. 31 </w:t>
      </w:r>
      <w:r w:rsidRPr="00834464">
        <w:rPr>
          <w:rStyle w:val="StyleUnderline"/>
        </w:rPr>
        <w:t>Black Americans make up 37.8 percent of the federal prison population, but only 13.3 percent of the total U.S. population</w:t>
      </w:r>
      <w:r w:rsidRPr="00AA5690">
        <w:rPr>
          <w:sz w:val="10"/>
        </w:rPr>
        <w:t xml:space="preserve">. 32 White Americans make up 58.7 percent of the federal prison </w:t>
      </w:r>
      <w:proofErr w:type="gramStart"/>
      <w:r w:rsidRPr="00AA5690">
        <w:rPr>
          <w:sz w:val="10"/>
        </w:rPr>
        <w:t>population, yet</w:t>
      </w:r>
      <w:proofErr w:type="gramEnd"/>
      <w:r w:rsidRPr="00AA5690">
        <w:rPr>
          <w:sz w:val="10"/>
        </w:rPr>
        <w:t xml:space="preserve"> comprise 77.1 percent of the total population. 33 Some </w:t>
      </w:r>
      <w:r w:rsidRPr="00834464">
        <w:rPr>
          <w:rStyle w:val="StyleUnderline"/>
        </w:rPr>
        <w:t>studies reveal that</w:t>
      </w:r>
      <w:r w:rsidRPr="00AA5690">
        <w:rPr>
          <w:sz w:val="10"/>
        </w:rPr>
        <w:t xml:space="preserve"> </w:t>
      </w:r>
      <w:r w:rsidRPr="00834464">
        <w:rPr>
          <w:rStyle w:val="StyleUnderline"/>
        </w:rPr>
        <w:t xml:space="preserve">this misrepresentation does not reflect actual disparities in illegal </w:t>
      </w:r>
      <w:proofErr w:type="gramStart"/>
      <w:r w:rsidRPr="00834464">
        <w:rPr>
          <w:rStyle w:val="StyleUnderline"/>
        </w:rPr>
        <w:t>activity, but</w:t>
      </w:r>
      <w:proofErr w:type="gramEnd"/>
      <w:r w:rsidRPr="00834464">
        <w:rPr>
          <w:rStyle w:val="StyleUnderline"/>
        </w:rPr>
        <w:t xml:space="preserve"> is instead a result of the disproportionate criminalization of communities of color</w:t>
      </w:r>
      <w:r w:rsidRPr="00AA5690">
        <w:rPr>
          <w:sz w:val="10"/>
        </w:rPr>
        <w:t xml:space="preserve">. 34 </w:t>
      </w:r>
      <w:r w:rsidRPr="00834464">
        <w:rPr>
          <w:rStyle w:val="StyleUnderline"/>
        </w:rPr>
        <w:t>Scholars attribute much of the prison population increase to the "War on Drugs,"</w:t>
      </w:r>
      <w:r w:rsidRPr="00AA5690">
        <w:rPr>
          <w:sz w:val="10"/>
        </w:rPr>
        <w:t xml:space="preserve"> a policy which incarcerated many non-violent offenders, 35 and the over-policing of Black communities. 36 As scholars have noted, "[b]</w:t>
      </w:r>
      <w:proofErr w:type="spellStart"/>
      <w:r w:rsidRPr="00AA5690">
        <w:rPr>
          <w:sz w:val="10"/>
        </w:rPr>
        <w:t>etween</w:t>
      </w:r>
      <w:proofErr w:type="spellEnd"/>
      <w:r w:rsidRPr="00AA5690">
        <w:rPr>
          <w:sz w:val="10"/>
        </w:rPr>
        <w:t xml:space="preserve"> [*536] 1982 and 1999, drug sentences in federal and state prisons increased by 975 percent." 37 Today, </w:t>
      </w:r>
      <w:r w:rsidRPr="00834464">
        <w:rPr>
          <w:rStyle w:val="Emphasis"/>
        </w:rPr>
        <w:t>non-violent offenders make up the majority of the national prison population</w:t>
      </w:r>
      <w:r w:rsidRPr="00AA5690">
        <w:rPr>
          <w:sz w:val="10"/>
        </w:rPr>
        <w:t xml:space="preserve">: 46.4 percent of incarcerated individuals are in federal prison due to non-violent drug offenses, 38 and roughly thirty-eight percent of those convicted are Black Americans. 39 Yet, even prior to the war on drugs, Black Americans have historically been overrepresented in prisons. 40 The Thirteenth Amendment of the United States Constitution, which formally abolished slavery after the Civil War, contains language that some scholars refer to as a "convict exception." 41 The Thirteenth Amendment provides, in relevant part, "[n]either slavery nor involuntary servitude, except as a punishment for crime whereof the party shall have been duly convicted, shall exist within the United States, or any place subject to their jurisdiction." 42 Scholars argue that the original understanding of this clause recognized that slavery was constitutionally permitted "when the class of people to be enslaved were prison inmates." 43 [*537] After the Civil War, there was an uptick in incarceration rates of Black Americans in southern states due to the enactment of "Black Codes." 44 Integral to these Black Codes were vagrancy laws, which allowed local municipalities to arrest and imprison newly freed Black Americans for minor infractions. 45 Once in prison, incarcerated persons were forced to provide free labor, a practice known as convict leasing. 46 Some scholars refer to this practice as "slavery by another name." 47 Although Black Codes were abolished during the Reconstruction Era, Jim Crow laws quickly took hold in the late 1890s, mandating segregation in public places under the guise of separate but equal. 48 Once Black Americans began to move north, local governments in northern states promulgated a host of racially discriminatory land use laws </w:t>
      </w:r>
      <w:proofErr w:type="gramStart"/>
      <w:r w:rsidRPr="00AA5690">
        <w:rPr>
          <w:sz w:val="10"/>
        </w:rPr>
        <w:t>in an attempt to</w:t>
      </w:r>
      <w:proofErr w:type="gramEnd"/>
      <w:r w:rsidRPr="00AA5690">
        <w:rPr>
          <w:sz w:val="10"/>
        </w:rPr>
        <w:t xml:space="preserve"> keep Black people out of their white neighborhoods. 49 Subsequently, the newly established Federal Housing Administration 50 engaged in discriminatory lending practices known as redlining. 51 Banks [*538] and financial institutions "refused loans to black families in white suburbs and even, in most cases, to black families in black neighborhoods--leading to the deterioration and ghettoization of those neighborhoods." 52 Many whites living in cities and public housing bought and moved to homes in the suburbs using low-interest mortgages. 53 This concentrated Black Americans in inner cities, and helped to produce a downward income shift in the population residing in public housing after the 1940s. 54 Eventually redlining and a host of other discriminatory laws were challenged and repealed by federal legislation in the 1960s. 55 In an effort to subdue the unrest and unaffordability of urban housing for people of color, </w:t>
      </w:r>
      <w:r w:rsidRPr="00834464">
        <w:rPr>
          <w:rStyle w:val="StyleUnderline"/>
        </w:rPr>
        <w:t>in the 1960s Congress funded large public housing</w:t>
      </w:r>
      <w:r>
        <w:rPr>
          <w:rStyle w:val="StyleUnderline"/>
        </w:rPr>
        <w:t xml:space="preserve"> </w:t>
      </w:r>
      <w:r w:rsidRPr="00834464">
        <w:rPr>
          <w:rStyle w:val="StyleUnderline"/>
        </w:rPr>
        <w:t>[*539]</w:t>
      </w:r>
      <w:r>
        <w:rPr>
          <w:rStyle w:val="StyleUnderline"/>
        </w:rPr>
        <w:t xml:space="preserve"> </w:t>
      </w:r>
      <w:r w:rsidRPr="00834464">
        <w:rPr>
          <w:rStyle w:val="StyleUnderline"/>
        </w:rPr>
        <w:t>projects</w:t>
      </w:r>
      <w:r w:rsidRPr="00AA5690">
        <w:rPr>
          <w:sz w:val="10"/>
        </w:rPr>
        <w:t xml:space="preserve">. 56 </w:t>
      </w:r>
      <w:r w:rsidRPr="00834464">
        <w:rPr>
          <w:rStyle w:val="StyleUnderline"/>
        </w:rPr>
        <w:t>However, these projects served to reinforce already existing racial segregation patterns.</w:t>
      </w:r>
      <w:r w:rsidRPr="00AA5690">
        <w:rPr>
          <w:sz w:val="10"/>
        </w:rPr>
        <w:t xml:space="preserve"> 57 Residents of public housing, who were overwhelmingly Black, 58 were demonized and stereotyped, social inequities were ignored, and violence, inner-city decay, and crime became linked with public housing. 59 In response, </w:t>
      </w:r>
      <w:r w:rsidRPr="00834464">
        <w:rPr>
          <w:rStyle w:val="StyleUnderline"/>
        </w:rPr>
        <w:t>Congress enacted a series of more stringent reforms that enabled PHAs to more easily screen out and evict tenants with criminal records</w:t>
      </w:r>
      <w:r w:rsidRPr="00AA5690">
        <w:rPr>
          <w:sz w:val="10"/>
        </w:rPr>
        <w:t xml:space="preserve">. 60 The culmination of these policies resulted in HUD's 1996 "One Strike" guidelines, which encouraged PHAs to adopt screening criteria by tying funding to the implementation of these policies. 61 </w:t>
      </w:r>
      <w:r w:rsidRPr="00834464">
        <w:rPr>
          <w:rStyle w:val="StyleUnderline"/>
        </w:rPr>
        <w:t>More often than not, these policies were in the form of blanket bans on those with criminal records without consideration of individualized circumstances</w:t>
      </w:r>
      <w:r w:rsidRPr="00AA5690">
        <w:rPr>
          <w:sz w:val="10"/>
        </w:rPr>
        <w:t xml:space="preserve">. 62 Thus, </w:t>
      </w:r>
      <w:r w:rsidRPr="00834464">
        <w:rPr>
          <w:rStyle w:val="StyleUnderline"/>
        </w:rPr>
        <w:t>those already facing legal discrimination in the private housing market due to their criminal records also faced stringent PHA screening policies, which effectively "locked out a population with nowhere else to live</w:t>
      </w:r>
      <w:r w:rsidRPr="00AA5690">
        <w:rPr>
          <w:sz w:val="10"/>
        </w:rPr>
        <w:t xml:space="preserve">." 63 [*540] A. Incarceration, Segregation, and Poverty Today "Two hundred fifty years of slavery. Ninety years of Jim Crow. Sixty years of separate but equal. Thirty-five years of racist housing policy. Until we reckon with our compounding moral debts, America will never be whole." 64 Today, </w:t>
      </w:r>
      <w:r w:rsidRPr="00834464">
        <w:rPr>
          <w:rStyle w:val="StyleUnderline"/>
        </w:rPr>
        <w:t>the criminal justice system is defined by over-criminalization, over-punishment, and discriminatory policing and prosecuting</w:t>
      </w:r>
      <w:r w:rsidRPr="00AA5690">
        <w:rPr>
          <w:sz w:val="10"/>
        </w:rPr>
        <w:t xml:space="preserve">. 65 </w:t>
      </w:r>
      <w:r w:rsidRPr="00834464">
        <w:rPr>
          <w:rStyle w:val="StyleUnderline"/>
        </w:rPr>
        <w:t>As a result, federal prisons and state jails are filled beyond capacity, with people of color overrepresented</w:t>
      </w:r>
      <w:r w:rsidRPr="00AA5690">
        <w:rPr>
          <w:sz w:val="10"/>
        </w:rPr>
        <w:t xml:space="preserve">. 66 </w:t>
      </w:r>
      <w:r w:rsidRPr="00834464">
        <w:rPr>
          <w:rStyle w:val="Emphasis"/>
        </w:rPr>
        <w:t>Upon conviction, incarcerated persons are burdened with "collateral consequences</w:t>
      </w:r>
      <w:r w:rsidRPr="00AA5690">
        <w:rPr>
          <w:sz w:val="10"/>
        </w:rPr>
        <w:t xml:space="preserve">"--indirect penalties imposed by state and federal statutes </w:t>
      </w:r>
      <w:r w:rsidRPr="00834464">
        <w:rPr>
          <w:rStyle w:val="StyleUnderline"/>
        </w:rPr>
        <w:t>that disadvantage and deny them political, social, and economic rights and privileges that most Americans consider to be fundamental and intrinsic components of citizenship</w:t>
      </w:r>
      <w:r w:rsidRPr="00AA5690">
        <w:rPr>
          <w:sz w:val="10"/>
        </w:rPr>
        <w:t xml:space="preserve">. 67 Consequently, </w:t>
      </w:r>
      <w:r w:rsidRPr="00834464">
        <w:rPr>
          <w:rStyle w:val="Emphasis"/>
        </w:rPr>
        <w:t>these individuals are "shackled with the stigma of their prison record long after serving time behind bars,"</w:t>
      </w:r>
      <w:r>
        <w:rPr>
          <w:rStyle w:val="Emphasis"/>
        </w:rPr>
        <w:t xml:space="preserve"> </w:t>
      </w:r>
      <w:r w:rsidRPr="00AA5690">
        <w:rPr>
          <w:sz w:val="10"/>
        </w:rPr>
        <w:t xml:space="preserve">68 </w:t>
      </w:r>
      <w:r w:rsidRPr="00834464">
        <w:rPr>
          <w:rStyle w:val="Emphasis"/>
        </w:rPr>
        <w:t>which makes housing and employment difficult to obtain</w:t>
      </w:r>
      <w:r w:rsidRPr="00AA5690">
        <w:rPr>
          <w:sz w:val="10"/>
        </w:rPr>
        <w:t xml:space="preserve">. 69 Also today, neighborhoods, towns, and cities remain deeply segregated. 70 Many neighborhoods with high concentrations of poverty are comprised predominately of people of color. 71 Some of these individuals are stuck in a cycle of poverty and recidivism: "[w]hen individuals are economically impoverished, they are more likely to not only offend, but also repeatedly offend, because poverty compounded with the imposed civil disabilities of a [*541] criminal conviction further socially isolate and minimize their life options." 72 B. The Importance of Reducing Recidivism Reducing recidivism is an important goal of many municipalities for both social and economic reasons. 73 An average of roughly 650,000 people are released from federal and state prisons annually, and 11.4 million cycle in and out of local jails annually. 74 An estimated forty to fifty percent of people released from prison are re-incarcerated within three years of their release. 75 Recidivism, coupled with a growing incarceration rate has resulted in huge correctional expenses born by the states: in recent years, annual correctional expenses have surpassed fifty billion dollars. 76 From a social perspective, reducing recidivism can create safer communities and promote long-term public safety goals. 77 Reducing recidivism helps both the communities in which formerly incarcerated people typically live in, and their family members who they often disproportionately rely on for support. 78 Programs to reduce recidivism can act </w:t>
      </w:r>
      <w:proofErr w:type="gramStart"/>
      <w:r w:rsidRPr="00AA5690">
        <w:rPr>
          <w:sz w:val="10"/>
        </w:rPr>
        <w:t>as a means to</w:t>
      </w:r>
      <w:proofErr w:type="gramEnd"/>
      <w:r w:rsidRPr="00AA5690">
        <w:rPr>
          <w:sz w:val="10"/>
        </w:rPr>
        <w:t xml:space="preserve"> confront and counteract racism and bring about social justice. 79 From an economic perspective, reducing the number of incarcerated people reduces the cost states and municipalities spend on [*542] corrections. 80 Many municipalities, aware of this cost savings, track recidivism rates by setting targets and implementing proven programs 81 to curb recidivism. 82 Despite efforts currently undertaken by many states, the recidivism problem </w:t>
      </w:r>
      <w:proofErr w:type="gramStart"/>
      <w:r w:rsidRPr="00AA5690">
        <w:rPr>
          <w:sz w:val="10"/>
        </w:rPr>
        <w:t>still persists</w:t>
      </w:r>
      <w:proofErr w:type="gramEnd"/>
      <w:r w:rsidRPr="00AA5690">
        <w:rPr>
          <w:sz w:val="10"/>
        </w:rPr>
        <w:t xml:space="preserve">. 83 Many state policies designed to reduce recidivism focus on helping formerly incarcerated people obtain jobs. 84 However, overcoming barriers to housing is arguably one of, if not the most important step in reducing recidivism and ending the cycle of poverty and homelessness. 85 Housing stability is the "lynchpin that holds the reintegration process together." 86 C. The Intersection of Homelessness and Incarceration </w:t>
      </w:r>
      <w:r w:rsidRPr="00B227C1">
        <w:rPr>
          <w:rStyle w:val="StyleUnderline"/>
        </w:rPr>
        <w:t>Residential instability and homelessness are two of the greatest challenges formerly incarcerated people face that limit their chances of successful reentry</w:t>
      </w:r>
      <w:r w:rsidRPr="00AA5690">
        <w:rPr>
          <w:sz w:val="10"/>
        </w:rPr>
        <w:t xml:space="preserve">. 87 Roughly one out of ten people who become incarcerated have experienced homelessness in their lifetime prior to prison, and one out of ten who leave prison will experience homelessness in the future. 88 Approximately twenty percent of single homeless adults have served time, and this number is even higher in urban areas. 89 For example, in New York [*543] City about one-third of single adults in shelters have been recently released from local jails. 90 </w:t>
      </w:r>
      <w:r w:rsidRPr="00AA5690">
        <w:rPr>
          <w:rStyle w:val="StyleUnderline"/>
        </w:rPr>
        <w:t>Access to safe and stable housing is critical to successful reentry, making one less likely to recidivate</w:t>
      </w:r>
      <w:r w:rsidRPr="00AA5690">
        <w:rPr>
          <w:sz w:val="10"/>
        </w:rPr>
        <w:t xml:space="preserve">. 91 One study demonstrated that the chances of recidivism were doubled for those who lacked adequate housing. 92 Further, a comprehensive analysis of a Washington state program, 93 which aims to reduce recidivism by providing high-risk formerly incarcerated persons 94 with one year of housing support, proved to be successful: the rates of new offenses and recidivism were significantly reduced. 95 This study further recommended that subsidized housing for high risk formerly incarcerated persons be a "central part of coordinated responses to reentry." 96 Similarly, New York City's "FUSE" Initiative 97 has also achieved success in reducing recidivism of high-risk formerly incarcerated people by collaborating with ten non-profits and various City agencies to provide supportive housing. 98 </w:t>
      </w:r>
      <w:r w:rsidRPr="00AA5690">
        <w:rPr>
          <w:rStyle w:val="StyleUnderline"/>
        </w:rPr>
        <w:t>Access to stable housing provides formerly incarcerated people with a platform upon which they can begin to focus on reintegrating, whether that be finding a job, obtaining treatment for mental health or drug addiction</w:t>
      </w:r>
      <w:r w:rsidRPr="00AA5690">
        <w:rPr>
          <w:sz w:val="10"/>
        </w:rPr>
        <w:t xml:space="preserve">, [*544] </w:t>
      </w:r>
      <w:r w:rsidRPr="00AA5690">
        <w:rPr>
          <w:rStyle w:val="StyleUnderline"/>
        </w:rPr>
        <w:t>rebuilding a social network, or reconnecting with their community and family</w:t>
      </w:r>
      <w:r w:rsidRPr="00AA5690">
        <w:rPr>
          <w:sz w:val="10"/>
        </w:rPr>
        <w:t>. 99 Housing for formerly incarcerated people can serve a larger purpose beyond mere shelter: "it can also serve as the literal and figurative foundation for successful reentry and reintegration for released adults." 100 D. Forms of Housing Discrimination Formerly Incarcerated People Face "</w:t>
      </w:r>
      <w:r w:rsidRPr="00AA5690">
        <w:rPr>
          <w:rStyle w:val="StyleUnderline"/>
        </w:rPr>
        <w:t>Providing an effective second chance for folks with criminal justice involvement starts with housing</w:t>
      </w:r>
      <w:r w:rsidRPr="00AA5690">
        <w:rPr>
          <w:sz w:val="10"/>
        </w:rPr>
        <w:t xml:space="preserve"> . . . . You </w:t>
      </w:r>
      <w:proofErr w:type="gramStart"/>
      <w:r w:rsidRPr="00AA5690">
        <w:rPr>
          <w:sz w:val="10"/>
        </w:rPr>
        <w:t>can't</w:t>
      </w:r>
      <w:proofErr w:type="gramEnd"/>
      <w:r w:rsidRPr="00AA5690">
        <w:rPr>
          <w:sz w:val="10"/>
        </w:rPr>
        <w:t xml:space="preserve"> rejoin a community without access to housing. And you can't reconnect a family without a home in which to do so." 101 Formerly incarcerated people ideally have five housing options when released from prison: private housing; federally subsidized housing; supportive housing; community correctional facilities or halfway houses; and homeless shelters. 102 Yet, formerly incarcerated people face barriers to accessing housing options "regardless of their level of self-sufficiency and employment prospects." 103 In the private housing market, formerly incarcerated people face an economic barrier: the inability to afford to buy or rent in the private housing market. 104 Formerly incarcerated people also face a discrimination barrier: landlords routinely conduct background checks and reject those with [*545] criminal histories, 105 further limiting their ability to obtain housing in the private market. 106 Formerly incarcerated people have difficulty obtaining federally subsidized housing units due to long wait lists, lotteries, and overly restrictive criminal history policies. 107 The Sargent Shriver National Center on Poverty Law has identified four rationales for why these criminal history policies are overly restrictive: (1) "unreasonable lookback periods;" 108 (2) "use of arrests to prove criminal activity;" 109 (3) "overbroad categories of criminal activity;" 110 and (4) "underuse of mitigating circumstances." 111 HUD, and even some states, have begun to regulate these policies in an attempt to mitigate their discriminatory effects. 112 Formerly incarcerated people also face challenges in finding supportive housing. While supportive housing options exist, 113 these programs have [*546] limited spots available, 114 and when new developments are proposed many communities react with "not in my backyard" ("NIMBY") attitudes. 115 Such attitudes, and the resulting campaigns against proposed developments contribute to the lack of available services and housing stock for formerly incarcerated persons upon their release. 116 Furthermore, </w:t>
      </w:r>
      <w:r w:rsidRPr="00AA5690">
        <w:rPr>
          <w:rStyle w:val="StyleUnderline"/>
        </w:rPr>
        <w:t>there are not enough governmental services such as community correctional facilities or halfway houses available to recently released individuals, and most states do not implement housing plans for recently un-incarcerated persons</w:t>
      </w:r>
      <w:r w:rsidRPr="00AA5690">
        <w:rPr>
          <w:sz w:val="10"/>
        </w:rPr>
        <w:t xml:space="preserve">. 117 The communities of recently released individuals are also ill-equipped; most communities generally have a shortage of affordable housing stock. 118 As a result, </w:t>
      </w:r>
      <w:r w:rsidRPr="00AA5690">
        <w:rPr>
          <w:rStyle w:val="StyleUnderline"/>
        </w:rPr>
        <w:t>formerly incarcerated people may end up in unstable arrangements, or their families must bear the cost of housing them</w:t>
      </w:r>
      <w:r w:rsidRPr="00AA5690">
        <w:rPr>
          <w:sz w:val="10"/>
        </w:rPr>
        <w:t xml:space="preserve">. 119 Lastly, </w:t>
      </w:r>
      <w:r w:rsidRPr="00AA5690">
        <w:rPr>
          <w:rStyle w:val="StyleUnderline"/>
        </w:rPr>
        <w:t>shelters are not a viable option for all formerly incarcerated people</w:t>
      </w:r>
      <w:r w:rsidRPr="00AA5690">
        <w:rPr>
          <w:sz w:val="10"/>
        </w:rPr>
        <w:t xml:space="preserve">. For example, some individuals chose to remain on the streets rather than stay in a shelter due to stories they have heard or experiences they have had in dangerous and unsanitary shelters: "you hear a lot of terrible things about shelters, that shelters are dangerous places, that they're full of drugs and drug dealers, that people will steal your shoes, and there's bedbugs and body lice. And yeah, unfortunately a lot of those things are true."   120 </w:t>
      </w:r>
      <w:proofErr w:type="gramStart"/>
      <w:r w:rsidRPr="00AA5690">
        <w:rPr>
          <w:sz w:val="10"/>
        </w:rPr>
        <w:t>Additionally,  [</w:t>
      </w:r>
      <w:proofErr w:type="gramEnd"/>
      <w:r w:rsidRPr="00AA5690">
        <w:rPr>
          <w:sz w:val="10"/>
        </w:rPr>
        <w:t>*547]  similar to supportive housing, many residents oppose the construction of shelters in their neighborhoods, thwarting the creation of newer, less crowded, and likely safer facilities.   121</w:t>
      </w:r>
    </w:p>
    <w:p w14:paraId="1EA8D77D" w14:textId="77777777" w:rsidR="00AA5690" w:rsidRDefault="00AA5690" w:rsidP="00AA5690"/>
    <w:p w14:paraId="1072F007" w14:textId="0A6448A5" w:rsidR="000F1078" w:rsidRDefault="00C003D2" w:rsidP="000F1078">
      <w:pPr>
        <w:pStyle w:val="Heading3"/>
      </w:pPr>
      <w:r>
        <w:t>Impacts: Housing</w:t>
      </w:r>
    </w:p>
    <w:p w14:paraId="246EFE68" w14:textId="7539CCA0" w:rsidR="000F1078" w:rsidRDefault="000F1078" w:rsidP="000F1078"/>
    <w:p w14:paraId="456C03AC" w14:textId="75A383F5" w:rsidR="000F1078" w:rsidRDefault="0099530A" w:rsidP="0099530A">
      <w:pPr>
        <w:pStyle w:val="Heading4"/>
      </w:pPr>
      <w:r>
        <w:t>Lack of housing causes recidivism, undermines re-integration and results in despair, reduction in mental health and increases in crim</w:t>
      </w:r>
    </w:p>
    <w:p w14:paraId="1D0A43CB" w14:textId="77777777" w:rsidR="0099530A" w:rsidRPr="0099530A" w:rsidRDefault="0099530A" w:rsidP="0099530A"/>
    <w:p w14:paraId="5122A8A8" w14:textId="77777777" w:rsidR="000F1078" w:rsidRDefault="000F1078" w:rsidP="000F1078">
      <w:pPr>
        <w:rPr>
          <w:rStyle w:val="Style13ptBold"/>
        </w:rPr>
      </w:pPr>
      <w:proofErr w:type="spellStart"/>
      <w:r>
        <w:rPr>
          <w:rStyle w:val="Style13ptBold"/>
        </w:rPr>
        <w:t>Golembeski</w:t>
      </w:r>
      <w:proofErr w:type="spellEnd"/>
      <w:r>
        <w:rPr>
          <w:rStyle w:val="Style13ptBold"/>
        </w:rPr>
        <w:t xml:space="preserve"> ‘5</w:t>
      </w:r>
    </w:p>
    <w:p w14:paraId="39AD1CCF" w14:textId="77777777" w:rsidR="000F1078" w:rsidRPr="00F409BF" w:rsidRDefault="000F1078" w:rsidP="000F1078">
      <w:r w:rsidRPr="00F409BF">
        <w:t xml:space="preserve">(Cynthia </w:t>
      </w:r>
      <w:proofErr w:type="spellStart"/>
      <w:r w:rsidRPr="00F409BF">
        <w:t>Golembeski</w:t>
      </w:r>
      <w:proofErr w:type="spellEnd"/>
      <w:r w:rsidRPr="00F409BF">
        <w:t xml:space="preserve"> and Robert </w:t>
      </w:r>
      <w:proofErr w:type="spellStart"/>
      <w:r w:rsidRPr="00F409BF">
        <w:t>Fullilove</w:t>
      </w:r>
      <w:proofErr w:type="spellEnd"/>
      <w:r w:rsidRPr="00F409BF">
        <w:t xml:space="preserve"> are with the Department of Sociomedical Sciences, Mailman School of Public Health, Columbia University, New York, NY. Robert </w:t>
      </w:r>
      <w:proofErr w:type="spellStart"/>
      <w:r w:rsidRPr="00F409BF">
        <w:t>Fullilove</w:t>
      </w:r>
      <w:proofErr w:type="spellEnd"/>
      <w:r w:rsidRPr="00F409BF">
        <w:t xml:space="preserve"> also is with the Community Research Group, New York State Psychiatric Institute. Requests for reprints should be sent to Cynthia </w:t>
      </w:r>
      <w:proofErr w:type="spellStart"/>
      <w:r w:rsidRPr="00F409BF">
        <w:t>Golembeski</w:t>
      </w:r>
      <w:proofErr w:type="spellEnd"/>
      <w:r w:rsidRPr="00F409BF">
        <w:t xml:space="preserve">, Dept of Sociomedical Sciences, Mailman School of Public Health, Columbia University, New York, Am J Public Health. 2005 October; 95(10): 1701–1706. Criminal (In)Justice in the City and Its Associated Health Consequences Cynthia </w:t>
      </w:r>
      <w:proofErr w:type="spellStart"/>
      <w:r w:rsidRPr="00F409BF">
        <w:t>Golembeski</w:t>
      </w:r>
      <w:proofErr w:type="spellEnd"/>
      <w:r w:rsidRPr="00F409BF">
        <w:t xml:space="preserve">, BA, BS and Robert </w:t>
      </w:r>
      <w:proofErr w:type="spellStart"/>
      <w:r w:rsidRPr="00F409BF">
        <w:t>Fullilove</w:t>
      </w:r>
      <w:proofErr w:type="spellEnd"/>
      <w:r w:rsidRPr="00F409BF">
        <w:t xml:space="preserve">, EdD </w:t>
      </w:r>
      <w:proofErr w:type="spellStart"/>
      <w:r w:rsidRPr="00F409BF">
        <w:t>pg</w:t>
      </w:r>
      <w:proofErr w:type="spellEnd"/>
      <w:r w:rsidRPr="00F409BF">
        <w:t xml:space="preserve"> online @ </w:t>
      </w:r>
      <w:hyperlink r:id="rId52" w:history="1">
        <w:r w:rsidRPr="00F409BF">
          <w:rPr>
            <w:rStyle w:val="Hyperlink"/>
          </w:rPr>
          <w:t>https://www.ncbi.nlm.nih.gov/pmc/articles/PMC1449423/</w:t>
        </w:r>
      </w:hyperlink>
      <w:r w:rsidRPr="00F409BF">
        <w:t xml:space="preserve"> //um-</w:t>
      </w:r>
      <w:proofErr w:type="spellStart"/>
      <w:r w:rsidRPr="00F409BF">
        <w:t>ef</w:t>
      </w:r>
      <w:proofErr w:type="spellEnd"/>
      <w:r w:rsidRPr="00F409BF">
        <w:t>)</w:t>
      </w:r>
    </w:p>
    <w:p w14:paraId="4136FAA1" w14:textId="77777777" w:rsidR="000F1078" w:rsidRPr="006479F3" w:rsidRDefault="000F1078" w:rsidP="000F1078">
      <w:pPr>
        <w:rPr>
          <w:sz w:val="12"/>
        </w:rPr>
      </w:pPr>
      <w:r w:rsidRPr="006479F3">
        <w:rPr>
          <w:sz w:val="12"/>
        </w:rPr>
        <w:t xml:space="preserve">The US Department of Justice estimated that </w:t>
      </w:r>
      <w:r w:rsidRPr="00487C96">
        <w:rPr>
          <w:rStyle w:val="StyleUnderline"/>
        </w:rPr>
        <w:t>nearly 635 000 people were released from prison in 2002</w:t>
      </w:r>
      <w:r w:rsidRPr="006479F3">
        <w:rPr>
          <w:sz w:val="12"/>
        </w:rPr>
        <w:t xml:space="preserve">. It also estimated that </w:t>
      </w:r>
      <w:r w:rsidRPr="00487C96">
        <w:rPr>
          <w:rStyle w:val="StyleUnderline"/>
        </w:rPr>
        <w:t>95% of the 1.4 million current prison inmates will eventually be released</w:t>
      </w:r>
      <w:r w:rsidRPr="006479F3">
        <w:rPr>
          <w:sz w:val="12"/>
        </w:rPr>
        <w:t xml:space="preserve">.22 </w:t>
      </w:r>
      <w:r w:rsidRPr="00487C96">
        <w:rPr>
          <w:rStyle w:val="StyleUnderline"/>
        </w:rPr>
        <w:t>Numerous challenges face ex-offenders and the communities that they reenter</w:t>
      </w:r>
      <w:r w:rsidRPr="006479F3">
        <w:rPr>
          <w:sz w:val="12"/>
        </w:rPr>
        <w:t xml:space="preserve">. Those ex-offenders who lack assistance from family, friends, or community-based organizations have a greater incentive to participate in criminal activity for survival and have an increased chance of being admitted to hospitals or psychiatric wards.20 Work and treatment program participation both in prison and out of prison have declined significantly during the past decade, and </w:t>
      </w:r>
      <w:r w:rsidRPr="00487C96">
        <w:rPr>
          <w:rStyle w:val="StyleUnderline"/>
        </w:rPr>
        <w:t>various legal and practical impediments limit the success of inmates who try to adapt and adjust to life after prison</w:t>
      </w:r>
      <w:r w:rsidRPr="006479F3">
        <w:rPr>
          <w:sz w:val="12"/>
        </w:rPr>
        <w:t xml:space="preserve">. The scarcity of rehabilitative programs is largely the result of (1) public antipathy to these programs, (2) the belief that these programs do not work, (3) the overall popularity of punitive measures associated with the public’s fear of crime, and (4) restrictions and </w:t>
      </w:r>
      <w:proofErr w:type="spellStart"/>
      <w:r w:rsidRPr="006479F3">
        <w:rPr>
          <w:sz w:val="12"/>
        </w:rPr>
        <w:t>misallo</w:t>
      </w:r>
      <w:proofErr w:type="spellEnd"/>
      <w:r w:rsidRPr="006479F3">
        <w:rPr>
          <w:sz w:val="12"/>
        </w:rPr>
        <w:t xml:space="preserve">-cations of prison budgets. In New York, only 6% of the state’s corrections budget was spent on prisoner rehabilitation in 2000,23 despite the fact that “the relationship between participating in prison programs and reduced recidivism has been repeatedly documented.”4(p6) Significantly, the parole system has become largely supervisory and offers few supportive services or links to healthcare, even during the earliest stages of reentry when the risk for recidivism is highest. A “new parole model should commit to a community-centered approach to parole supervision and should . . . deliver intensive treatment to substance abusers, and establish intermediate sanctions for parole violators.”4(p193) Invisible Punishment </w:t>
      </w:r>
      <w:r w:rsidRPr="00487C96">
        <w:rPr>
          <w:rStyle w:val="StyleUnderline"/>
        </w:rPr>
        <w:t>It is increasingly difficult for ex-offenders to return home to their communities</w:t>
      </w:r>
      <w:r w:rsidRPr="006479F3">
        <w:rPr>
          <w:sz w:val="12"/>
        </w:rPr>
        <w:t xml:space="preserve">. In most states, </w:t>
      </w:r>
      <w:r w:rsidRPr="00487C96">
        <w:rPr>
          <w:rStyle w:val="StyleUnderline"/>
        </w:rPr>
        <w:t>prisoners have their voting rights revoked while in prison</w:t>
      </w:r>
      <w:r w:rsidRPr="006479F3">
        <w:rPr>
          <w:sz w:val="12"/>
        </w:rPr>
        <w:t xml:space="preserve">, and they </w:t>
      </w:r>
      <w:r w:rsidRPr="00487C96">
        <w:rPr>
          <w:rStyle w:val="StyleUnderline"/>
        </w:rPr>
        <w:t>face a range of political and legal obstacles</w:t>
      </w:r>
      <w:r w:rsidRPr="006479F3">
        <w:rPr>
          <w:sz w:val="12"/>
        </w:rPr>
        <w:t xml:space="preserve"> once they reenter open society. </w:t>
      </w:r>
      <w:r w:rsidRPr="00487C96">
        <w:rPr>
          <w:rStyle w:val="StyleUnderline"/>
        </w:rPr>
        <w:t>Other criminal sanctions</w:t>
      </w:r>
      <w:r w:rsidRPr="006479F3">
        <w:rPr>
          <w:sz w:val="12"/>
        </w:rPr>
        <w:t xml:space="preserve"> that </w:t>
      </w:r>
      <w:r w:rsidRPr="00487C96">
        <w:rPr>
          <w:rStyle w:val="Emphasis"/>
        </w:rPr>
        <w:t>significantly reduce the rights and privileges of citizenship and legal residency comprise an “invisible punishment” with far-reaching consequences</w:t>
      </w:r>
      <w:r w:rsidRPr="006479F3">
        <w:rPr>
          <w:sz w:val="12"/>
        </w:rPr>
        <w:t xml:space="preserve">.24 </w:t>
      </w:r>
      <w:r w:rsidRPr="00487C96">
        <w:rPr>
          <w:rStyle w:val="StyleUnderline"/>
        </w:rPr>
        <w:t>Fourteen states permanently deny convicted felons the right to vote</w:t>
      </w:r>
      <w:r w:rsidRPr="006479F3">
        <w:rPr>
          <w:sz w:val="12"/>
        </w:rPr>
        <w:t xml:space="preserve">, 19 states allow the </w:t>
      </w:r>
      <w:r w:rsidRPr="00487C96">
        <w:rPr>
          <w:rStyle w:val="StyleUnderline"/>
        </w:rPr>
        <w:t>termination of parental rights</w:t>
      </w:r>
      <w:r w:rsidRPr="006479F3">
        <w:rPr>
          <w:sz w:val="12"/>
        </w:rPr>
        <w:t xml:space="preserve">, 29 states establish a felony conviction as grounds for divorce, and 25 states restrict the rights of ex-offenders to hold political office. Lawful permanent residents who are convicted of a felony risk being deported. Moreover, </w:t>
      </w:r>
      <w:r w:rsidRPr="00487C96">
        <w:rPr>
          <w:rStyle w:val="Emphasis"/>
        </w:rPr>
        <w:t>there is widespread refusal of federal benefits, including denial of access to student loans, revocation of drivers’ licenses, and bans on welfare, food stamp, and public housing eligibility</w:t>
      </w:r>
      <w:r w:rsidRPr="006479F3">
        <w:rPr>
          <w:sz w:val="12"/>
        </w:rPr>
        <w:t xml:space="preserve">.18 </w:t>
      </w:r>
      <w:r w:rsidRPr="00DA09E2">
        <w:rPr>
          <w:rStyle w:val="StyleUnderline"/>
        </w:rPr>
        <w:t>The returning prisoner’s search for permanent, sustainable housing is a daunting challenge</w:t>
      </w:r>
      <w:r w:rsidRPr="006479F3">
        <w:rPr>
          <w:sz w:val="12"/>
        </w:rPr>
        <w:t xml:space="preserve">—one </w:t>
      </w:r>
      <w:r w:rsidRPr="00DA09E2">
        <w:rPr>
          <w:rStyle w:val="Emphasis"/>
        </w:rPr>
        <w:t>that portends success or failure for the entire reintegration process</w:t>
      </w:r>
      <w:r w:rsidRPr="006479F3">
        <w:rPr>
          <w:sz w:val="12"/>
        </w:rPr>
        <w:t xml:space="preserve">. . . . </w:t>
      </w:r>
      <w:r w:rsidRPr="00DA09E2">
        <w:rPr>
          <w:rStyle w:val="Emphasis"/>
        </w:rPr>
        <w:t>Housing is the linchpin that holds the reintegration process together.</w:t>
      </w:r>
      <w:r w:rsidRPr="006479F3">
        <w:rPr>
          <w:sz w:val="12"/>
        </w:rPr>
        <w:t xml:space="preserve"> </w:t>
      </w:r>
      <w:r w:rsidRPr="00DA09E2">
        <w:rPr>
          <w:rStyle w:val="StyleUnderline"/>
        </w:rPr>
        <w:t>Without a stable residence, continuity in substance abuse and mental health treatment is compromised</w:t>
      </w:r>
      <w:r w:rsidRPr="006479F3">
        <w:rPr>
          <w:sz w:val="12"/>
        </w:rPr>
        <w:t xml:space="preserve">. </w:t>
      </w:r>
      <w:r w:rsidRPr="00DA09E2">
        <w:rPr>
          <w:rStyle w:val="StyleUnderline"/>
        </w:rPr>
        <w:t>Employment is often contingent upon a fixed living arrangement</w:t>
      </w:r>
      <w:r w:rsidRPr="006479F3">
        <w:rPr>
          <w:sz w:val="12"/>
        </w:rPr>
        <w:t xml:space="preserve">. And, in the end, a polity that does not concern itself with the housing needs of returning prisoners finds that it has done so at the expense of its own public safety.25(p2) Despite the fact that the quality and accessibility of housing has an impact on health, very little is known about the housing arrangements of former prisoners.26,27 The Bureau of Justice Statistics reported that 12% of US prisoners were homeless immediately before their incarceration.22 In 2002, Time magazine reported, “30% to 50% of big-city parolees are homeless.”28 In January 2004, New York City’s Department of Homeless Services reported that more than 30% of single adults who entered shelters were recently released from correctional institutions.29 </w:t>
      </w:r>
      <w:r w:rsidRPr="00DA09E2">
        <w:rPr>
          <w:rStyle w:val="StyleUnderline"/>
        </w:rPr>
        <w:t>Many of these individuals continually cycle between incarceration and shelters</w:t>
      </w:r>
      <w:r w:rsidRPr="006479F3">
        <w:rPr>
          <w:sz w:val="12"/>
        </w:rPr>
        <w:t xml:space="preserve">. For example, prisoners who serve time in upstate New York are far removed from their return destination in New York City and consequently do not have the opportunity to locate and secure housing before they are released. Some </w:t>
      </w:r>
      <w:r w:rsidRPr="00DA09E2">
        <w:rPr>
          <w:rStyle w:val="StyleUnderline"/>
        </w:rPr>
        <w:t>parole conditions</w:t>
      </w:r>
      <w:r w:rsidRPr="006479F3">
        <w:rPr>
          <w:sz w:val="12"/>
        </w:rPr>
        <w:t xml:space="preserve"> limit the parolee’s ability to live apart from others who are participating in criminal activity. Such restrictions may preclude living with family and friends who offer shelter, which further </w:t>
      </w:r>
      <w:r w:rsidRPr="00DA09E2">
        <w:rPr>
          <w:rStyle w:val="StyleUnderline"/>
        </w:rPr>
        <w:t>depletes housing options</w:t>
      </w:r>
      <w:r w:rsidRPr="006479F3">
        <w:rPr>
          <w:sz w:val="12"/>
        </w:rPr>
        <w:t xml:space="preserve">. Moreover, </w:t>
      </w:r>
      <w:r w:rsidRPr="00DA09E2">
        <w:rPr>
          <w:rStyle w:val="StyleUnderline"/>
        </w:rPr>
        <w:t>federal regulations allow the Public Housing Authority to prohibit admission to individuals who have engaged in criminal activity</w:t>
      </w:r>
      <w:r w:rsidRPr="006479F3">
        <w:rPr>
          <w:sz w:val="12"/>
        </w:rPr>
        <w:t xml:space="preserve">.30 These restrictions, combined with the fact that </w:t>
      </w:r>
      <w:r w:rsidRPr="00DA09E2">
        <w:rPr>
          <w:rStyle w:val="StyleUnderline"/>
        </w:rPr>
        <w:t>the inventory of public housing continues to shrink</w:t>
      </w:r>
      <w:r w:rsidRPr="006479F3">
        <w:rPr>
          <w:sz w:val="12"/>
        </w:rPr>
        <w:t xml:space="preserve">, mean that parolees are seldom allowed to live in public housing. </w:t>
      </w:r>
      <w:r w:rsidRPr="00DA09E2">
        <w:rPr>
          <w:rStyle w:val="Emphasis"/>
        </w:rPr>
        <w:t>Lack of housing tenure has an impact on recidivism rates</w:t>
      </w:r>
      <w:r w:rsidRPr="006479F3">
        <w:rPr>
          <w:sz w:val="12"/>
        </w:rPr>
        <w:t xml:space="preserve">, and some criminologists suggest that </w:t>
      </w:r>
      <w:r w:rsidRPr="00DA09E2">
        <w:rPr>
          <w:rStyle w:val="StyleUnderline"/>
        </w:rPr>
        <w:t>there are greater consequences because parolees’ state of homelessness may ultimately have an impact on the community’s overall crime rate</w:t>
      </w:r>
      <w:r w:rsidRPr="006479F3">
        <w:rPr>
          <w:sz w:val="12"/>
        </w:rPr>
        <w:t xml:space="preserve">.31 Moreover, </w:t>
      </w:r>
      <w:r w:rsidRPr="00DA09E2">
        <w:rPr>
          <w:rStyle w:val="StyleUnderline"/>
        </w:rPr>
        <w:t>this situation creates a sense of displacement</w:t>
      </w:r>
      <w:r w:rsidRPr="006479F3">
        <w:rPr>
          <w:sz w:val="12"/>
        </w:rPr>
        <w:t xml:space="preserve"> for many ex-inmates, who report </w:t>
      </w:r>
      <w:r w:rsidRPr="00DA09E2">
        <w:rPr>
          <w:rStyle w:val="Emphasis"/>
        </w:rPr>
        <w:t>feelings of alienation and despair that further disconnects them, and those who are marginalized, from any collectivist framework that fosters a sense of community and well-being</w:t>
      </w:r>
      <w:r w:rsidRPr="006479F3">
        <w:rPr>
          <w:sz w:val="12"/>
        </w:rPr>
        <w:t xml:space="preserve">.32 NEIGHBORHOOD EFFECTS AND SOCIAL CONSEQUENCES The social characteristics of neighborhoods, for example, </w:t>
      </w:r>
      <w:r w:rsidRPr="00DA09E2">
        <w:rPr>
          <w:rStyle w:val="Emphasis"/>
        </w:rPr>
        <w:t>the rates of those living at the poverty level or below, and residential instability influence both perceived and actual levels of crime, public safety, and public health</w:t>
      </w:r>
      <w:r w:rsidRPr="006479F3">
        <w:rPr>
          <w:sz w:val="12"/>
        </w:rPr>
        <w:t xml:space="preserve">. W. J. Wilson cited evidence that when communities are forced to accommodate more ex-inmates than their social networks and systems can support, community norms begin to change, disorder and incivility increase, citizens move out of the area, and crime and violence rates rise.33 Some theorists contend that crime often becomes worse when people are afraid to go out on streets defaced by graffiti or frequented by transients and loitering youths. James Q. Wilson and George L. </w:t>
      </w:r>
      <w:proofErr w:type="spellStart"/>
      <w:r w:rsidRPr="006479F3">
        <w:rPr>
          <w:sz w:val="12"/>
        </w:rPr>
        <w:t>Kelling</w:t>
      </w:r>
      <w:proofErr w:type="spellEnd"/>
      <w:r w:rsidRPr="006479F3">
        <w:rPr>
          <w:sz w:val="12"/>
        </w:rPr>
        <w:t xml:space="preserve"> described this phenomenon by demonstrating an association between crime rates and the number of broken windows in the community that remain unrepaired. These broken windows may indicate a lack of interest in maintaining clean, safe neighborhoods, and it may be the neighborhoods that have high rates of broken windows that are most likely to have high rates of graffiti, panhandling, poor health outcomes, and, ultimately, crime.26,34 </w:t>
      </w:r>
      <w:r w:rsidRPr="00DA09E2">
        <w:rPr>
          <w:rStyle w:val="StyleUnderline"/>
        </w:rPr>
        <w:t>Returning prisoners affect and are affected by this deterioration of community life</w:t>
      </w:r>
      <w:r w:rsidRPr="006479F3">
        <w:rPr>
          <w:sz w:val="12"/>
        </w:rPr>
        <w:t xml:space="preserve">. For example, a transfer of moral authority may occur in which “street smart” young men, for whom drugs and crime are a way of life, are vested with great power and influence. </w:t>
      </w:r>
      <w:r w:rsidRPr="00DA09E2">
        <w:rPr>
          <w:rStyle w:val="StyleUnderline"/>
        </w:rPr>
        <w:t>Those paradigms of power and oppression associated with the prison apparatus are brought to the street where “family caretakers and role models disappear or decline in influence</w:t>
      </w:r>
      <w:r w:rsidRPr="006479F3">
        <w:rPr>
          <w:sz w:val="12"/>
        </w:rPr>
        <w:t xml:space="preserve">, and as unemployment and poverty become more persistent, the community, particularly its children, become vulnerable to a variety of social ills including crime, drugs, family disorganization, generalized demoralization and unemployment.”29(p4) Furthermore, </w:t>
      </w:r>
      <w:r w:rsidRPr="00DA09E2">
        <w:rPr>
          <w:rStyle w:val="StyleUnderline"/>
        </w:rPr>
        <w:t>the experiential association between the structural violence of inequality and the overt violence on the street has a negative impact on both individual and collective-health outcomes.</w:t>
      </w:r>
    </w:p>
    <w:p w14:paraId="1E2C7E70" w14:textId="77777777" w:rsidR="007E6B8C" w:rsidRDefault="007E6B8C" w:rsidP="00AA5690"/>
    <w:p w14:paraId="18AAA152" w14:textId="77777777" w:rsidR="007E6B8C" w:rsidRPr="00995398" w:rsidRDefault="007E6B8C" w:rsidP="00AA5690"/>
    <w:p w14:paraId="388C6E1F" w14:textId="77777777" w:rsidR="00AA5690" w:rsidRPr="00AA5690" w:rsidRDefault="00AA5690" w:rsidP="00AA5690"/>
    <w:p w14:paraId="0B7E5BE3" w14:textId="5DC4BBB7" w:rsidR="008550B5" w:rsidRDefault="00371F90" w:rsidP="000A50D5">
      <w:pPr>
        <w:pStyle w:val="Heading2"/>
      </w:pPr>
      <w:r>
        <w:t>Solvency</w:t>
      </w:r>
    </w:p>
    <w:p w14:paraId="5F624667" w14:textId="5833BEF9" w:rsidR="007A080F" w:rsidRDefault="007A080F" w:rsidP="007A080F"/>
    <w:p w14:paraId="54324354" w14:textId="2B933361" w:rsidR="007A080F" w:rsidRDefault="007A080F" w:rsidP="007A080F">
      <w:pPr>
        <w:pStyle w:val="Heading3"/>
      </w:pPr>
      <w:r>
        <w:t xml:space="preserve">Short 2AC Solvency </w:t>
      </w:r>
    </w:p>
    <w:p w14:paraId="4926D386" w14:textId="718D99DD" w:rsidR="007A080F" w:rsidRDefault="007A080F" w:rsidP="007A080F"/>
    <w:p w14:paraId="6054997C" w14:textId="72BEDAEC" w:rsidR="007A080F" w:rsidRDefault="00214320" w:rsidP="00214320">
      <w:pPr>
        <w:pStyle w:val="Heading4"/>
      </w:pPr>
      <w:r>
        <w:t xml:space="preserve">Applying heightened review </w:t>
      </w:r>
      <w:r w:rsidR="00642A6B">
        <w:t>to CC’s causes those not tailored to be overturned</w:t>
      </w:r>
    </w:p>
    <w:p w14:paraId="1EE1738B" w14:textId="77777777" w:rsidR="00642A6B" w:rsidRPr="00642A6B" w:rsidRDefault="00642A6B" w:rsidP="00642A6B"/>
    <w:p w14:paraId="331C2BEC" w14:textId="77777777" w:rsidR="007A080F" w:rsidRPr="00D45A48" w:rsidRDefault="007A080F" w:rsidP="007A080F">
      <w:pPr>
        <w:rPr>
          <w:rStyle w:val="Style13ptBold"/>
        </w:rPr>
      </w:pPr>
      <w:r w:rsidRPr="00D45A48">
        <w:rPr>
          <w:rStyle w:val="Style13ptBold"/>
        </w:rPr>
        <w:t>Mayson ‘15</w:t>
      </w:r>
    </w:p>
    <w:p w14:paraId="62AA3AF5" w14:textId="23353387" w:rsidR="007A080F" w:rsidRDefault="007A080F" w:rsidP="007A080F">
      <w:r>
        <w:t xml:space="preserve">(Sandra G, University of Pennsylvania Law School, “Collateral Consequences and the Preventive State,” </w:t>
      </w:r>
      <w:proofErr w:type="spellStart"/>
      <w:r>
        <w:t>pg</w:t>
      </w:r>
      <w:proofErr w:type="spellEnd"/>
      <w:r>
        <w:t xml:space="preserve"> online @ </w:t>
      </w:r>
      <w:hyperlink r:id="rId53" w:history="1">
        <w:r w:rsidRPr="00944694">
          <w:rPr>
            <w:rStyle w:val="Hyperlink"/>
          </w:rPr>
          <w:t>https://scholarship.law.nd.edu/cgi/viewcontent.cgi?article=4627&amp;context=ndlr</w:t>
        </w:r>
      </w:hyperlink>
      <w:r>
        <w:rPr>
          <w:rStyle w:val="Hyperlink"/>
        </w:rPr>
        <w:t>)</w:t>
      </w:r>
    </w:p>
    <w:p w14:paraId="43CE35B5" w14:textId="1A631D5E" w:rsidR="007A080F" w:rsidRPr="00214320" w:rsidRDefault="007A080F" w:rsidP="007A080F">
      <w:pPr>
        <w:rPr>
          <w:sz w:val="14"/>
        </w:rPr>
      </w:pPr>
      <w:r w:rsidRPr="00214320">
        <w:rPr>
          <w:sz w:val="14"/>
        </w:rPr>
        <w:t xml:space="preserve">Part IV addresses the question of what role criminal and constitutional law should play in limiting CCs, so understood. It argues that, </w:t>
      </w:r>
      <w:r w:rsidRPr="00214320">
        <w:rPr>
          <w:rStyle w:val="StyleUnderline"/>
        </w:rPr>
        <w:t>procedurally, sentencing courts should consider CCs as context in imposing punishment</w:t>
      </w:r>
      <w:r w:rsidRPr="00214320">
        <w:rPr>
          <w:sz w:val="14"/>
        </w:rPr>
        <w:t xml:space="preserve"> (but not as part of the punishment itself). </w:t>
      </w:r>
      <w:r w:rsidRPr="00214320">
        <w:rPr>
          <w:rStyle w:val="StyleUnderline"/>
        </w:rPr>
        <w:t>Substantively, CCs should trigger</w:t>
      </w:r>
      <w:r w:rsidRPr="00214320">
        <w:rPr>
          <w:sz w:val="14"/>
        </w:rPr>
        <w:t xml:space="preserve"> </w:t>
      </w:r>
      <w:r w:rsidRPr="00214320">
        <w:rPr>
          <w:rStyle w:val="Emphasis"/>
        </w:rPr>
        <w:t>heightened review</w:t>
      </w:r>
      <w:r w:rsidRPr="00214320">
        <w:rPr>
          <w:sz w:val="14"/>
        </w:rPr>
        <w:t xml:space="preserve"> </w:t>
      </w:r>
      <w:r w:rsidRPr="00214320">
        <w:rPr>
          <w:rStyle w:val="StyleUnderline"/>
        </w:rPr>
        <w:t>in the realm of</w:t>
      </w:r>
      <w:r w:rsidRPr="00214320">
        <w:rPr>
          <w:sz w:val="14"/>
        </w:rPr>
        <w:t xml:space="preserve"> </w:t>
      </w:r>
      <w:r w:rsidRPr="00214320">
        <w:rPr>
          <w:rStyle w:val="Emphasis"/>
        </w:rPr>
        <w:t>equal protection</w:t>
      </w:r>
      <w:r w:rsidRPr="00214320">
        <w:rPr>
          <w:sz w:val="14"/>
        </w:rPr>
        <w:t xml:space="preserve"> </w:t>
      </w:r>
      <w:r w:rsidRPr="00214320">
        <w:rPr>
          <w:rStyle w:val="Emphasis"/>
        </w:rPr>
        <w:t>or substantive due process</w:t>
      </w:r>
      <w:r w:rsidRPr="00214320">
        <w:rPr>
          <w:sz w:val="14"/>
        </w:rPr>
        <w:t xml:space="preserve">. The Article suggests </w:t>
      </w:r>
      <w:r w:rsidRPr="00214320">
        <w:rPr>
          <w:rStyle w:val="StyleUnderline"/>
        </w:rPr>
        <w:t>two novel doctrinal arguments for why this is so</w:t>
      </w:r>
      <w:r w:rsidRPr="00214320">
        <w:rPr>
          <w:sz w:val="14"/>
        </w:rPr>
        <w:t xml:space="preserve">. </w:t>
      </w:r>
      <w:r w:rsidRPr="00214320">
        <w:rPr>
          <w:rStyle w:val="StyleUnderline"/>
        </w:rPr>
        <w:t>Heightened scrutiny would require the state to demonstrate that the CC at issue is a reasonable means of accomplishing its public safety goal; that analysis could consider the severity and likelihood of the feared harm, the onerousness of the CC, and the availability of less restrictive alternatives</w:t>
      </w:r>
      <w:r w:rsidRPr="00214320">
        <w:rPr>
          <w:sz w:val="14"/>
        </w:rPr>
        <w:t xml:space="preserve">. </w:t>
      </w:r>
      <w:r w:rsidRPr="00214320">
        <w:rPr>
          <w:rStyle w:val="StyleUnderline"/>
        </w:rPr>
        <w:t xml:space="preserve">Under heightened scrutiny, </w:t>
      </w:r>
      <w:r w:rsidRPr="00214320">
        <w:rPr>
          <w:rStyle w:val="Emphasis"/>
        </w:rPr>
        <w:t>some CCs would survive</w:t>
      </w:r>
      <w:r w:rsidRPr="00214320">
        <w:rPr>
          <w:rStyle w:val="StyleUnderline"/>
        </w:rPr>
        <w:t>-those that are tailored in</w:t>
      </w:r>
      <w:r w:rsidRPr="00214320">
        <w:rPr>
          <w:sz w:val="14"/>
        </w:rPr>
        <w:t xml:space="preserve"> </w:t>
      </w:r>
      <w:r w:rsidRPr="00214320">
        <w:rPr>
          <w:rStyle w:val="Emphasis"/>
        </w:rPr>
        <w:t>scope</w:t>
      </w:r>
      <w:r w:rsidRPr="00214320">
        <w:rPr>
          <w:sz w:val="14"/>
        </w:rPr>
        <w:t xml:space="preserve">, </w:t>
      </w:r>
      <w:r w:rsidRPr="00214320">
        <w:rPr>
          <w:rStyle w:val="Emphasis"/>
        </w:rPr>
        <w:t>duration</w:t>
      </w:r>
      <w:r w:rsidRPr="00214320">
        <w:rPr>
          <w:sz w:val="14"/>
        </w:rPr>
        <w:t xml:space="preserve">, </w:t>
      </w:r>
      <w:r w:rsidRPr="00214320">
        <w:rPr>
          <w:rStyle w:val="Emphasis"/>
        </w:rPr>
        <w:t>form,</w:t>
      </w:r>
      <w:r w:rsidRPr="00214320">
        <w:rPr>
          <w:sz w:val="14"/>
        </w:rPr>
        <w:t xml:space="preserve"> </w:t>
      </w:r>
      <w:r w:rsidRPr="00214320">
        <w:rPr>
          <w:rStyle w:val="Emphasis"/>
        </w:rPr>
        <w:t>and procedure</w:t>
      </w:r>
      <w:r w:rsidRPr="00214320">
        <w:rPr>
          <w:sz w:val="14"/>
        </w:rPr>
        <w:t xml:space="preserve"> </w:t>
      </w:r>
      <w:r w:rsidRPr="00214320">
        <w:rPr>
          <w:rStyle w:val="StyleUnderline"/>
        </w:rPr>
        <w:t xml:space="preserve">to their public safety ends. </w:t>
      </w:r>
      <w:r w:rsidRPr="00214320">
        <w:rPr>
          <w:rStyle w:val="Emphasis"/>
        </w:rPr>
        <w:t>Most CCs, however, would not.</w:t>
      </w:r>
    </w:p>
    <w:p w14:paraId="2ED8ECC9" w14:textId="77777777" w:rsidR="007A080F" w:rsidRPr="007A080F" w:rsidRDefault="007A080F" w:rsidP="007A080F"/>
    <w:p w14:paraId="7F9542C5" w14:textId="400E11D4" w:rsidR="001C01F9" w:rsidRDefault="001C01F9" w:rsidP="001C01F9"/>
    <w:p w14:paraId="76CEDA8A" w14:textId="081A9633" w:rsidR="001C01F9" w:rsidRDefault="001C01F9" w:rsidP="001C01F9">
      <w:pPr>
        <w:pStyle w:val="Heading3"/>
      </w:pPr>
      <w:r>
        <w:t xml:space="preserve">2AC Regulation Solvency </w:t>
      </w:r>
    </w:p>
    <w:p w14:paraId="7F00D51A" w14:textId="77777777" w:rsidR="001C01F9" w:rsidRPr="001C01F9" w:rsidRDefault="001C01F9" w:rsidP="001C01F9"/>
    <w:p w14:paraId="7881DFC5" w14:textId="77777777" w:rsidR="001C01F9" w:rsidRDefault="001C01F9" w:rsidP="001C01F9">
      <w:pPr>
        <w:pStyle w:val="Heading4"/>
      </w:pPr>
      <w:r>
        <w:t xml:space="preserve">The </w:t>
      </w:r>
      <w:proofErr w:type="spellStart"/>
      <w:r>
        <w:t>aff</w:t>
      </w:r>
      <w:proofErr w:type="spellEnd"/>
      <w:r>
        <w:t xml:space="preserve"> interprets collateral consequences as a form of preventive restraint – it forces sentencing judges to consider them as context for punishment which is necessary for fair and proportionate sentences </w:t>
      </w:r>
    </w:p>
    <w:p w14:paraId="29728FE3" w14:textId="77777777" w:rsidR="001C01F9" w:rsidRPr="00E15B0C" w:rsidRDefault="001C01F9" w:rsidP="001C01F9">
      <w:r w:rsidRPr="005B27C5">
        <w:rPr>
          <w:b/>
        </w:rPr>
        <w:t>Mayson 15</w:t>
      </w:r>
      <w:r>
        <w:rPr>
          <w:b/>
        </w:rPr>
        <w:t xml:space="preserve"> </w:t>
      </w:r>
      <w:r>
        <w:t xml:space="preserve">(Sandra, </w:t>
      </w:r>
      <w:r w:rsidRPr="005B27C5">
        <w:t xml:space="preserve">Research Fellow, </w:t>
      </w:r>
      <w:proofErr w:type="spellStart"/>
      <w:r w:rsidRPr="005B27C5">
        <w:t>Quattrone</w:t>
      </w:r>
      <w:proofErr w:type="spellEnd"/>
      <w:r w:rsidRPr="005B27C5">
        <w:t xml:space="preserve"> Center for the Fair Administration of Justice, University of Pennsylvania Law School</w:t>
      </w:r>
      <w:r>
        <w:t>, “</w:t>
      </w:r>
      <w:r w:rsidRPr="005B27C5">
        <w:t>Collateral Consequences and the Preventive State</w:t>
      </w:r>
      <w:r>
        <w:t xml:space="preserve">,” Notre Dame Law Review, vol 91, article 6) </w:t>
      </w:r>
    </w:p>
    <w:p w14:paraId="2B06D31B" w14:textId="77777777" w:rsidR="001C01F9" w:rsidRDefault="001C01F9" w:rsidP="001C01F9">
      <w:r w:rsidRPr="0089095E">
        <w:t xml:space="preserve">The central point here is that </w:t>
      </w:r>
      <w:r w:rsidRPr="00E15B0C">
        <w:rPr>
          <w:rStyle w:val="StyleUnderline"/>
        </w:rPr>
        <w:t xml:space="preserve">courts have reached a defensible result in finding most CCs not to constitute punishment. Where they have gone very wrong is in concluding that, </w:t>
      </w:r>
      <w:r w:rsidRPr="000D797F">
        <w:rPr>
          <w:rStyle w:val="Emphasis"/>
        </w:rPr>
        <w:t>as regulation, CCs are benign</w:t>
      </w:r>
      <w:r w:rsidRPr="00E15B0C">
        <w:rPr>
          <w:rStyle w:val="StyleUnderline"/>
        </w:rPr>
        <w:t>. That CCs are predictive risk regulations does not make them innocuous. On the contrary: it means that they contravene the respect for individual agency that criminal and constitutional law proclaim. What has bee</w:t>
      </w:r>
      <w:r>
        <w:rPr>
          <w:rStyle w:val="StyleUnderline"/>
        </w:rPr>
        <w:t xml:space="preserve">n lacking is a </w:t>
      </w:r>
      <w:r w:rsidRPr="000D797F">
        <w:rPr>
          <w:rStyle w:val="Emphasis"/>
        </w:rPr>
        <w:t xml:space="preserve">robust jurisprudence of preventive restraint. </w:t>
      </w:r>
      <w:r>
        <w:t>The last Part explores what oversight of CCs, classified as preventive restraint, might look like.</w:t>
      </w:r>
    </w:p>
    <w:p w14:paraId="3FDD6BE7" w14:textId="77777777" w:rsidR="001C01F9" w:rsidRDefault="001C01F9" w:rsidP="001C01F9">
      <w:r>
        <w:t>IV. CCS AS PREVENTIVE RESTRAINT</w:t>
      </w:r>
    </w:p>
    <w:p w14:paraId="2C81667E" w14:textId="77777777" w:rsidR="001C01F9" w:rsidRDefault="001C01F9" w:rsidP="001C01F9">
      <w:r>
        <w:t xml:space="preserve">Because preventive restraint is an under-theorized form of social control, and because scholars who have addressed contemporary CCs as a composite phenomenon have generally advocated the punishment approach, there has been no in-depth effort to describe how constitutional law and criminal procedure should constrain CCs if they are understood instead as predictive restraints.227 This Part makes a first attempt, limiting the discussion to federal law and to arguments that apply to CCs as a whole.228 </w:t>
      </w:r>
      <w:r w:rsidRPr="00E15B0C">
        <w:rPr>
          <w:rStyle w:val="StyleUnderline"/>
        </w:rPr>
        <w:t>It argues that, procedurally, the Sixth Amendment requires notice of certain CCs regardless of their classification as predicti</w:t>
      </w:r>
      <w:r>
        <w:rPr>
          <w:rStyle w:val="StyleUnderline"/>
        </w:rPr>
        <w:t>ve restraint, and that sentenc</w:t>
      </w:r>
      <w:r w:rsidRPr="00E15B0C">
        <w:rPr>
          <w:rStyle w:val="StyleUnderline"/>
        </w:rPr>
        <w:t>ing judges should consider CCs as context for the punishment they impose, but not as part of the punishment itself.</w:t>
      </w:r>
      <w:r>
        <w:t xml:space="preserve"> In terms of substantive constraint, </w:t>
      </w:r>
      <w:r w:rsidRPr="00E15B0C">
        <w:rPr>
          <w:rStyle w:val="StyleUnderline"/>
        </w:rPr>
        <w:t>any rational oversight should require the state to demonstrate that a challenged CC is an appropriately tailored means of preventing future harm, given its cost in liberty</w:t>
      </w:r>
      <w:r>
        <w:t>. The question is whether the Constitution requires such an analysis. This Part explores two arguments that it does—</w:t>
      </w:r>
      <w:r w:rsidRPr="003F504D">
        <w:rPr>
          <w:rStyle w:val="StyleUnderline"/>
        </w:rPr>
        <w:t xml:space="preserve">in doctrinal terms, that regulation by past-conviction status warrants heightened review for purposes of equal protection or substantive due process. </w:t>
      </w:r>
      <w:r w:rsidRPr="003F504D">
        <w:rPr>
          <w:rStyle w:val="Emphasis"/>
        </w:rPr>
        <w:t>A few CCs might survive heightened scrutiny. Most, however, would not.</w:t>
      </w:r>
      <w:r w:rsidRPr="003F504D">
        <w:rPr>
          <w:rStyle w:val="StyleUnderline"/>
        </w:rPr>
        <w:t xml:space="preserve"> </w:t>
      </w:r>
      <w:r>
        <w:t>A. Procedural Oversight</w:t>
      </w:r>
    </w:p>
    <w:p w14:paraId="7B45C6FD" w14:textId="77777777" w:rsidR="001C01F9" w:rsidRDefault="001C01F9" w:rsidP="001C01F9">
      <w:r>
        <w:t xml:space="preserve">To classify CCs as predictive restraints rather than punishment does not render them irrelevant to the criminal process. They are, after all, </w:t>
      </w:r>
      <w:proofErr w:type="spellStart"/>
      <w:r>
        <w:t>conse</w:t>
      </w:r>
      <w:proofErr w:type="spellEnd"/>
      <w:r>
        <w:t xml:space="preserve">- </w:t>
      </w:r>
      <w:proofErr w:type="spellStart"/>
      <w:r>
        <w:t>quences</w:t>
      </w:r>
      <w:proofErr w:type="spellEnd"/>
      <w:r>
        <w:t xml:space="preserve"> of conviction.</w:t>
      </w:r>
    </w:p>
    <w:p w14:paraId="3EEFC23C" w14:textId="77777777" w:rsidR="001C01F9" w:rsidRDefault="001C01F9" w:rsidP="001C01F9">
      <w:r>
        <w:t xml:space="preserve">For that reason, </w:t>
      </w:r>
      <w:r w:rsidRPr="003F504D">
        <w:rPr>
          <w:rStyle w:val="StyleUnderline"/>
        </w:rPr>
        <w:t>courts should interpret the Sixth Amendment and due process to require that defense counsel inform her client of the serious CCs that her conviction might trigger. This does not and should not turn on whether CCs are “punishment</w:t>
      </w:r>
      <w:r>
        <w:t xml:space="preserve">.” It is true that, before 2010, the Supreme Court had “declined to decide” whether the Sixth Amendment required defense counsel to inform her client of potential collateral consequences of a plea, and the lower courts had uniformly held not.230 But Padilla rejected “that categorical approach,”231 at least with respect to deportation.232 Lower courts, and eventually </w:t>
      </w:r>
      <w:r w:rsidRPr="003F504D">
        <w:rPr>
          <w:rStyle w:val="StyleUnderline"/>
        </w:rPr>
        <w:t>the Supreme Court, should now forsake the distinction between “collateral” and “direct” consequences in this context altogether.</w:t>
      </w:r>
      <w:r>
        <w:t xml:space="preserve"> At base, the notice doctrine derives from the due process requirement that a guilty plea be “intelligent” and “voluntary,” which depends in part on whether an accused person’s counsel has provided the effective assistance the Sixth Amendment guarantees.233 The question of whether it should extend to other CCs therefore depends on what effective assistance entails and the extent to which ignorance of a given CC might undermine the voluntariness of a plea. That CCs themselves do not constitute “punishment” is irrelevant.234</w:t>
      </w:r>
    </w:p>
    <w:p w14:paraId="0EFB480C" w14:textId="77777777" w:rsidR="001C01F9" w:rsidRPr="0089095E" w:rsidRDefault="001C01F9" w:rsidP="001C01F9">
      <w:r w:rsidRPr="003F504D">
        <w:rPr>
          <w:rStyle w:val="StyleUnderline"/>
        </w:rPr>
        <w:t>Sentencing judges</w:t>
      </w:r>
      <w:r w:rsidRPr="00E15B0C">
        <w:t xml:space="preserve">, for similar reasons, </w:t>
      </w:r>
      <w:r w:rsidRPr="003F504D">
        <w:rPr>
          <w:rStyle w:val="StyleUnderline"/>
        </w:rPr>
        <w:t>should always consider potential CCs when crafting and imposing punishment—but not, as the ABA and the ALI propose, as part of the punishment for an offense. They should instead consider CCs as context for the punishment. It is important that they do. To ignore CCs is to ignore what may be the most important consequence of conviction for the person sentenced. If the goals of punishment include deterring her from future crimes, or facilitating</w:t>
      </w:r>
      <w:r>
        <w:rPr>
          <w:rStyle w:val="StyleUnderline"/>
        </w:rPr>
        <w:t xml:space="preserve"> her rehabilitation, considera</w:t>
      </w:r>
      <w:r w:rsidRPr="003F504D">
        <w:rPr>
          <w:rStyle w:val="StyleUnderline"/>
        </w:rPr>
        <w:t>tion of CCs is essential. A judge cannot assess what kind of sentence will best assist a person in developing a stable, productive life without considering her circumstances and the obstacles she will confront. Likewise, it is impossible to analyze what sentence is sufficient to deter a person from future crimes without considering what her future life circumstances will be.</w:t>
      </w:r>
      <w:r w:rsidRPr="00E15B0C">
        <w:t xml:space="preserve"> Throughout, though, </w:t>
      </w:r>
      <w:r w:rsidRPr="003F504D">
        <w:rPr>
          <w:rStyle w:val="Emphasis"/>
        </w:rPr>
        <w:t>judges should maintain a clear conceptual distinction between the sanctions they impose as punishment and restraints imposed</w:t>
      </w:r>
      <w:r>
        <w:rPr>
          <w:rStyle w:val="Emphasis"/>
        </w:rPr>
        <w:t xml:space="preserve"> for other rea</w:t>
      </w:r>
      <w:r w:rsidRPr="003F504D">
        <w:rPr>
          <w:rStyle w:val="Emphasis"/>
        </w:rPr>
        <w:t>sons</w:t>
      </w:r>
      <w:r w:rsidRPr="003F504D">
        <w:rPr>
          <w:rStyle w:val="StyleUnderline"/>
        </w:rPr>
        <w:t xml:space="preserve">. This is necessary both for judges to craft punishment that reflects offenders’ fault </w:t>
      </w:r>
      <w:proofErr w:type="gramStart"/>
      <w:r w:rsidRPr="003F504D">
        <w:rPr>
          <w:rStyle w:val="StyleUnderline"/>
        </w:rPr>
        <w:t>and also</w:t>
      </w:r>
      <w:proofErr w:type="gramEnd"/>
      <w:r w:rsidRPr="003F504D">
        <w:rPr>
          <w:rStyle w:val="StyleUnderline"/>
        </w:rPr>
        <w:t xml:space="preserve"> to ensure that CCs are subject to independent constraints.</w:t>
      </w:r>
    </w:p>
    <w:p w14:paraId="66426EEE" w14:textId="77777777" w:rsidR="001C01F9" w:rsidRPr="001C01F9" w:rsidRDefault="001C01F9" w:rsidP="001C01F9"/>
    <w:p w14:paraId="4DDE49F9" w14:textId="77777777" w:rsidR="000E1943" w:rsidRDefault="000E1943" w:rsidP="000E1943">
      <w:pPr>
        <w:pStyle w:val="Heading3"/>
      </w:pPr>
      <w:r>
        <w:t xml:space="preserve">2AC Mayson Solvency </w:t>
      </w:r>
    </w:p>
    <w:p w14:paraId="63C8BF8E" w14:textId="77777777" w:rsidR="000E1943" w:rsidRDefault="000E1943" w:rsidP="000E1943"/>
    <w:p w14:paraId="27698C38" w14:textId="77777777" w:rsidR="000E1943" w:rsidRDefault="000E1943" w:rsidP="000E1943"/>
    <w:p w14:paraId="17350DD3" w14:textId="77777777" w:rsidR="000E1943" w:rsidRDefault="000E1943" w:rsidP="000E1943">
      <w:pPr>
        <w:pStyle w:val="Heading4"/>
      </w:pPr>
      <w:r>
        <w:t>The plan reorients constitutional doctrine---only it can create a model for proportionality in sentencing</w:t>
      </w:r>
    </w:p>
    <w:p w14:paraId="69600415" w14:textId="77777777" w:rsidR="000E1943" w:rsidRPr="00374F1F" w:rsidRDefault="000E1943" w:rsidP="000E1943">
      <w:pPr>
        <w:rPr>
          <w:rStyle w:val="Style13ptBold"/>
          <w:b w:val="0"/>
          <w:bCs w:val="0"/>
          <w:sz w:val="22"/>
          <w:szCs w:val="18"/>
        </w:rPr>
      </w:pPr>
      <w:r>
        <w:rPr>
          <w:rStyle w:val="Style13ptBold"/>
        </w:rPr>
        <w:t xml:space="preserve">Chin 18 </w:t>
      </w:r>
      <w:r>
        <w:rPr>
          <w:rStyle w:val="Style13ptBold"/>
          <w:b w:val="0"/>
          <w:bCs w:val="0"/>
          <w:sz w:val="22"/>
          <w:szCs w:val="18"/>
        </w:rPr>
        <w:t>(</w:t>
      </w:r>
      <w:r w:rsidRPr="005E46A4">
        <w:t>Gabriel "Jack" Chin is a teacher and scholar of Immigration Law, Criminal Procedure, and Race and Law at UC Davis School of Law,</w:t>
      </w:r>
      <w:r>
        <w:t xml:space="preserve"> “Collateral Consequences and Criminal Justice: Future Policy and Constitutional Directions”, Fall 2018, p. 256-</w:t>
      </w:r>
      <w:proofErr w:type="gramStart"/>
      <w:r>
        <w:t>259)</w:t>
      </w:r>
      <w:proofErr w:type="spellStart"/>
      <w:r>
        <w:t>kiihnl</w:t>
      </w:r>
      <w:proofErr w:type="spellEnd"/>
      <w:proofErr w:type="gramEnd"/>
    </w:p>
    <w:p w14:paraId="23898ED2" w14:textId="77777777" w:rsidR="000E1943" w:rsidRPr="00374F1F" w:rsidRDefault="000E1943" w:rsidP="000E1943">
      <w:pPr>
        <w:rPr>
          <w:sz w:val="16"/>
          <w:szCs w:val="16"/>
        </w:rPr>
      </w:pPr>
      <w:r w:rsidRPr="00374F1F">
        <w:rPr>
          <w:sz w:val="16"/>
          <w:szCs w:val="16"/>
        </w:rPr>
        <w:t>C. New Constitutional Arguments</w:t>
      </w:r>
    </w:p>
    <w:p w14:paraId="6F38C50F" w14:textId="77777777" w:rsidR="000E1943" w:rsidRPr="00CD7810" w:rsidRDefault="000E1943" w:rsidP="000E1943">
      <w:pPr>
        <w:rPr>
          <w:b/>
          <w:bCs/>
          <w:u w:val="single"/>
        </w:rPr>
      </w:pPr>
      <w:r w:rsidRPr="00374F1F">
        <w:rPr>
          <w:sz w:val="16"/>
          <w:szCs w:val="16"/>
        </w:rPr>
        <w:t xml:space="preserve"> In addition to cases, there is also a body of legal scholarship trying to generate more cases, arguing that in various ways </w:t>
      </w:r>
      <w:r w:rsidRPr="005C4464">
        <w:rPr>
          <w:b/>
          <w:bCs/>
          <w:highlight w:val="cyan"/>
          <w:u w:val="single"/>
        </w:rPr>
        <w:t>constitutional doctrine should scrutinize collateral consequences more closely</w:t>
      </w:r>
      <w:r w:rsidRPr="00CD7810">
        <w:rPr>
          <w:b/>
          <w:bCs/>
          <w:u w:val="single"/>
        </w:rPr>
        <w:t>.</w:t>
      </w:r>
    </w:p>
    <w:p w14:paraId="6FECC82F" w14:textId="77777777" w:rsidR="000E1943" w:rsidRPr="00080523" w:rsidRDefault="000E1943" w:rsidP="000E1943">
      <w:pPr>
        <w:rPr>
          <w:b/>
          <w:bCs/>
          <w:u w:val="single"/>
        </w:rPr>
      </w:pPr>
      <w:r w:rsidRPr="00080523">
        <w:rPr>
          <w:b/>
          <w:bCs/>
          <w:u w:val="single"/>
        </w:rPr>
        <w:t>1. Proportionality</w:t>
      </w:r>
    </w:p>
    <w:p w14:paraId="69C8971A" w14:textId="77777777" w:rsidR="000E1943" w:rsidRPr="00374F1F" w:rsidRDefault="000E1943" w:rsidP="000E1943">
      <w:pPr>
        <w:rPr>
          <w:sz w:val="16"/>
          <w:szCs w:val="16"/>
        </w:rPr>
      </w:pPr>
      <w:r w:rsidRPr="00374F1F">
        <w:t xml:space="preserve"> </w:t>
      </w:r>
      <w:r w:rsidRPr="00374F1F">
        <w:rPr>
          <w:sz w:val="16"/>
          <w:szCs w:val="16"/>
        </w:rPr>
        <w:t xml:space="preserve">One line of scholarly criticism of collateral consequences has argued that </w:t>
      </w:r>
      <w:r w:rsidRPr="00CD7810">
        <w:rPr>
          <w:b/>
          <w:bCs/>
          <w:u w:val="single"/>
        </w:rPr>
        <w:t xml:space="preserve">a </w:t>
      </w:r>
      <w:r w:rsidRPr="005C4464">
        <w:rPr>
          <w:b/>
          <w:bCs/>
          <w:highlight w:val="cyan"/>
          <w:u w:val="single"/>
        </w:rPr>
        <w:t>more searching standard of review should apply to collateral consequences</w:t>
      </w:r>
      <w:r w:rsidRPr="00CD7810">
        <w:rPr>
          <w:b/>
          <w:bCs/>
          <w:u w:val="single"/>
        </w:rPr>
        <w:t>.</w:t>
      </w:r>
      <w:r w:rsidRPr="00080523">
        <w:rPr>
          <w:b/>
          <w:bCs/>
          <w:u w:val="single"/>
        </w:rPr>
        <w:t xml:space="preserve"> </w:t>
      </w:r>
      <w:r w:rsidRPr="00374F1F">
        <w:t xml:space="preserve"> </w:t>
      </w:r>
      <w:r w:rsidRPr="00374F1F">
        <w:rPr>
          <w:sz w:val="16"/>
          <w:szCs w:val="16"/>
        </w:rPr>
        <w:footnoteReference w:customMarkFollows="1" w:id="186"/>
        <w:t>153</w:t>
      </w:r>
      <w:proofErr w:type="gramStart"/>
      <w:r w:rsidRPr="00374F1F">
        <w:rPr>
          <w:sz w:val="16"/>
          <w:szCs w:val="16"/>
        </w:rPr>
        <w:t xml:space="preserve">   [</w:t>
      </w:r>
      <w:proofErr w:type="gramEnd"/>
      <w:r w:rsidRPr="00374F1F">
        <w:rPr>
          <w:sz w:val="16"/>
          <w:szCs w:val="16"/>
        </w:rPr>
        <w:t xml:space="preserve">*257]  Sandra Mayson has argued that </w:t>
      </w:r>
      <w:r w:rsidRPr="005C4464">
        <w:rPr>
          <w:b/>
          <w:bCs/>
          <w:highlight w:val="cyan"/>
          <w:u w:val="single"/>
        </w:rPr>
        <w:t>collateral consequences should not be regarded as punishment, but instead as preventative risk regulation</w:t>
      </w:r>
      <w:r w:rsidRPr="00374F1F">
        <w:rPr>
          <w:sz w:val="16"/>
          <w:szCs w:val="16"/>
        </w:rPr>
        <w:t xml:space="preserve">.  </w:t>
      </w:r>
      <w:r w:rsidRPr="00374F1F">
        <w:rPr>
          <w:sz w:val="16"/>
          <w:szCs w:val="16"/>
        </w:rPr>
        <w:footnoteReference w:customMarkFollows="1" w:id="187"/>
        <w:t>154 However, given the presumption of liberty and moral agency, the reasonableness of the regulations should be tested:</w:t>
      </w:r>
    </w:p>
    <w:p w14:paraId="4F59AD2A" w14:textId="77777777" w:rsidR="000E1943" w:rsidRPr="00374F1F" w:rsidRDefault="000E1943" w:rsidP="000E1943">
      <w:pPr>
        <w:rPr>
          <w:sz w:val="16"/>
          <w:szCs w:val="16"/>
        </w:rPr>
      </w:pPr>
      <w:r w:rsidRPr="00080523">
        <w:rPr>
          <w:b/>
          <w:bCs/>
          <w:highlight w:val="cyan"/>
          <w:u w:val="single"/>
        </w:rPr>
        <w:t>Review would require the government to show</w:t>
      </w:r>
      <w:r w:rsidRPr="00374F1F">
        <w:rPr>
          <w:sz w:val="16"/>
          <w:szCs w:val="16"/>
        </w:rPr>
        <w:t>, at the least,</w:t>
      </w:r>
      <w:r w:rsidRPr="00374F1F">
        <w:t xml:space="preserve"> </w:t>
      </w:r>
      <w:r w:rsidRPr="00080523">
        <w:rPr>
          <w:b/>
          <w:bCs/>
          <w:u w:val="single"/>
        </w:rPr>
        <w:t xml:space="preserve">that </w:t>
      </w:r>
      <w:r w:rsidRPr="00080523">
        <w:rPr>
          <w:b/>
          <w:bCs/>
          <w:highlight w:val="cyan"/>
          <w:u w:val="single"/>
        </w:rPr>
        <w:t>the conviction classification was substantially related to an important government interest</w:t>
      </w:r>
      <w:r w:rsidRPr="00374F1F">
        <w:rPr>
          <w:sz w:val="16"/>
          <w:szCs w:val="16"/>
        </w:rPr>
        <w:t xml:space="preserve">. The core benefit would be to strip CCs of the presumption of constitutionality and require the defending government to explain the need, in context, for classifying people for disparate treatment </w:t>
      </w:r>
      <w:proofErr w:type="gramStart"/>
      <w:r w:rsidRPr="00374F1F">
        <w:rPr>
          <w:sz w:val="16"/>
          <w:szCs w:val="16"/>
        </w:rPr>
        <w:t>on the basis of</w:t>
      </w:r>
      <w:proofErr w:type="gramEnd"/>
      <w:r w:rsidRPr="00374F1F">
        <w:rPr>
          <w:sz w:val="16"/>
          <w:szCs w:val="16"/>
        </w:rPr>
        <w:t xml:space="preserve"> past conviction alone. This approach would expose the tradeoffs between risk and liberty that CCs make and the judgments behind </w:t>
      </w:r>
      <w:proofErr w:type="gramStart"/>
      <w:r w:rsidRPr="00374F1F">
        <w:rPr>
          <w:sz w:val="16"/>
          <w:szCs w:val="16"/>
        </w:rPr>
        <w:t>them, and</w:t>
      </w:r>
      <w:proofErr w:type="gramEnd"/>
      <w:r w:rsidRPr="00374F1F">
        <w:rPr>
          <w:sz w:val="16"/>
          <w:szCs w:val="16"/>
        </w:rPr>
        <w:t xml:space="preserve"> provide some oversight. </w:t>
      </w:r>
      <w:r w:rsidRPr="00CD7810">
        <w:rPr>
          <w:b/>
          <w:bCs/>
          <w:u w:val="single"/>
        </w:rPr>
        <w:t xml:space="preserve">It </w:t>
      </w:r>
      <w:r w:rsidRPr="005C4464">
        <w:rPr>
          <w:b/>
          <w:bCs/>
          <w:highlight w:val="cyan"/>
          <w:u w:val="single"/>
        </w:rPr>
        <w:t xml:space="preserve">would allow courts to both recognize CCs as an alarming form of risk regulation </w:t>
      </w:r>
      <w:proofErr w:type="gramStart"/>
      <w:r w:rsidRPr="005C4464">
        <w:rPr>
          <w:b/>
          <w:bCs/>
          <w:highlight w:val="cyan"/>
          <w:u w:val="single"/>
        </w:rPr>
        <w:t>and also</w:t>
      </w:r>
      <w:proofErr w:type="gramEnd"/>
      <w:r w:rsidRPr="005C4464">
        <w:rPr>
          <w:b/>
          <w:bCs/>
          <w:highlight w:val="cyan"/>
          <w:u w:val="single"/>
        </w:rPr>
        <w:t xml:space="preserve"> engage in case-by-case adjudication</w:t>
      </w:r>
      <w:r w:rsidRPr="00080523">
        <w:rPr>
          <w:b/>
          <w:bCs/>
          <w:u w:val="single"/>
        </w:rPr>
        <w:t xml:space="preserve">. It would function as </w:t>
      </w:r>
      <w:r w:rsidRPr="005C4464">
        <w:rPr>
          <w:rStyle w:val="Emphasis"/>
          <w:highlight w:val="cyan"/>
        </w:rPr>
        <w:t>a rough requirement of "proportionality</w:t>
      </w:r>
      <w:r w:rsidRPr="00374F1F">
        <w:rPr>
          <w:sz w:val="16"/>
          <w:szCs w:val="16"/>
        </w:rPr>
        <w:t xml:space="preserve">" between the harm to be avoided and the burden imposed. </w:t>
      </w:r>
      <w:r w:rsidRPr="00374F1F">
        <w:rPr>
          <w:sz w:val="16"/>
          <w:szCs w:val="16"/>
        </w:rPr>
        <w:footnoteReference w:customMarkFollows="1" w:id="188"/>
        <w:t>155</w:t>
      </w:r>
    </w:p>
    <w:p w14:paraId="3E55139A" w14:textId="77777777" w:rsidR="000E1943" w:rsidRPr="00374F1F" w:rsidRDefault="000E1943" w:rsidP="000E1943">
      <w:r w:rsidRPr="00374F1F">
        <w:rPr>
          <w:sz w:val="16"/>
          <w:szCs w:val="16"/>
        </w:rPr>
        <w:t xml:space="preserve"> On this approach, </w:t>
      </w:r>
      <w:r w:rsidRPr="00080523">
        <w:rPr>
          <w:b/>
          <w:bCs/>
          <w:u w:val="single"/>
        </w:rPr>
        <w:t>broad bans</w:t>
      </w:r>
      <w:r w:rsidRPr="00374F1F">
        <w:rPr>
          <w:sz w:val="16"/>
          <w:szCs w:val="16"/>
        </w:rPr>
        <w:t xml:space="preserve">, unlimited in time, </w:t>
      </w:r>
      <w:r w:rsidRPr="00080523">
        <w:rPr>
          <w:b/>
          <w:bCs/>
          <w:u w:val="single"/>
        </w:rPr>
        <w:t>would be likely to fail, while targeted, tailored restrictions would be likely to survive</w:t>
      </w:r>
      <w:r w:rsidRPr="00374F1F">
        <w:t xml:space="preserve">.  </w:t>
      </w:r>
      <w:r w:rsidRPr="00374F1F">
        <w:footnoteReference w:customMarkFollows="1" w:id="189"/>
        <w:t>156</w:t>
      </w:r>
    </w:p>
    <w:p w14:paraId="60DDD1A3" w14:textId="77777777" w:rsidR="000E1943" w:rsidRPr="00080523" w:rsidRDefault="000E1943" w:rsidP="000E1943">
      <w:pPr>
        <w:rPr>
          <w:b/>
          <w:bCs/>
          <w:u w:val="single"/>
        </w:rPr>
      </w:pPr>
      <w:r w:rsidRPr="00080523">
        <w:rPr>
          <w:b/>
          <w:bCs/>
          <w:u w:val="single"/>
        </w:rPr>
        <w:t>2. Civil Death</w:t>
      </w:r>
    </w:p>
    <w:p w14:paraId="38C03A20" w14:textId="77777777" w:rsidR="000E1943" w:rsidRPr="00374F1F" w:rsidRDefault="000E1943" w:rsidP="000E1943">
      <w:pPr>
        <w:rPr>
          <w:sz w:val="16"/>
          <w:szCs w:val="16"/>
        </w:rPr>
      </w:pPr>
      <w:r w:rsidRPr="00374F1F">
        <w:rPr>
          <w:sz w:val="16"/>
          <w:szCs w:val="16"/>
        </w:rPr>
        <w:t xml:space="preserve">I have argued that </w:t>
      </w:r>
      <w:r w:rsidRPr="005C4464">
        <w:rPr>
          <w:rStyle w:val="Emphasis"/>
          <w:highlight w:val="cyan"/>
        </w:rPr>
        <w:t>the susceptibility of convicted persons to lifetime restriction of their rights amounts to a revival of the ancient punishment of civil death</w:t>
      </w:r>
      <w:r w:rsidRPr="00374F1F">
        <w:rPr>
          <w:sz w:val="16"/>
          <w:szCs w:val="16"/>
        </w:rPr>
        <w:t xml:space="preserve">.  </w:t>
      </w:r>
      <w:r w:rsidRPr="00374F1F">
        <w:rPr>
          <w:sz w:val="16"/>
          <w:szCs w:val="16"/>
        </w:rPr>
        <w:footnoteReference w:customMarkFollows="1" w:id="190"/>
        <w:t xml:space="preserve">157 Civil death was understood to be a punishment historically.  </w:t>
      </w:r>
      <w:r w:rsidRPr="00374F1F">
        <w:rPr>
          <w:sz w:val="16"/>
          <w:szCs w:val="16"/>
        </w:rPr>
        <w:footnoteReference w:customMarkFollows="1" w:id="191"/>
        <w:t xml:space="preserve">158 As a result, all persons charged with and pleading guilty to a felony or misdemeanor must be informed by counsel and the court that their rights with respect to employment, public benefits, licensing, family relationships, and all other areas subject to legal regulation, perhaps including liberty itself, will always thereafter be contingent.  </w:t>
      </w:r>
      <w:r w:rsidRPr="00374F1F">
        <w:rPr>
          <w:sz w:val="16"/>
          <w:szCs w:val="16"/>
        </w:rPr>
        <w:footnoteReference w:customMarkFollows="1" w:id="192"/>
        <w:t>159</w:t>
      </w:r>
    </w:p>
    <w:p w14:paraId="4182A448" w14:textId="77777777" w:rsidR="000E1943" w:rsidRPr="00374F1F" w:rsidRDefault="000E1943" w:rsidP="000E1943">
      <w:pPr>
        <w:rPr>
          <w:sz w:val="16"/>
          <w:szCs w:val="16"/>
        </w:rPr>
      </w:pPr>
      <w:r w:rsidRPr="00374F1F">
        <w:rPr>
          <w:sz w:val="16"/>
          <w:szCs w:val="16"/>
        </w:rPr>
        <w:t> [*258] </w:t>
      </w:r>
    </w:p>
    <w:p w14:paraId="4BE54302" w14:textId="77777777" w:rsidR="000E1943" w:rsidRPr="00374F1F" w:rsidRDefault="000E1943" w:rsidP="000E1943">
      <w:pPr>
        <w:rPr>
          <w:sz w:val="16"/>
          <w:szCs w:val="16"/>
        </w:rPr>
      </w:pPr>
      <w:r w:rsidRPr="00374F1F">
        <w:rPr>
          <w:sz w:val="16"/>
          <w:szCs w:val="16"/>
        </w:rPr>
        <w:t>3. Grand Jury Consideration of Misdemeanors</w:t>
      </w:r>
    </w:p>
    <w:p w14:paraId="3548904C" w14:textId="77777777" w:rsidR="000E1943" w:rsidRPr="00374F1F" w:rsidRDefault="000E1943" w:rsidP="000E1943">
      <w:pPr>
        <w:rPr>
          <w:sz w:val="16"/>
          <w:szCs w:val="16"/>
        </w:rPr>
      </w:pPr>
      <w:r w:rsidRPr="00374F1F">
        <w:rPr>
          <w:sz w:val="16"/>
          <w:szCs w:val="16"/>
        </w:rPr>
        <w:t xml:space="preserve"> I also argue in a recent </w:t>
      </w:r>
      <w:proofErr w:type="gramStart"/>
      <w:r w:rsidRPr="00374F1F">
        <w:rPr>
          <w:sz w:val="16"/>
          <w:szCs w:val="16"/>
        </w:rPr>
        <w:t xml:space="preserve">paper  </w:t>
      </w:r>
      <w:r w:rsidRPr="00374F1F">
        <w:rPr>
          <w:sz w:val="16"/>
          <w:szCs w:val="16"/>
        </w:rPr>
        <w:footnoteReference w:customMarkFollows="1" w:id="193"/>
        <w:t>160</w:t>
      </w:r>
      <w:proofErr w:type="gramEnd"/>
      <w:r w:rsidRPr="00374F1F">
        <w:rPr>
          <w:sz w:val="16"/>
          <w:szCs w:val="16"/>
        </w:rPr>
        <w:t xml:space="preserve"> that what makes a crime "infamous" for purposes of the grand jury clause of the Fifth Amendment is the crime's effect on reputation, as measured by such things as collateral consequences.  </w:t>
      </w:r>
      <w:r w:rsidRPr="00374F1F">
        <w:rPr>
          <w:sz w:val="16"/>
          <w:szCs w:val="16"/>
        </w:rPr>
        <w:footnoteReference w:customMarkFollows="1" w:id="194"/>
        <w:t>161 Accordingly, if this argument is correct, stigmatizing misdemeanors charged in federal court, such as those involving drugs, sex offenses, or loss of civil rights, licenses, or permits, can only be prosecuted based on a grand jury indictment.</w:t>
      </w:r>
    </w:p>
    <w:p w14:paraId="3BD49504" w14:textId="77777777" w:rsidR="000E1943" w:rsidRPr="00374F1F" w:rsidRDefault="000E1943" w:rsidP="000E1943">
      <w:pPr>
        <w:rPr>
          <w:sz w:val="16"/>
          <w:szCs w:val="16"/>
        </w:rPr>
      </w:pPr>
      <w:r w:rsidRPr="00374F1F">
        <w:rPr>
          <w:sz w:val="16"/>
          <w:szCs w:val="16"/>
        </w:rPr>
        <w:t>4. Attacking the Distinction between "Collateral Consequences" and Punishment</w:t>
      </w:r>
    </w:p>
    <w:p w14:paraId="65659963" w14:textId="77777777" w:rsidR="000E1943" w:rsidRPr="00374F1F" w:rsidRDefault="000E1943" w:rsidP="000E1943">
      <w:pPr>
        <w:rPr>
          <w:sz w:val="16"/>
          <w:szCs w:val="16"/>
        </w:rPr>
      </w:pPr>
      <w:r w:rsidRPr="00374F1F">
        <w:rPr>
          <w:sz w:val="16"/>
          <w:szCs w:val="16"/>
        </w:rPr>
        <w:t xml:space="preserve"> </w:t>
      </w:r>
      <w:proofErr w:type="gramStart"/>
      <w:r w:rsidRPr="00374F1F">
        <w:rPr>
          <w:sz w:val="16"/>
          <w:szCs w:val="16"/>
        </w:rPr>
        <w:t>A number of</w:t>
      </w:r>
      <w:proofErr w:type="gramEnd"/>
      <w:r w:rsidRPr="00374F1F">
        <w:rPr>
          <w:sz w:val="16"/>
          <w:szCs w:val="16"/>
        </w:rPr>
        <w:t xml:space="preserve"> </w:t>
      </w:r>
      <w:r w:rsidRPr="00080523">
        <w:rPr>
          <w:b/>
          <w:bCs/>
          <w:u w:val="single"/>
        </w:rPr>
        <w:t>scholars have begun to question the distinction between direct punishments and collateral consequences</w:t>
      </w:r>
      <w:r w:rsidRPr="00374F1F">
        <w:rPr>
          <w:sz w:val="16"/>
          <w:szCs w:val="16"/>
        </w:rPr>
        <w:t xml:space="preserve">, calling into question the entire regime of special treatment for collateral consequences. Joshua Kaiser contends that the distinctions "have developed largely through circular logic, tautology, mis-citation of precedent, and bald assertion without any supporting facts or arguments," and </w:t>
      </w:r>
      <w:r w:rsidRPr="00080523">
        <w:rPr>
          <w:b/>
          <w:bCs/>
          <w:u w:val="single"/>
        </w:rPr>
        <w:t xml:space="preserve">as a result, </w:t>
      </w:r>
      <w:r w:rsidRPr="005C4464">
        <w:rPr>
          <w:b/>
          <w:bCs/>
          <w:highlight w:val="cyan"/>
          <w:u w:val="single"/>
        </w:rPr>
        <w:t>we have "formalistic definitional rules that are difficult to apply and nonsensical when compared with commonsense understandings</w:t>
      </w:r>
      <w:r w:rsidRPr="00080523">
        <w:rPr>
          <w:b/>
          <w:bCs/>
          <w:highlight w:val="cyan"/>
          <w:u w:val="single"/>
        </w:rPr>
        <w:t xml:space="preserve"> of "direct' and "punishment</w:t>
      </w:r>
      <w:r w:rsidRPr="00374F1F">
        <w:rPr>
          <w:sz w:val="16"/>
          <w:szCs w:val="16"/>
        </w:rPr>
        <w:t xml:space="preserve">.'"  </w:t>
      </w:r>
      <w:r w:rsidRPr="00374F1F">
        <w:rPr>
          <w:sz w:val="16"/>
          <w:szCs w:val="16"/>
        </w:rPr>
        <w:footnoteReference w:customMarkFollows="1" w:id="195"/>
        <w:t>162</w:t>
      </w:r>
    </w:p>
    <w:p w14:paraId="05BA4A21" w14:textId="77777777" w:rsidR="000E1943" w:rsidRPr="00374F1F" w:rsidRDefault="000E1943" w:rsidP="000E1943">
      <w:pPr>
        <w:rPr>
          <w:sz w:val="16"/>
          <w:szCs w:val="16"/>
        </w:rPr>
      </w:pPr>
      <w:r w:rsidRPr="00374F1F">
        <w:rPr>
          <w:sz w:val="16"/>
          <w:szCs w:val="16"/>
        </w:rPr>
        <w:t>D. The Legislative Response</w:t>
      </w:r>
    </w:p>
    <w:p w14:paraId="56BA7B53" w14:textId="77777777" w:rsidR="000E1943" w:rsidRPr="00374F1F" w:rsidRDefault="000E1943" w:rsidP="000E1943">
      <w:pPr>
        <w:rPr>
          <w:sz w:val="16"/>
          <w:szCs w:val="16"/>
        </w:rPr>
      </w:pPr>
      <w:r w:rsidRPr="00374F1F">
        <w:rPr>
          <w:sz w:val="16"/>
          <w:szCs w:val="16"/>
        </w:rPr>
        <w:t xml:space="preserve">Subjection of new collateral consequences to ex post facto limitations, and even holding that a state or federal constitutional provision requires notice </w:t>
      </w:r>
      <w:proofErr w:type="gramStart"/>
      <w:r w:rsidRPr="00374F1F">
        <w:rPr>
          <w:sz w:val="16"/>
          <w:szCs w:val="16"/>
        </w:rPr>
        <w:t>of  [</w:t>
      </w:r>
      <w:proofErr w:type="gramEnd"/>
      <w:r w:rsidRPr="00374F1F">
        <w:rPr>
          <w:sz w:val="16"/>
          <w:szCs w:val="16"/>
        </w:rPr>
        <w:t xml:space="preserve">*259]  collateral consequences, by no means completely resolves the problem. As important as those changes may be in individual cases, they are incremental with respect to the system as a whole and to the tens of millions of people validly subject to existing collateral consequences. </w:t>
      </w:r>
      <w:r w:rsidRPr="00080523">
        <w:rPr>
          <w:b/>
          <w:bCs/>
          <w:u w:val="single"/>
        </w:rPr>
        <w:t>Even constitutional limitations do not prevent imposition of collateral consequences once the limits have been satisfied</w:t>
      </w:r>
      <w:r w:rsidRPr="00374F1F">
        <w:rPr>
          <w:sz w:val="16"/>
          <w:szCs w:val="16"/>
        </w:rPr>
        <w:t xml:space="preserve">.  </w:t>
      </w:r>
      <w:r w:rsidRPr="00374F1F">
        <w:rPr>
          <w:sz w:val="16"/>
          <w:szCs w:val="16"/>
        </w:rPr>
        <w:footnoteReference w:customMarkFollows="1" w:id="196"/>
        <w:t xml:space="preserve">163 Courts have no authority to rewrite or invalidate otherwise constitutional laws in the name of good policy.  </w:t>
      </w:r>
      <w:r w:rsidRPr="00374F1F">
        <w:rPr>
          <w:sz w:val="16"/>
          <w:szCs w:val="16"/>
        </w:rPr>
        <w:footnoteReference w:customMarkFollows="1" w:id="197"/>
        <w:t xml:space="preserve">164 Courts work at the margins, at best trimming collateral consequences to the extent that they are unconstitutional, or interpreting laws to avoid constitutional doubts.  </w:t>
      </w:r>
      <w:r w:rsidRPr="00374F1F">
        <w:rPr>
          <w:sz w:val="16"/>
          <w:szCs w:val="16"/>
        </w:rPr>
        <w:footnoteReference w:customMarkFollows="1" w:id="198"/>
        <w:t>165</w:t>
      </w:r>
    </w:p>
    <w:p w14:paraId="4B1A06DA" w14:textId="77777777" w:rsidR="000E1943" w:rsidRPr="00374F1F" w:rsidRDefault="000E1943" w:rsidP="000E1943">
      <w:pPr>
        <w:rPr>
          <w:sz w:val="16"/>
          <w:szCs w:val="16"/>
        </w:rPr>
      </w:pPr>
      <w:r w:rsidRPr="00374F1F">
        <w:rPr>
          <w:sz w:val="16"/>
          <w:szCs w:val="16"/>
        </w:rPr>
        <w:t xml:space="preserve">Nevertheless, </w:t>
      </w:r>
      <w:r w:rsidRPr="00CD7810">
        <w:rPr>
          <w:b/>
          <w:bCs/>
          <w:u w:val="single"/>
        </w:rPr>
        <w:t>the court decisions represent an important signal</w:t>
      </w:r>
      <w:r w:rsidRPr="00374F1F">
        <w:t xml:space="preserve"> </w:t>
      </w:r>
      <w:r w:rsidRPr="00374F1F">
        <w:rPr>
          <w:sz w:val="16"/>
          <w:szCs w:val="16"/>
        </w:rPr>
        <w:t xml:space="preserve">in at least two dimensions. First, if some collateral consequences are brought into the criminal justice system - say, by requiring notice of deportation or of sex offender incarceration - it requires little additional time or effort to mention other important consequences. Many lawyers are likely to include warning and counseling as part of their practice even in the absence of a legal requirement, whether as a matter of good practice, for fear that the legal requirement may be coming, or both.  </w:t>
      </w:r>
      <w:r w:rsidRPr="00374F1F">
        <w:rPr>
          <w:sz w:val="16"/>
          <w:szCs w:val="16"/>
        </w:rPr>
        <w:footnoteReference w:customMarkFollows="1" w:id="199"/>
        <w:t>166</w:t>
      </w:r>
    </w:p>
    <w:p w14:paraId="4085C205" w14:textId="77777777" w:rsidR="000E1943" w:rsidRPr="0089095E" w:rsidRDefault="000E1943" w:rsidP="000E1943"/>
    <w:p w14:paraId="66711813" w14:textId="77777777" w:rsidR="000E1943" w:rsidRDefault="000E1943" w:rsidP="000E1943">
      <w:pPr>
        <w:pStyle w:val="Heading4"/>
      </w:pPr>
      <w:r>
        <w:t xml:space="preserve">the </w:t>
      </w:r>
      <w:proofErr w:type="spellStart"/>
      <w:r>
        <w:t>aff</w:t>
      </w:r>
      <w:proofErr w:type="spellEnd"/>
      <w:r>
        <w:t xml:space="preserve"> resolves the failure of the punishment/prevention dichotomy by classifying collateral consequences along a spectrum that considers the ratio of culpability to risk  </w:t>
      </w:r>
    </w:p>
    <w:p w14:paraId="1BB57E13" w14:textId="77777777" w:rsidR="000E1943" w:rsidRPr="004B745D" w:rsidRDefault="000E1943" w:rsidP="000E1943">
      <w:r w:rsidRPr="005B27C5">
        <w:rPr>
          <w:b/>
        </w:rPr>
        <w:t>Mayson 15</w:t>
      </w:r>
      <w:r>
        <w:rPr>
          <w:b/>
        </w:rPr>
        <w:t xml:space="preserve"> </w:t>
      </w:r>
      <w:r>
        <w:t xml:space="preserve">(Sandra, </w:t>
      </w:r>
      <w:r w:rsidRPr="005B27C5">
        <w:t xml:space="preserve">Research Fellow, </w:t>
      </w:r>
      <w:proofErr w:type="spellStart"/>
      <w:r w:rsidRPr="005B27C5">
        <w:t>Quattrone</w:t>
      </w:r>
      <w:proofErr w:type="spellEnd"/>
      <w:r w:rsidRPr="005B27C5">
        <w:t xml:space="preserve"> Center for the Fair Administration of Justice, University of Pennsylvania Law School</w:t>
      </w:r>
      <w:r>
        <w:t>, “</w:t>
      </w:r>
      <w:r w:rsidRPr="005B27C5">
        <w:t>Collateral Consequences and the Preventive State</w:t>
      </w:r>
      <w:r>
        <w:t xml:space="preserve">,” Notre Dame Law Review, vol 91, article 6) </w:t>
      </w:r>
    </w:p>
    <w:p w14:paraId="1CB26B55" w14:textId="77777777" w:rsidR="000E1943" w:rsidRPr="00D3718F" w:rsidRDefault="000E1943" w:rsidP="000E1943">
      <w:pPr>
        <w:rPr>
          <w:rStyle w:val="StyleUnderline"/>
        </w:rPr>
      </w:pPr>
      <w:r w:rsidRPr="00D3718F">
        <w:rPr>
          <w:rStyle w:val="StyleUnderline"/>
        </w:rPr>
        <w:t>Given that the preventive state tends to invoke both culpability and risk as authorization for deprivations of liberty, the challenge is how to classify such deprivations in a coherent way.</w:t>
      </w:r>
      <w:r>
        <w:t xml:space="preserve"> The specific challenge, for present purposes, is </w:t>
      </w:r>
      <w:r w:rsidRPr="00D3718F">
        <w:rPr>
          <w:rStyle w:val="StyleUnderline"/>
        </w:rPr>
        <w:t>how to classify CCs. This Part proposes that we conceive of them along a punishment-prevention spectrum. It sugge</w:t>
      </w:r>
      <w:r>
        <w:rPr>
          <w:rStyle w:val="StyleUnderline"/>
        </w:rPr>
        <w:t>sts that courts should ulti</w:t>
      </w:r>
      <w:r w:rsidRPr="00D3718F">
        <w:rPr>
          <w:rStyle w:val="StyleUnderline"/>
        </w:rPr>
        <w:t>mately classify CCs, and other deprivations, according to whether they claim primary authorization from a judgment of culpability or a judgment of risk.</w:t>
      </w:r>
    </w:p>
    <w:p w14:paraId="03CC59D9" w14:textId="77777777" w:rsidR="000E1943" w:rsidRDefault="000E1943" w:rsidP="000E1943">
      <w:r>
        <w:t>A. The Punishment-Prevention Spectrum</w:t>
      </w:r>
    </w:p>
    <w:p w14:paraId="519F95A0" w14:textId="77777777" w:rsidR="000E1943" w:rsidRPr="00D3718F" w:rsidRDefault="000E1943" w:rsidP="000E1943">
      <w:pPr>
        <w:rPr>
          <w:rStyle w:val="StyleUnderline"/>
        </w:rPr>
      </w:pPr>
      <w:r w:rsidRPr="00D3718F">
        <w:rPr>
          <w:rStyle w:val="Emphasis"/>
        </w:rPr>
        <w:t>Contemporary practices of punishment and prevention do not fall into a neat conceptual dichotomy, but it is possible to plot them along a spectrum</w:t>
      </w:r>
      <w:r w:rsidRPr="00D3718F">
        <w:rPr>
          <w:rStyle w:val="StyleUnderline"/>
        </w:rPr>
        <w:t xml:space="preserve">. At one end is “pure” punishment: the class of deprivations that claim author- </w:t>
      </w:r>
      <w:proofErr w:type="spellStart"/>
      <w:r w:rsidRPr="00D3718F">
        <w:rPr>
          <w:rStyle w:val="StyleUnderline"/>
        </w:rPr>
        <w:t>ity</w:t>
      </w:r>
      <w:proofErr w:type="spellEnd"/>
      <w:r w:rsidRPr="00D3718F">
        <w:rPr>
          <w:rStyle w:val="StyleUnderline"/>
        </w:rPr>
        <w:t xml:space="preserve"> from a judgment of culpability, with little or no regard to a person’s future risk (for instance, a modest fine for shoplifting by a contrite teen). At the other end is “pure” prevention: deprivations th</w:t>
      </w:r>
      <w:r>
        <w:rPr>
          <w:rStyle w:val="StyleUnderline"/>
        </w:rPr>
        <w:t>at claim authority from a judg</w:t>
      </w:r>
      <w:r w:rsidRPr="00D3718F">
        <w:rPr>
          <w:rStyle w:val="StyleUnderline"/>
        </w:rPr>
        <w:t>ment of risk, with no regard to a person’s culpability (like quarantine).</w:t>
      </w:r>
    </w:p>
    <w:p w14:paraId="723BF303" w14:textId="77777777" w:rsidR="000E1943" w:rsidRDefault="000E1943" w:rsidP="000E1943">
      <w:r>
        <w:t xml:space="preserve">Note that even the two extremes of the spectrum are not absolute. “Pure” punishment is itself a form of prevention. Even if the person pun- </w:t>
      </w:r>
      <w:proofErr w:type="spellStart"/>
      <w:r>
        <w:t>ished</w:t>
      </w:r>
      <w:proofErr w:type="spellEnd"/>
      <w:r>
        <w:t xml:space="preserve"> poses no future risk, her punishment may have the purpose or effect of deterring future crimes by others. At the other extreme, “pure” preventive deprivations tend to impose stigma </w:t>
      </w:r>
      <w:proofErr w:type="gramStart"/>
      <w:r>
        <w:t>whether or not</w:t>
      </w:r>
      <w:proofErr w:type="gramEnd"/>
      <w:r>
        <w:t xml:space="preserve"> it is intended. This is especially true of </w:t>
      </w:r>
      <w:proofErr w:type="spellStart"/>
      <w:r>
        <w:t>incapacitative</w:t>
      </w:r>
      <w:proofErr w:type="spellEnd"/>
      <w:r>
        <w:t xml:space="preserve"> restraints. The exclusion of HIV-positive </w:t>
      </w:r>
      <w:proofErr w:type="spellStart"/>
      <w:r>
        <w:t>peo</w:t>
      </w:r>
      <w:proofErr w:type="spellEnd"/>
      <w:r>
        <w:t xml:space="preserve">- </w:t>
      </w:r>
      <w:proofErr w:type="spellStart"/>
      <w:r>
        <w:t>ple</w:t>
      </w:r>
      <w:proofErr w:type="spellEnd"/>
      <w:r>
        <w:t xml:space="preserve"> at national borders, the quarantine of possible Ebola carriers—these restraints mark their subjects as dangerous, contaminated. They entail no</w:t>
      </w:r>
      <w:r w:rsidRPr="00D3718F">
        <w:t xml:space="preserve"> </w:t>
      </w:r>
      <w:r>
        <w:t>formal judgment of culpability, and yet they foster suspicions that the person restrained is somehow at fault for her condition. Aside from the implication of culpability, even pure preventive restraints can be profoundly oppressive. They are “punitive” in the experiential sense of the word.</w:t>
      </w:r>
    </w:p>
    <w:p w14:paraId="00E6BCC5" w14:textId="77777777" w:rsidR="000E1943" w:rsidRDefault="000E1943" w:rsidP="000E1943">
      <w:r w:rsidRPr="00D3718F">
        <w:rPr>
          <w:rStyle w:val="StyleUnderline"/>
        </w:rPr>
        <w:t>Other deprivations, which invoke more mixed judgments, fall at various points along the spectrum. One step away from “pure” punishment, we might locate sentencing determinations that consider a person’s future risk</w:t>
      </w:r>
      <w:r>
        <w:t xml:space="preserve"> in determining, within the bounds of desert, the quantum and conditions of punishment. </w:t>
      </w:r>
      <w:r w:rsidRPr="00D3718F">
        <w:rPr>
          <w:rStyle w:val="StyleUnderline"/>
        </w:rPr>
        <w:t>Farther along the spectrum—perhaps at the center—are deprivations imposed solely for preventive purposes that nonetheless claim primary authorization from a judgment of culpability</w:t>
      </w:r>
      <w:r>
        <w:t xml:space="preserve">. Probation and parole conditions motivated by risk concerns might belong here. This is also where we would place efforts to restrain people who culpably intend to commit some future harm.169 </w:t>
      </w:r>
      <w:r w:rsidRPr="00D3718F">
        <w:rPr>
          <w:rStyle w:val="StyleUnderline"/>
        </w:rPr>
        <w:t>Finally, on the preventive restraint side of the spectrum but not at the extreme, are practices of risk management that look to past culpability as evidence of future risk</w:t>
      </w:r>
      <w:r>
        <w:t>, like the preventive detention of “sexually violent predators” and risk assessment based on criminal history.</w:t>
      </w:r>
    </w:p>
    <w:p w14:paraId="2EE47CA7" w14:textId="77777777" w:rsidR="000E1943" w:rsidRPr="00D3718F" w:rsidRDefault="000E1943" w:rsidP="000E1943">
      <w:pPr>
        <w:rPr>
          <w:b/>
        </w:rPr>
      </w:pPr>
      <w:r>
        <w:t xml:space="preserve">The following diagram illustrates the spectrum.170 </w:t>
      </w:r>
      <w:r w:rsidRPr="00D3718F">
        <w:rPr>
          <w:b/>
        </w:rPr>
        <w:t>**</w:t>
      </w:r>
      <w:r w:rsidRPr="00D3718F">
        <w:rPr>
          <w:b/>
          <w:bCs/>
        </w:rPr>
        <w:t>diagram omitted**</w:t>
      </w:r>
    </w:p>
    <w:p w14:paraId="0E8ED728" w14:textId="77777777" w:rsidR="000E1943" w:rsidRDefault="000E1943" w:rsidP="000E1943">
      <w:pPr>
        <w:rPr>
          <w:rStyle w:val="StyleUnderline"/>
        </w:rPr>
      </w:pPr>
      <w:r w:rsidRPr="00D3718F">
        <w:rPr>
          <w:rStyle w:val="StyleUnderline"/>
        </w:rPr>
        <w:t>Where do CCs fall along the punishment-prevention spectrum? It depends whether they invoke a judgment of culpability or a judgment of future risk as the authorizing ground of the deprivation. By that measure, CCs are distributed along the spectrum, mostly on the preventive side.</w:t>
      </w:r>
    </w:p>
    <w:p w14:paraId="18E0D943" w14:textId="77777777" w:rsidR="000E1943" w:rsidRDefault="000E1943" w:rsidP="000E1943"/>
    <w:p w14:paraId="04FB9242" w14:textId="77777777" w:rsidR="000E1943" w:rsidRDefault="000E1943" w:rsidP="000E1943"/>
    <w:p w14:paraId="65B14292" w14:textId="77777777" w:rsidR="000E1943" w:rsidRDefault="000E1943" w:rsidP="000E1943">
      <w:pPr>
        <w:pStyle w:val="Heading3"/>
      </w:pPr>
      <w:r>
        <w:t>1AC Solvency Advocate</w:t>
      </w:r>
    </w:p>
    <w:p w14:paraId="5C53D7DE" w14:textId="77777777" w:rsidR="000E1943" w:rsidRDefault="000E1943" w:rsidP="000E1943"/>
    <w:p w14:paraId="178D5105" w14:textId="77777777" w:rsidR="000E1943" w:rsidRDefault="000E1943" w:rsidP="000E1943">
      <w:pPr>
        <w:pStyle w:val="Heading4"/>
      </w:pPr>
      <w:bookmarkStart w:id="4" w:name="_Hlk44538314"/>
      <w:r>
        <w:t>And, the plan creates a mechanism to</w:t>
      </w:r>
      <w:r w:rsidRPr="00BE2784">
        <w:rPr>
          <w:i/>
          <w:iCs w:val="0"/>
          <w:u w:val="single"/>
        </w:rPr>
        <w:t xml:space="preserve"> LIMIT</w:t>
      </w:r>
      <w:r>
        <w:t xml:space="preserve"> collateral consequences --- heightened review results in procedural tailoring and </w:t>
      </w:r>
      <w:r w:rsidRPr="00BE2784">
        <w:rPr>
          <w:i/>
          <w:iCs w:val="0"/>
          <w:u w:val="single"/>
        </w:rPr>
        <w:t>IS CONSISTENT</w:t>
      </w:r>
      <w:r>
        <w:t xml:space="preserve"> with previous court rulings</w:t>
      </w:r>
    </w:p>
    <w:p w14:paraId="2369D97A" w14:textId="77777777" w:rsidR="000E1943" w:rsidRDefault="000E1943" w:rsidP="000E1943"/>
    <w:p w14:paraId="2EC8DAB0" w14:textId="77777777" w:rsidR="000E1943" w:rsidRPr="00D45A48" w:rsidRDefault="000E1943" w:rsidP="000E1943">
      <w:pPr>
        <w:rPr>
          <w:rStyle w:val="Style13ptBold"/>
        </w:rPr>
      </w:pPr>
      <w:r w:rsidRPr="00D45A48">
        <w:rPr>
          <w:rStyle w:val="Style13ptBold"/>
        </w:rPr>
        <w:t>Mayson ‘15</w:t>
      </w:r>
    </w:p>
    <w:p w14:paraId="6A7A62B5" w14:textId="77777777" w:rsidR="000E1943" w:rsidRDefault="000E1943" w:rsidP="000E1943">
      <w:r>
        <w:t xml:space="preserve">(Sandra G, University of Pennsylvania Law School, “Collateral Consequences and the Preventive State,” </w:t>
      </w:r>
      <w:proofErr w:type="spellStart"/>
      <w:r>
        <w:t>pg</w:t>
      </w:r>
      <w:proofErr w:type="spellEnd"/>
      <w:r>
        <w:t xml:space="preserve"> online @ </w:t>
      </w:r>
      <w:hyperlink r:id="rId54" w:history="1">
        <w:r w:rsidRPr="00944694">
          <w:rPr>
            <w:rStyle w:val="Hyperlink"/>
          </w:rPr>
          <w:t>https://scholarship.law.nd.edu/cgi/viewcontent.cgi?article=4627&amp;context=ndlr</w:t>
        </w:r>
      </w:hyperlink>
      <w:r>
        <w:rPr>
          <w:rStyle w:val="Hyperlink"/>
        </w:rPr>
        <w:t>)</w:t>
      </w:r>
    </w:p>
    <w:p w14:paraId="7429B29C" w14:textId="77777777" w:rsidR="000E1943" w:rsidRPr="00C671AA" w:rsidRDefault="000E1943" w:rsidP="000E1943">
      <w:pPr>
        <w:rPr>
          <w:sz w:val="12"/>
        </w:rPr>
      </w:pPr>
      <w:r w:rsidRPr="00C671AA">
        <w:rPr>
          <w:sz w:val="12"/>
        </w:rPr>
        <w:t xml:space="preserve">In a challenge to any given CC, </w:t>
      </w:r>
      <w:r w:rsidRPr="00C671AA">
        <w:rPr>
          <w:rStyle w:val="StyleUnderline"/>
          <w:highlight w:val="cyan"/>
        </w:rPr>
        <w:t>heightened review would require the government to show</w:t>
      </w:r>
      <w:r w:rsidRPr="00C671AA">
        <w:rPr>
          <w:sz w:val="12"/>
        </w:rPr>
        <w:t xml:space="preserve">, at the least, that </w:t>
      </w:r>
      <w:r w:rsidRPr="00C671AA">
        <w:rPr>
          <w:rStyle w:val="StyleUnderline"/>
          <w:highlight w:val="cyan"/>
        </w:rPr>
        <w:t>the conviction classification was substantially related to an important government interest.</w:t>
      </w:r>
      <w:r w:rsidRPr="00C671AA">
        <w:rPr>
          <w:sz w:val="12"/>
        </w:rPr>
        <w:t xml:space="preserve"> </w:t>
      </w:r>
      <w:r w:rsidRPr="00C671AA">
        <w:rPr>
          <w:rStyle w:val="StyleUnderline"/>
          <w:highlight w:val="cyan"/>
        </w:rPr>
        <w:t xml:space="preserve">The </w:t>
      </w:r>
      <w:r w:rsidRPr="00C671AA">
        <w:rPr>
          <w:rStyle w:val="StyleUnderline"/>
        </w:rPr>
        <w:t>core</w:t>
      </w:r>
      <w:r w:rsidRPr="00C671AA">
        <w:rPr>
          <w:rStyle w:val="StyleUnderline"/>
          <w:highlight w:val="cyan"/>
        </w:rPr>
        <w:t xml:space="preserve"> benefit would be to strip CCs </w:t>
      </w:r>
      <w:r w:rsidRPr="008A0869">
        <w:rPr>
          <w:rStyle w:val="StyleUnderline"/>
        </w:rPr>
        <w:t xml:space="preserve">of the presumption </w:t>
      </w:r>
      <w:r w:rsidRPr="00C671AA">
        <w:rPr>
          <w:rStyle w:val="StyleUnderline"/>
          <w:highlight w:val="cyan"/>
        </w:rPr>
        <w:t xml:space="preserve">of constitutionality and require the defending government to explain the need, </w:t>
      </w:r>
      <w:r w:rsidRPr="00C671AA">
        <w:rPr>
          <w:rStyle w:val="StyleUnderline"/>
        </w:rPr>
        <w:t xml:space="preserve">in context, </w:t>
      </w:r>
      <w:r w:rsidRPr="00C671AA">
        <w:rPr>
          <w:rStyle w:val="StyleUnderline"/>
          <w:highlight w:val="cyan"/>
        </w:rPr>
        <w:t xml:space="preserve">for classifying people for disparate treatment </w:t>
      </w:r>
      <w:proofErr w:type="gramStart"/>
      <w:r w:rsidRPr="00C671AA">
        <w:rPr>
          <w:rStyle w:val="StyleUnderline"/>
          <w:highlight w:val="cyan"/>
        </w:rPr>
        <w:t xml:space="preserve">on </w:t>
      </w:r>
      <w:r w:rsidRPr="00C671AA">
        <w:rPr>
          <w:rStyle w:val="StyleUnderline"/>
        </w:rPr>
        <w:t>the basis of</w:t>
      </w:r>
      <w:proofErr w:type="gramEnd"/>
      <w:r w:rsidRPr="00C671AA">
        <w:rPr>
          <w:rStyle w:val="StyleUnderline"/>
        </w:rPr>
        <w:t xml:space="preserve"> </w:t>
      </w:r>
      <w:r w:rsidRPr="00C671AA">
        <w:rPr>
          <w:rStyle w:val="StyleUnderline"/>
          <w:highlight w:val="cyan"/>
        </w:rPr>
        <w:t>past conviction alone</w:t>
      </w:r>
      <w:r w:rsidRPr="00C671AA">
        <w:rPr>
          <w:sz w:val="12"/>
        </w:rPr>
        <w:t xml:space="preserve">. </w:t>
      </w:r>
      <w:r w:rsidRPr="00C671AA">
        <w:rPr>
          <w:rStyle w:val="StyleUnderline"/>
          <w:highlight w:val="cyan"/>
        </w:rPr>
        <w:t xml:space="preserve">This </w:t>
      </w:r>
      <w:r w:rsidRPr="00C671AA">
        <w:rPr>
          <w:rStyle w:val="StyleUnderline"/>
        </w:rPr>
        <w:t xml:space="preserve">approach </w:t>
      </w:r>
      <w:r w:rsidRPr="00C671AA">
        <w:rPr>
          <w:rStyle w:val="StyleUnderline"/>
          <w:highlight w:val="cyan"/>
        </w:rPr>
        <w:t>would</w:t>
      </w:r>
      <w:r w:rsidRPr="00C671AA">
        <w:rPr>
          <w:sz w:val="12"/>
        </w:rPr>
        <w:t xml:space="preserve"> expose the tradeoffs between risk and liberty that CCs make and the judgments behind </w:t>
      </w:r>
      <w:proofErr w:type="gramStart"/>
      <w:r w:rsidRPr="00C671AA">
        <w:rPr>
          <w:sz w:val="12"/>
        </w:rPr>
        <w:t>them, and</w:t>
      </w:r>
      <w:proofErr w:type="gramEnd"/>
      <w:r w:rsidRPr="00C671AA">
        <w:rPr>
          <w:sz w:val="12"/>
        </w:rPr>
        <w:t xml:space="preserve"> </w:t>
      </w:r>
      <w:r w:rsidRPr="00C671AA">
        <w:rPr>
          <w:rStyle w:val="StyleUnderline"/>
          <w:highlight w:val="cyan"/>
        </w:rPr>
        <w:t xml:space="preserve">provide </w:t>
      </w:r>
      <w:r w:rsidRPr="00C671AA">
        <w:rPr>
          <w:rStyle w:val="StyleUnderline"/>
        </w:rPr>
        <w:t xml:space="preserve">some </w:t>
      </w:r>
      <w:r w:rsidRPr="00C671AA">
        <w:rPr>
          <w:rStyle w:val="StyleUnderline"/>
          <w:highlight w:val="cyan"/>
        </w:rPr>
        <w:t>oversight</w:t>
      </w:r>
      <w:r w:rsidRPr="00C671AA">
        <w:rPr>
          <w:sz w:val="12"/>
        </w:rPr>
        <w:t xml:space="preserve">. It would </w:t>
      </w:r>
      <w:r w:rsidRPr="00C671AA">
        <w:rPr>
          <w:rStyle w:val="StyleUnderline"/>
        </w:rPr>
        <w:t xml:space="preserve">allow courts to both recognize CCs as an alarming form of risk regulation </w:t>
      </w:r>
      <w:proofErr w:type="gramStart"/>
      <w:r w:rsidRPr="00C671AA">
        <w:rPr>
          <w:rStyle w:val="StyleUnderline"/>
          <w:highlight w:val="cyan"/>
        </w:rPr>
        <w:t>and</w:t>
      </w:r>
      <w:r w:rsidRPr="00B61D16">
        <w:rPr>
          <w:rStyle w:val="StyleUnderline"/>
        </w:rPr>
        <w:t xml:space="preserve"> also</w:t>
      </w:r>
      <w:proofErr w:type="gramEnd"/>
      <w:r w:rsidRPr="00B61D16">
        <w:rPr>
          <w:rStyle w:val="StyleUnderline"/>
        </w:rPr>
        <w:t xml:space="preserve"> </w:t>
      </w:r>
      <w:r w:rsidRPr="00C671AA">
        <w:rPr>
          <w:rStyle w:val="StyleUnderline"/>
          <w:highlight w:val="cyan"/>
        </w:rPr>
        <w:t>engage in case-by-case adjudication</w:t>
      </w:r>
      <w:r w:rsidRPr="00C671AA">
        <w:rPr>
          <w:sz w:val="12"/>
        </w:rPr>
        <w:t xml:space="preserve">. </w:t>
      </w:r>
      <w:r w:rsidRPr="00C671AA">
        <w:rPr>
          <w:rStyle w:val="StyleUnderline"/>
        </w:rPr>
        <w:t>It would function as a rough requirement of “proportionality” between the harm to be avoided and the burden imposed.285</w:t>
      </w:r>
      <w:r>
        <w:rPr>
          <w:rStyle w:val="StyleUnderline"/>
        </w:rPr>
        <w:t xml:space="preserve"> </w:t>
      </w:r>
      <w:r w:rsidRPr="00C671AA">
        <w:rPr>
          <w:rStyle w:val="StyleUnderline"/>
        </w:rPr>
        <w:t>Some CCs would survive heightened review</w:t>
      </w:r>
      <w:r w:rsidRPr="00C671AA">
        <w:rPr>
          <w:sz w:val="12"/>
        </w:rPr>
        <w:t xml:space="preserve"> because they are, in fact, narrowly drawn and justified. These are the CCs that would clear the ABA’s standards, like “exclusion of those convicted of sexual abuse from employment involving close contact with children, loss of public office upon conviction of bribery, denial of licensure where the offense involves the licensed activity, and prohibition of firearms to those convicted of violent crimes.”286 Speaking more generally, CCs would be likely to survive to the extent that they are tailored in scope, in duration, in process, and in form to the state’s regulatory goals. </w:t>
      </w:r>
      <w:r w:rsidRPr="00B37400">
        <w:rPr>
          <w:rStyle w:val="StyleUnderline"/>
          <w:highlight w:val="cyan"/>
        </w:rPr>
        <w:t>A collateral consequence is tailored in scope if it</w:t>
      </w:r>
      <w:r w:rsidRPr="00B37400">
        <w:rPr>
          <w:rStyle w:val="StyleUnderline"/>
        </w:rPr>
        <w:t xml:space="preserve"> </w:t>
      </w:r>
      <w:r w:rsidRPr="00B37400">
        <w:rPr>
          <w:rStyle w:val="Emphasis"/>
          <w:highlight w:val="cyan"/>
        </w:rPr>
        <w:t>targets a narrow conviction category</w:t>
      </w:r>
      <w:r w:rsidRPr="00C671AA">
        <w:rPr>
          <w:sz w:val="12"/>
        </w:rPr>
        <w:t xml:space="preserve"> with clear relevance to the perceived risk. </w:t>
      </w:r>
      <w:r w:rsidRPr="00B37400">
        <w:rPr>
          <w:rStyle w:val="Emphasis"/>
          <w:highlight w:val="cyan"/>
        </w:rPr>
        <w:t xml:space="preserve">It is tailored in duration if it is </w:t>
      </w:r>
      <w:proofErr w:type="gramStart"/>
      <w:r w:rsidRPr="00B37400">
        <w:rPr>
          <w:rStyle w:val="Emphasis"/>
          <w:highlight w:val="cyan"/>
        </w:rPr>
        <w:t>time-limited</w:t>
      </w:r>
      <w:proofErr w:type="gramEnd"/>
      <w:r w:rsidRPr="00C671AA">
        <w:rPr>
          <w:sz w:val="12"/>
        </w:rPr>
        <w:t xml:space="preserve">.287 </w:t>
      </w:r>
      <w:r w:rsidRPr="00B37400">
        <w:rPr>
          <w:rStyle w:val="StyleUnderline"/>
          <w:highlight w:val="cyan"/>
        </w:rPr>
        <w:t xml:space="preserve">Procedural tailoring would include the opportunity </w:t>
      </w:r>
      <w:r w:rsidRPr="00C671AA">
        <w:rPr>
          <w:rStyle w:val="StyleUnderline"/>
        </w:rPr>
        <w:t xml:space="preserve">for an individual </w:t>
      </w:r>
      <w:r w:rsidRPr="00B37400">
        <w:rPr>
          <w:rStyle w:val="StyleUnderline"/>
          <w:highlight w:val="cyan"/>
        </w:rPr>
        <w:t>to contest</w:t>
      </w:r>
      <w:r w:rsidRPr="00C671AA">
        <w:rPr>
          <w:sz w:val="12"/>
        </w:rPr>
        <w:t xml:space="preserve"> the presumption of risk </w:t>
      </w:r>
      <w:r w:rsidRPr="00B37400">
        <w:rPr>
          <w:rStyle w:val="StyleUnderline"/>
          <w:highlight w:val="cyan"/>
        </w:rPr>
        <w:t>and</w:t>
      </w:r>
      <w:r w:rsidRPr="00C671AA">
        <w:rPr>
          <w:sz w:val="12"/>
        </w:rPr>
        <w:t xml:space="preserve"> opportunities for </w:t>
      </w:r>
      <w:r w:rsidRPr="00B37400">
        <w:rPr>
          <w:rStyle w:val="StyleUnderline"/>
          <w:highlight w:val="cyan"/>
        </w:rPr>
        <w:t>periodic review</w:t>
      </w:r>
      <w:r w:rsidRPr="00C671AA">
        <w:rPr>
          <w:sz w:val="12"/>
        </w:rPr>
        <w:t xml:space="preserve">. And </w:t>
      </w:r>
      <w:r w:rsidRPr="00B37400">
        <w:rPr>
          <w:rStyle w:val="StyleUnderline"/>
          <w:highlight w:val="cyan"/>
        </w:rPr>
        <w:t xml:space="preserve">a CC tailored </w:t>
      </w:r>
      <w:r w:rsidRPr="008A0869">
        <w:rPr>
          <w:rStyle w:val="StyleUnderline"/>
        </w:rPr>
        <w:t xml:space="preserve">in form </w:t>
      </w:r>
      <w:r w:rsidRPr="00B37400">
        <w:rPr>
          <w:rStyle w:val="StyleUnderline"/>
          <w:highlight w:val="cyan"/>
        </w:rPr>
        <w:t>would use the least-restrictive restraint possible to mitigate the risk</w:t>
      </w:r>
      <w:r w:rsidRPr="00C671AA">
        <w:rPr>
          <w:sz w:val="12"/>
        </w:rPr>
        <w:t xml:space="preserve">. </w:t>
      </w:r>
      <w:r w:rsidRPr="00B37400">
        <w:rPr>
          <w:rStyle w:val="StyleUnderline"/>
          <w:highlight w:val="cyan"/>
        </w:rPr>
        <w:t xml:space="preserve">Many CCs, however, </w:t>
      </w:r>
      <w:r w:rsidRPr="00AF6D78">
        <w:rPr>
          <w:rStyle w:val="Emphasis"/>
          <w:highlight w:val="cyan"/>
        </w:rPr>
        <w:t>should be held unconstitutional</w:t>
      </w:r>
      <w:r w:rsidRPr="00B37400">
        <w:rPr>
          <w:rStyle w:val="StyleUnderline"/>
          <w:highlight w:val="cyan"/>
        </w:rPr>
        <w:t xml:space="preserve"> pursuant to heightened review</w:t>
      </w:r>
      <w:r w:rsidRPr="00C671AA">
        <w:rPr>
          <w:sz w:val="12"/>
        </w:rPr>
        <w:t xml:space="preserve">. Broad, permanent </w:t>
      </w:r>
      <w:r w:rsidRPr="00B37400">
        <w:rPr>
          <w:rStyle w:val="StyleUnderline"/>
          <w:highlight w:val="cyan"/>
        </w:rPr>
        <w:t>employment bars should fail</w:t>
      </w:r>
      <w:r w:rsidRPr="00C671AA">
        <w:rPr>
          <w:sz w:val="12"/>
        </w:rPr>
        <w:t xml:space="preserve">.288 </w:t>
      </w:r>
      <w:r w:rsidRPr="00AF6D78">
        <w:rPr>
          <w:rStyle w:val="StyleUnderline"/>
        </w:rPr>
        <w:t>Categorical</w:t>
      </w:r>
      <w:r w:rsidRPr="008A0869">
        <w:rPr>
          <w:rStyle w:val="StyleUnderline"/>
        </w:rPr>
        <w:t xml:space="preserve"> </w:t>
      </w:r>
      <w:r w:rsidRPr="00B37400">
        <w:rPr>
          <w:rStyle w:val="StyleUnderline"/>
          <w:highlight w:val="cyan"/>
        </w:rPr>
        <w:t>housing bars should fail</w:t>
      </w:r>
      <w:r w:rsidRPr="00C671AA">
        <w:rPr>
          <w:sz w:val="12"/>
        </w:rPr>
        <w:t xml:space="preserve">. </w:t>
      </w:r>
      <w:r w:rsidRPr="00B37400">
        <w:rPr>
          <w:rStyle w:val="StyleUnderline"/>
          <w:highlight w:val="cyan"/>
        </w:rPr>
        <w:t xml:space="preserve">Disqualification from </w:t>
      </w:r>
      <w:r w:rsidRPr="00AF6D78">
        <w:rPr>
          <w:rStyle w:val="Emphasis"/>
          <w:highlight w:val="cyan"/>
        </w:rPr>
        <w:t>benefits and loans</w:t>
      </w:r>
      <w:r w:rsidRPr="00B37400">
        <w:rPr>
          <w:rStyle w:val="StyleUnderline"/>
          <w:highlight w:val="cyan"/>
        </w:rPr>
        <w:t xml:space="preserve"> should fail</w:t>
      </w:r>
      <w:r w:rsidRPr="00C671AA">
        <w:rPr>
          <w:sz w:val="12"/>
        </w:rPr>
        <w:t xml:space="preserve"> (unless the state claims that they express a judgment of desert or forfeiture, in which case punishment constraints apply). Automatic registration and monitoring regimes based on broad conviction categories should fail. If based on narrow conviction categories, with some individualized risk assessment and periodic review, they might survive. </w:t>
      </w:r>
      <w:r w:rsidRPr="00B37400">
        <w:rPr>
          <w:rStyle w:val="StyleUnderline"/>
          <w:highlight w:val="cyan"/>
        </w:rPr>
        <w:t>Felon disenfranchisement laws</w:t>
      </w:r>
      <w:r w:rsidRPr="00C671AA">
        <w:rPr>
          <w:sz w:val="12"/>
        </w:rPr>
        <w:t xml:space="preserve"> are a special case because Richardson v. Ramirez289 is taken to endorse them all, but that may be a misreading of the decision. If it is read in a more limited sense in the future, all felon disenfranchisement laws </w:t>
      </w:r>
      <w:r w:rsidRPr="00B37400">
        <w:rPr>
          <w:rStyle w:val="StyleUnderline"/>
          <w:highlight w:val="cyan"/>
        </w:rPr>
        <w:t xml:space="preserve">should fail </w:t>
      </w:r>
      <w:r w:rsidRPr="00AF6D78">
        <w:rPr>
          <w:rStyle w:val="StyleUnderline"/>
        </w:rPr>
        <w:t>heightened review</w:t>
      </w:r>
      <w:r w:rsidRPr="00C671AA">
        <w:rPr>
          <w:sz w:val="12"/>
        </w:rPr>
        <w:t xml:space="preserve"> (unless a state decides to disenfranchise people as punishment, in which case punishment constraints apply instead). Immigration consequences are also more complicated because the state justifies them not just as public-safety measures but as exercises of Congress’s “plenary power” over immigration, and because non-citizens have lesser liberty rights in some contexts.290 The problems with using conviction as a proxy for risk should apply at least conceptually, however, in the immigration sphere. </w:t>
      </w:r>
      <w:r w:rsidRPr="00AF6D78">
        <w:rPr>
          <w:rStyle w:val="StyleUnderline"/>
        </w:rPr>
        <w:t xml:space="preserve">The notion </w:t>
      </w:r>
      <w:r w:rsidRPr="00C671AA">
        <w:rPr>
          <w:rStyle w:val="StyleUnderline"/>
          <w:highlight w:val="cyan"/>
        </w:rPr>
        <w:t>that regulatory classification by conviction status warrants heightened review is not wildly removed from current practice</w:t>
      </w:r>
      <w:r w:rsidRPr="00C671AA">
        <w:rPr>
          <w:sz w:val="12"/>
        </w:rPr>
        <w:t xml:space="preserve">. </w:t>
      </w:r>
      <w:r w:rsidRPr="008A0869">
        <w:rPr>
          <w:rStyle w:val="StyleUnderline"/>
        </w:rPr>
        <w:t xml:space="preserve">Some </w:t>
      </w:r>
      <w:r w:rsidRPr="00C671AA">
        <w:rPr>
          <w:rStyle w:val="StyleUnderline"/>
          <w:highlight w:val="cyan"/>
        </w:rPr>
        <w:t>courts have taken this approach to CCs already</w:t>
      </w:r>
      <w:r w:rsidRPr="00C671AA">
        <w:rPr>
          <w:sz w:val="12"/>
        </w:rPr>
        <w:t xml:space="preserve">, especially in the realm of employment.291 </w:t>
      </w:r>
      <w:r w:rsidRPr="00C671AA">
        <w:rPr>
          <w:rStyle w:val="StyleUnderline"/>
          <w:highlight w:val="cyan"/>
        </w:rPr>
        <w:t>A few decisions have found conviction-based employment bars to violate equal protection</w:t>
      </w:r>
      <w:r w:rsidRPr="00C671AA">
        <w:rPr>
          <w:sz w:val="12"/>
        </w:rPr>
        <w:t xml:space="preserve">, particularly “laws which categorically bar large groups of former offenders from particular occupations.”292 State courts have been particularly responsive to such challenges.293 </w:t>
      </w:r>
      <w:r w:rsidRPr="00C671AA">
        <w:rPr>
          <w:rStyle w:val="Emphasis"/>
          <w:highlight w:val="cyan"/>
        </w:rPr>
        <w:t>For courts to subject all CCs to heightened scrutiny would not require a dramatic departure from current doctrine</w:t>
      </w:r>
      <w:r w:rsidRPr="00C671AA">
        <w:rPr>
          <w:sz w:val="12"/>
        </w:rPr>
        <w:t>. It would merely require that courts recognize CCs for what they are: a genre of preventive restraint that warrants meaningful constitutional oversight.</w:t>
      </w:r>
    </w:p>
    <w:bookmarkEnd w:id="4"/>
    <w:p w14:paraId="7EB60A59" w14:textId="77777777" w:rsidR="000E1943" w:rsidRDefault="000E1943" w:rsidP="000E1943"/>
    <w:p w14:paraId="43691FE5" w14:textId="77777777" w:rsidR="00371F90" w:rsidRDefault="00371F90" w:rsidP="00371F90">
      <w:pPr>
        <w:pStyle w:val="Heading3"/>
      </w:pPr>
      <w:r>
        <w:t>1AC/2AC --- Ruling Grounds</w:t>
      </w:r>
    </w:p>
    <w:p w14:paraId="32F97A8B" w14:textId="32F2CEE6" w:rsidR="00371F90" w:rsidRDefault="00371F90" w:rsidP="00371F90">
      <w:bookmarkStart w:id="5" w:name="_Hlk44538484"/>
    </w:p>
    <w:p w14:paraId="27F80A2C" w14:textId="1543EFCA" w:rsidR="006309C6" w:rsidRDefault="006309C6" w:rsidP="006309C6">
      <w:pPr>
        <w:pStyle w:val="Heading4"/>
      </w:pPr>
      <w:r>
        <w:t>Court should rule on grounds everyone has a fundamental right to be treated as an equal moral agent</w:t>
      </w:r>
    </w:p>
    <w:p w14:paraId="6A52E435" w14:textId="77777777" w:rsidR="006309C6" w:rsidRPr="006309C6" w:rsidRDefault="006309C6" w:rsidP="006309C6"/>
    <w:p w14:paraId="27DF04FC" w14:textId="77777777" w:rsidR="00371F90" w:rsidRPr="00D45A48" w:rsidRDefault="00371F90" w:rsidP="00371F90">
      <w:pPr>
        <w:rPr>
          <w:rStyle w:val="Style13ptBold"/>
        </w:rPr>
      </w:pPr>
      <w:r w:rsidRPr="00D45A48">
        <w:rPr>
          <w:rStyle w:val="Style13ptBold"/>
        </w:rPr>
        <w:t>Mayson ‘15</w:t>
      </w:r>
    </w:p>
    <w:p w14:paraId="31CEECE6" w14:textId="77777777" w:rsidR="00371F90" w:rsidRPr="00525FB8" w:rsidRDefault="00371F90" w:rsidP="00371F90">
      <w:r>
        <w:t xml:space="preserve">(Sandra G, University of Pennsylvania Law School, “Collateral Consequences and the Preventive State,” </w:t>
      </w:r>
      <w:proofErr w:type="spellStart"/>
      <w:r>
        <w:t>pg</w:t>
      </w:r>
      <w:proofErr w:type="spellEnd"/>
      <w:r>
        <w:t xml:space="preserve"> online @ </w:t>
      </w:r>
      <w:hyperlink r:id="rId55" w:history="1">
        <w:r w:rsidRPr="00944694">
          <w:rPr>
            <w:rStyle w:val="Hyperlink"/>
          </w:rPr>
          <w:t>https://scholarship.law.nd.edu/cgi/viewcontent.cgi?article=4627&amp;context=ndlr</w:t>
        </w:r>
      </w:hyperlink>
      <w:r>
        <w:rPr>
          <w:rStyle w:val="Hyperlink"/>
        </w:rPr>
        <w:t>)</w:t>
      </w:r>
    </w:p>
    <w:p w14:paraId="6A62F39E" w14:textId="77777777" w:rsidR="00371F90" w:rsidRPr="00525FB8" w:rsidRDefault="00371F90" w:rsidP="00371F90">
      <w:pPr>
        <w:rPr>
          <w:sz w:val="12"/>
        </w:rPr>
      </w:pPr>
      <w:r w:rsidRPr="00525FB8">
        <w:rPr>
          <w:sz w:val="12"/>
        </w:rPr>
        <w:t xml:space="preserve">The second doctrinal argument applies to all targeted, predictive restraints. Unlike restraints like speed bumps or workplace safety rules that target risky activities, </w:t>
      </w:r>
      <w:r w:rsidRPr="000E1943">
        <w:rPr>
          <w:rStyle w:val="StyleUnderline"/>
        </w:rPr>
        <w:t>predictive restraints like CCs target instead by identity</w:t>
      </w:r>
      <w:r w:rsidRPr="000E1943">
        <w:rPr>
          <w:sz w:val="12"/>
        </w:rPr>
        <w:t xml:space="preserve">. </w:t>
      </w:r>
      <w:r w:rsidRPr="000E1943">
        <w:rPr>
          <w:rStyle w:val="StyleUnderline"/>
        </w:rPr>
        <w:t>They restrain individuals or groups who are perceived to be dangerous</w:t>
      </w:r>
      <w:r w:rsidRPr="000E1943">
        <w:rPr>
          <w:sz w:val="12"/>
        </w:rPr>
        <w:t xml:space="preserve">, </w:t>
      </w:r>
      <w:proofErr w:type="gramStart"/>
      <w:r w:rsidRPr="000E1943">
        <w:rPr>
          <w:sz w:val="12"/>
        </w:rPr>
        <w:t>on the basis of</w:t>
      </w:r>
      <w:proofErr w:type="gramEnd"/>
      <w:r w:rsidRPr="000E1943">
        <w:rPr>
          <w:sz w:val="12"/>
        </w:rPr>
        <w:t xml:space="preserve"> their purported propensity to commit intentional bad acts in the future. </w:t>
      </w:r>
      <w:r w:rsidRPr="000E1943">
        <w:rPr>
          <w:rStyle w:val="StyleUnderline"/>
        </w:rPr>
        <w:t>There is an argument that any predictive restraint should trigger strict scrutiny,</w:t>
      </w:r>
      <w:r w:rsidRPr="000E1943">
        <w:rPr>
          <w:sz w:val="12"/>
        </w:rPr>
        <w:t xml:space="preserve"> </w:t>
      </w:r>
      <w:r w:rsidRPr="000E1943">
        <w:rPr>
          <w:rStyle w:val="StyleUnderline"/>
        </w:rPr>
        <w:t>for</w:t>
      </w:r>
      <w:r w:rsidRPr="000E1943">
        <w:rPr>
          <w:sz w:val="12"/>
        </w:rPr>
        <w:t xml:space="preserve"> purposes of </w:t>
      </w:r>
      <w:r w:rsidRPr="000E1943">
        <w:rPr>
          <w:rStyle w:val="Emphasis"/>
        </w:rPr>
        <w:t>both equal protection and substantive due process</w:t>
      </w:r>
      <w:r w:rsidRPr="000E1943">
        <w:rPr>
          <w:sz w:val="12"/>
        </w:rPr>
        <w:t xml:space="preserve">, </w:t>
      </w:r>
      <w:r w:rsidRPr="000E1943">
        <w:rPr>
          <w:rStyle w:val="StyleUnderline"/>
        </w:rPr>
        <w:t xml:space="preserve">because it infringes a fundamental right implicit in constitutional structure and doctrine: </w:t>
      </w:r>
      <w:r w:rsidRPr="000E1943">
        <w:rPr>
          <w:rStyle w:val="Emphasis"/>
        </w:rPr>
        <w:t>the right to be treated as an equal moral agent</w:t>
      </w:r>
      <w:r w:rsidRPr="000E1943">
        <w:rPr>
          <w:sz w:val="12"/>
        </w:rPr>
        <w:t xml:space="preserve">. </w:t>
      </w:r>
      <w:r w:rsidRPr="000E1943">
        <w:rPr>
          <w:rStyle w:val="StyleUnderline"/>
        </w:rPr>
        <w:t>The doctrinal foundation is</w:t>
      </w:r>
      <w:r w:rsidRPr="000E1943">
        <w:rPr>
          <w:sz w:val="12"/>
        </w:rPr>
        <w:t xml:space="preserve"> </w:t>
      </w:r>
      <w:r w:rsidRPr="000E1943">
        <w:rPr>
          <w:rStyle w:val="StyleUnderline"/>
        </w:rPr>
        <w:t>the Supreme Court’s preventive-detention case law</w:t>
      </w:r>
      <w:r w:rsidRPr="000E1943">
        <w:rPr>
          <w:sz w:val="12"/>
        </w:rPr>
        <w:t xml:space="preserve">. As discussed above, </w:t>
      </w:r>
      <w:r w:rsidRPr="000E1943">
        <w:rPr>
          <w:rStyle w:val="StyleUnderline"/>
        </w:rPr>
        <w:t>the Court has held indefinite confinement for dangerousness to violate substantive due process unless the state can demonstrate that the detained person lacks volitional self-control</w:t>
      </w:r>
      <w:r w:rsidRPr="000E1943">
        <w:rPr>
          <w:sz w:val="12"/>
        </w:rPr>
        <w:t xml:space="preserve">.276 In apparent contradiction, it upheld pre-trial detention for dangerousness alone in United States v. Salerno. 277 Criminal law theorists have reconciled the cases, however, </w:t>
      </w:r>
      <w:proofErr w:type="gramStart"/>
      <w:r w:rsidRPr="000E1943">
        <w:rPr>
          <w:sz w:val="12"/>
        </w:rPr>
        <w:t>on the basis of</w:t>
      </w:r>
      <w:proofErr w:type="gramEnd"/>
      <w:r w:rsidRPr="000E1943">
        <w:rPr>
          <w:sz w:val="12"/>
        </w:rPr>
        <w:t xml:space="preserve"> a more nuanced version of the mad-or-bad principle. The more sophisticated ideal permits the preventive restraint of people who are “undeterrable”—those whom the threat of punishment cannot dissuade from crime.278 People who lack volitional control are the paradigmatic case, but not the only one. Terrorists and enemy combatants may not be easily deterred.279 It is arguable (barely) that people facing serious criminal charges or imminent deportation might fit this category too.280 The Court’s case law can be read consistently with this principle, as prohibiting preventive detention unless the threat of punishment is not adequate to prevent the person in question from committing new crimes. That is, criminal-law deterrence must be the “first line of defense” against future bad acts.281 </w:t>
      </w:r>
      <w:r w:rsidRPr="000E1943">
        <w:rPr>
          <w:rStyle w:val="StyleUnderline"/>
        </w:rPr>
        <w:t>If the Supreme Court’s substantive due process case law does reflect a presumption against predictive restraint</w:t>
      </w:r>
      <w:r w:rsidRPr="000E1943">
        <w:rPr>
          <w:sz w:val="12"/>
        </w:rPr>
        <w:t xml:space="preserve">, and if the presumption means anything, </w:t>
      </w:r>
      <w:r w:rsidRPr="000E1943">
        <w:rPr>
          <w:rStyle w:val="StyleUnderline"/>
        </w:rPr>
        <w:t>it means that one has the presumptive right to be free from government restraint premised on one’s perceived propensity to commit future bad</w:t>
      </w:r>
      <w:r w:rsidRPr="000E1943">
        <w:rPr>
          <w:sz w:val="12"/>
        </w:rPr>
        <w:t xml:space="preserve"> </w:t>
      </w:r>
      <w:r w:rsidRPr="000E1943">
        <w:rPr>
          <w:rStyle w:val="StyleUnderline"/>
        </w:rPr>
        <w:t>acts</w:t>
      </w:r>
      <w:r w:rsidRPr="000E1943">
        <w:rPr>
          <w:sz w:val="12"/>
        </w:rPr>
        <w:t xml:space="preserve">. In other words, </w:t>
      </w:r>
      <w:r w:rsidRPr="000E1943">
        <w:rPr>
          <w:rStyle w:val="Emphasis"/>
        </w:rPr>
        <w:t>one has a fundamental right to be treated as an equal moral agent</w:t>
      </w:r>
      <w:r w:rsidRPr="000E1943">
        <w:rPr>
          <w:sz w:val="12"/>
        </w:rPr>
        <w:t xml:space="preserve">, </w:t>
      </w:r>
      <w:r w:rsidRPr="000E1943">
        <w:rPr>
          <w:rStyle w:val="StyleUnderline"/>
        </w:rPr>
        <w:t>just as capable as anyone else of choosing not to commit a crime</w:t>
      </w:r>
      <w:r w:rsidRPr="000E1943">
        <w:rPr>
          <w:sz w:val="12"/>
        </w:rPr>
        <w:t xml:space="preserve">.282 </w:t>
      </w:r>
      <w:r w:rsidRPr="000E1943">
        <w:rPr>
          <w:rStyle w:val="StyleUnderline"/>
        </w:rPr>
        <w:t xml:space="preserve">Any propensity-based restraint infringes that </w:t>
      </w:r>
      <w:proofErr w:type="gramStart"/>
      <w:r w:rsidRPr="000E1943">
        <w:rPr>
          <w:rStyle w:val="StyleUnderline"/>
        </w:rPr>
        <w:t>right, and</w:t>
      </w:r>
      <w:proofErr w:type="gramEnd"/>
      <w:r w:rsidRPr="000E1943">
        <w:rPr>
          <w:rStyle w:val="StyleUnderline"/>
        </w:rPr>
        <w:t xml:space="preserve"> deserves careful review</w:t>
      </w:r>
      <w:r w:rsidRPr="000E1943">
        <w:rPr>
          <w:sz w:val="12"/>
        </w:rPr>
        <w:t xml:space="preserve">. The state can satisfy strict scrutiny by demonstrating that deterrence is unavailable in the circumstances at hand and that the restraint is the least restrictive available means to achieve the public safety goal. The lesser the restraint, the easier this will be. </w:t>
      </w:r>
      <w:r w:rsidRPr="000E1943">
        <w:rPr>
          <w:rStyle w:val="StyleUnderline"/>
        </w:rPr>
        <w:t>In the context of CCs, a fundamental right to moral agency would function as a presumption of redemption for those who have completed criminal sentences</w:t>
      </w:r>
      <w:r w:rsidRPr="000E1943">
        <w:rPr>
          <w:sz w:val="12"/>
        </w:rPr>
        <w:t xml:space="preserve">, the mirror image of the presumption of innocence for those who have only been accused. There are obstacles to this line of argument. The obvious objection is that the Supreme Court’s preventive detention case law is limited to the context of custodial detention and has no bearing on lesser forms of preventive restraint.283 A second difficulty is that, even if propensity-based regulation warrants greater concern than other </w:t>
      </w:r>
      <w:proofErr w:type="spellStart"/>
      <w:r w:rsidRPr="000E1943">
        <w:rPr>
          <w:sz w:val="12"/>
        </w:rPr>
        <w:t>ex ante</w:t>
      </w:r>
      <w:proofErr w:type="spellEnd"/>
      <w:r w:rsidRPr="000E1943">
        <w:rPr>
          <w:sz w:val="12"/>
        </w:rPr>
        <w:t xml:space="preserve"> regulation, it is not clear that this concern has constitutional dimension. Each of these objections has an answer, but ultimately </w:t>
      </w:r>
      <w:r w:rsidRPr="000E1943">
        <w:rPr>
          <w:rStyle w:val="StyleUnderline"/>
        </w:rPr>
        <w:t>the positive law is ambiguous</w:t>
      </w:r>
      <w:r w:rsidRPr="000E1943">
        <w:rPr>
          <w:sz w:val="12"/>
        </w:rPr>
        <w:t xml:space="preserve">. </w:t>
      </w:r>
      <w:r w:rsidRPr="000E1943">
        <w:rPr>
          <w:rStyle w:val="StyleUnderline"/>
        </w:rPr>
        <w:t xml:space="preserve">It is not clear </w:t>
      </w:r>
      <w:proofErr w:type="gramStart"/>
      <w:r w:rsidRPr="000E1943">
        <w:rPr>
          <w:rStyle w:val="StyleUnderline"/>
        </w:rPr>
        <w:t>on the basis of</w:t>
      </w:r>
      <w:proofErr w:type="gramEnd"/>
      <w:r w:rsidRPr="000E1943">
        <w:rPr>
          <w:rStyle w:val="StyleUnderline"/>
        </w:rPr>
        <w:t xml:space="preserve"> the Constitution and precedent alone whether the rule that criminal deterrence must be the “first line of defense” against self-determining agents applies to non-custodial forms of restraint</w:t>
      </w:r>
      <w:r w:rsidRPr="000E1943">
        <w:rPr>
          <w:sz w:val="12"/>
        </w:rPr>
        <w:t xml:space="preserve">. Any argument that it does must invoke normative principles. It must contend that targeting certain people for restraint </w:t>
      </w:r>
      <w:proofErr w:type="gramStart"/>
      <w:r w:rsidRPr="000E1943">
        <w:rPr>
          <w:sz w:val="12"/>
        </w:rPr>
        <w:t>on the basis of</w:t>
      </w:r>
      <w:proofErr w:type="gramEnd"/>
      <w:r w:rsidRPr="000E1943">
        <w:rPr>
          <w:sz w:val="12"/>
        </w:rPr>
        <w:t xml:space="preserve"> their projected future actions raises a unique concern that the doctrine should reflect. In other words, </w:t>
      </w:r>
      <w:r w:rsidRPr="000E1943">
        <w:rPr>
          <w:rStyle w:val="StyleUnderline"/>
        </w:rPr>
        <w:t>the argument must be that criminal law furthers an important value by treating all individuals as equal moral agents with equal capacity to obey</w:t>
      </w:r>
      <w:r w:rsidRPr="000E1943">
        <w:rPr>
          <w:sz w:val="12"/>
        </w:rPr>
        <w:t xml:space="preserve">. </w:t>
      </w:r>
      <w:r w:rsidRPr="000E1943">
        <w:rPr>
          <w:rStyle w:val="StyleUnderline"/>
        </w:rPr>
        <w:t>There is ample material in criminal law theory to support that position</w:t>
      </w:r>
      <w:r w:rsidRPr="000E1943">
        <w:rPr>
          <w:sz w:val="12"/>
        </w:rPr>
        <w:t xml:space="preserve">. In addition, </w:t>
      </w:r>
      <w:r w:rsidRPr="000E1943">
        <w:rPr>
          <w:rStyle w:val="StyleUnderline"/>
        </w:rPr>
        <w:t xml:space="preserve">some of the Supreme Court’s pronouncements on the Constitution’s respect for individual dignity and </w:t>
      </w:r>
      <w:proofErr w:type="spellStart"/>
      <w:r w:rsidRPr="000E1943">
        <w:rPr>
          <w:rStyle w:val="StyleUnderline"/>
        </w:rPr>
        <w:t>decisionmaking</w:t>
      </w:r>
      <w:proofErr w:type="spellEnd"/>
      <w:r w:rsidRPr="000E1943">
        <w:rPr>
          <w:rStyle w:val="StyleUnderline"/>
        </w:rPr>
        <w:t xml:space="preserve"> autonomy might help to ground it</w:t>
      </w:r>
      <w:r w:rsidRPr="000E1943">
        <w:rPr>
          <w:sz w:val="12"/>
        </w:rPr>
        <w:t xml:space="preserve">.284 </w:t>
      </w:r>
      <w:r w:rsidRPr="000E1943">
        <w:rPr>
          <w:rStyle w:val="Emphasis"/>
        </w:rPr>
        <w:t>Were the Court to recognize a fundamental right to be treated as an equal moral agent, CCs, along with other propensity restraints, would infringe it</w:t>
      </w:r>
      <w:r w:rsidRPr="000E1943">
        <w:rPr>
          <w:sz w:val="12"/>
        </w:rPr>
        <w:t>.</w:t>
      </w:r>
    </w:p>
    <w:bookmarkEnd w:id="5"/>
    <w:p w14:paraId="170E5FDF" w14:textId="025DF8A0" w:rsidR="003533F1" w:rsidRDefault="003533F1" w:rsidP="003533F1">
      <w:pPr>
        <w:pStyle w:val="Heading3"/>
      </w:pPr>
      <w:r>
        <w:t>2AC Solvency</w:t>
      </w:r>
      <w:r w:rsidR="005C4509">
        <w:t xml:space="preserve"> General</w:t>
      </w:r>
      <w:r>
        <w:t xml:space="preserve"> </w:t>
      </w:r>
    </w:p>
    <w:p w14:paraId="1D80B738" w14:textId="7916C27B" w:rsidR="003533F1" w:rsidRDefault="003533F1" w:rsidP="003533F1"/>
    <w:p w14:paraId="792FDC72" w14:textId="082392E0" w:rsidR="003533F1" w:rsidRDefault="003533F1" w:rsidP="003533F1">
      <w:pPr>
        <w:pStyle w:val="Heading4"/>
      </w:pPr>
      <w:r>
        <w:t>And, the courts should use equal protection and due process to extend rights to people with criminal records</w:t>
      </w:r>
    </w:p>
    <w:p w14:paraId="57C65B1A" w14:textId="77777777" w:rsidR="003533F1" w:rsidRPr="003533F1" w:rsidRDefault="003533F1" w:rsidP="003533F1"/>
    <w:p w14:paraId="6E01A493" w14:textId="77777777" w:rsidR="003533F1" w:rsidRDefault="003533F1" w:rsidP="003533F1">
      <w:pPr>
        <w:rPr>
          <w:rStyle w:val="Style13ptBold"/>
        </w:rPr>
      </w:pPr>
      <w:proofErr w:type="spellStart"/>
      <w:r>
        <w:rPr>
          <w:rStyle w:val="Style13ptBold"/>
        </w:rPr>
        <w:t>Aukerman</w:t>
      </w:r>
      <w:proofErr w:type="spellEnd"/>
      <w:r>
        <w:rPr>
          <w:rStyle w:val="Style13ptBold"/>
        </w:rPr>
        <w:t xml:space="preserve"> ‘5</w:t>
      </w:r>
    </w:p>
    <w:p w14:paraId="5013954F" w14:textId="77777777" w:rsidR="003533F1" w:rsidRPr="00F32EEC" w:rsidRDefault="003533F1" w:rsidP="003533F1">
      <w:r w:rsidRPr="002B4295">
        <w:t xml:space="preserve">(Miriam, </w:t>
      </w:r>
      <w:r>
        <w:t xml:space="preserve">Miriam </w:t>
      </w:r>
      <w:proofErr w:type="spellStart"/>
      <w:r>
        <w:t>Aukerman</w:t>
      </w:r>
      <w:proofErr w:type="spellEnd"/>
      <w:r>
        <w:t xml:space="preserve"> is a senior staff attorney who has led some of the ACLU of Michigan’s most important legal battles and also heads our West Michigan office., She graduated summa cum laude from both Cornell University and the New York University Law School, was a </w:t>
      </w:r>
      <w:proofErr w:type="spellStart"/>
      <w:r>
        <w:t>Keasbey</w:t>
      </w:r>
      <w:proofErr w:type="spellEnd"/>
      <w:r>
        <w:t xml:space="preserve"> Scholar at Oxford University, and clerked on the U.S. Court of Appeals for the Second Circuit for Judge Pierre Leva, </w:t>
      </w:r>
      <w:r w:rsidRPr="002B4295">
        <w:t xml:space="preserve">“The Somewhat Suspect Class: Towards A Constitutional Framework For Evaluating Occupational Restrictions Affecting People With Criminal Records,” Journal Of Law In Society </w:t>
      </w:r>
      <w:proofErr w:type="spellStart"/>
      <w:r w:rsidRPr="002B4295">
        <w:t>pg</w:t>
      </w:r>
      <w:proofErr w:type="spellEnd"/>
      <w:r w:rsidRPr="002B4295">
        <w:t xml:space="preserve"> lexis //um-</w:t>
      </w:r>
      <w:proofErr w:type="spellStart"/>
      <w:r w:rsidRPr="002B4295">
        <w:t>ef</w:t>
      </w:r>
      <w:proofErr w:type="spellEnd"/>
      <w:r w:rsidRPr="002B4295">
        <w:t>)</w:t>
      </w:r>
    </w:p>
    <w:p w14:paraId="161D767D" w14:textId="24B4E32C" w:rsidR="003533F1" w:rsidRPr="00556D43" w:rsidRDefault="003533F1" w:rsidP="003533F1">
      <w:pPr>
        <w:rPr>
          <w:sz w:val="16"/>
        </w:rPr>
      </w:pPr>
      <w:r w:rsidRPr="00556D43">
        <w:rPr>
          <w:sz w:val="16"/>
        </w:rPr>
        <w:t xml:space="preserve">Although people with criminal records are not a suspect class, </w:t>
      </w:r>
      <w:r w:rsidRPr="003533F1">
        <w:rPr>
          <w:rStyle w:val="StyleUnderline"/>
        </w:rPr>
        <w:t>record-based occupational restrictions are still subject to scrutiny</w:t>
      </w:r>
      <w:r w:rsidRPr="00556D43">
        <w:rPr>
          <w:sz w:val="16"/>
        </w:rPr>
        <w:t xml:space="preserve">, </w:t>
      </w:r>
      <w:r w:rsidRPr="003533F1">
        <w:rPr>
          <w:rStyle w:val="Emphasis"/>
        </w:rPr>
        <w:t>both as a matter of equal protection and as a matter of due process.</w:t>
      </w:r>
      <w:r w:rsidRPr="00556D43">
        <w:rPr>
          <w:sz w:val="16"/>
        </w:rPr>
        <w:t xml:space="preserve"> In concluding, I would like to highlight three principles which emerge from the analysis above, and which, if applied, would help ensure that </w:t>
      </w:r>
      <w:r w:rsidRPr="003533F1">
        <w:rPr>
          <w:rStyle w:val="StyleUnderline"/>
        </w:rPr>
        <w:t>constitutional scrutiny of employment prohibitions is meaningful</w:t>
      </w:r>
      <w:r w:rsidRPr="00556D43">
        <w:rPr>
          <w:sz w:val="16"/>
        </w:rPr>
        <w:t>.</w:t>
      </w:r>
      <w:r w:rsidR="00556D43" w:rsidRPr="00556D43">
        <w:rPr>
          <w:sz w:val="16"/>
        </w:rPr>
        <w:t xml:space="preserve"> </w:t>
      </w:r>
      <w:r w:rsidRPr="00556D43">
        <w:rPr>
          <w:sz w:val="16"/>
        </w:rPr>
        <w:t xml:space="preserve">First, </w:t>
      </w:r>
      <w:r w:rsidRPr="003533F1">
        <w:rPr>
          <w:rStyle w:val="StyleUnderline"/>
        </w:rPr>
        <w:t>courts should recognize that people with criminal records, like traditional suspect classes, lack political power and have suffered a history of discrimination</w:t>
      </w:r>
      <w:r w:rsidRPr="00556D43">
        <w:rPr>
          <w:sz w:val="16"/>
        </w:rPr>
        <w:t xml:space="preserve">. Because the political process cannot be relied upon, </w:t>
      </w:r>
      <w:r w:rsidRPr="00556D43">
        <w:rPr>
          <w:rStyle w:val="StyleUnderline"/>
        </w:rPr>
        <w:t>there is a much greater danger than in the case of other social or economic legislation that laws targeting people with criminal records will impose unnecessary harm</w:t>
      </w:r>
      <w:r w:rsidRPr="00556D43">
        <w:rPr>
          <w:sz w:val="16"/>
        </w:rPr>
        <w:t xml:space="preserve">. </w:t>
      </w:r>
      <w:r w:rsidRPr="00556D43">
        <w:rPr>
          <w:rStyle w:val="StyleUnderline"/>
        </w:rPr>
        <w:t>If people with criminal records had a real voice in the political process, there would still be occupational restrictions</w:t>
      </w:r>
      <w:r w:rsidRPr="00556D43">
        <w:rPr>
          <w:sz w:val="16"/>
        </w:rPr>
        <w:t xml:space="preserve">. </w:t>
      </w:r>
      <w:r w:rsidRPr="00556D43">
        <w:rPr>
          <w:rStyle w:val="StyleUnderline"/>
        </w:rPr>
        <w:t>But those restrictions would do a much better job of balancing the employment rights of former offenders against the need to keep dangerous and untrustworthy individuals out of positions in which they could harm the public</w:t>
      </w:r>
      <w:r w:rsidRPr="00556D43">
        <w:rPr>
          <w:sz w:val="16"/>
        </w:rPr>
        <w:t xml:space="preserve">. Moreover, </w:t>
      </w:r>
      <w:r w:rsidRPr="00556D43">
        <w:rPr>
          <w:rStyle w:val="Emphasis"/>
        </w:rPr>
        <w:t>the history of discrimination suggests that courts should recognize the danger that record-based laws may reflect not just legitimate state interests, but also animus towards people with criminal records</w:t>
      </w:r>
      <w:r w:rsidRPr="00556D43">
        <w:rPr>
          <w:sz w:val="16"/>
        </w:rPr>
        <w:t>. Even when laws are not motivated by prejudice, the general public loathing of former offenders means that laws will often fail to give due weight to the harms imposed upon people with criminal records.</w:t>
      </w:r>
      <w:r w:rsidR="00556D43" w:rsidRPr="00556D43">
        <w:rPr>
          <w:sz w:val="16"/>
        </w:rPr>
        <w:t xml:space="preserve"> </w:t>
      </w:r>
      <w:r w:rsidRPr="00556D43">
        <w:rPr>
          <w:sz w:val="16"/>
        </w:rPr>
        <w:t xml:space="preserve">Because of the deficiencies in the political process and the impact that animus has on legislative choices, </w:t>
      </w:r>
      <w:r w:rsidRPr="00556D43">
        <w:rPr>
          <w:rStyle w:val="Emphasis"/>
        </w:rPr>
        <w:t>reviewing courts should engage in a rigorous equal protection analysis</w:t>
      </w:r>
      <w:r w:rsidRPr="00556D43">
        <w:rPr>
          <w:sz w:val="16"/>
        </w:rPr>
        <w:t>, w</w:t>
      </w:r>
      <w:r w:rsidRPr="00556D43">
        <w:rPr>
          <w:rStyle w:val="StyleUnderline"/>
        </w:rPr>
        <w:t>hile recognizing the legitimacy of record-based distinctions.</w:t>
      </w:r>
      <w:r w:rsidRPr="00556D43">
        <w:rPr>
          <w:sz w:val="16"/>
        </w:rPr>
        <w:t xml:space="preserve"> </w:t>
      </w:r>
      <w:r w:rsidRPr="00556D43">
        <w:rPr>
          <w:rStyle w:val="StyleUnderline"/>
        </w:rPr>
        <w:t>Even under rational basis review, courts must seek to ferret out animus,</w:t>
      </w:r>
      <w:r w:rsidRPr="00556D43">
        <w:rPr>
          <w:sz w:val="16"/>
        </w:rPr>
        <w:t xml:space="preserve"> since “if the constitutional conception of ‘equal protection of laws’ means anything, it must at the very least mean a bare congressional desire to harm a politically unpopular group cannot constitute a legitimate governmental purpose.”397 Moreover, it is important to remember that </w:t>
      </w:r>
      <w:r w:rsidRPr="00556D43">
        <w:rPr>
          <w:rStyle w:val="StyleUnderline"/>
        </w:rPr>
        <w:t>laws which reflect legitimate interests at their core can simultaneously reflect irrational prejudice in their overbreadth</w:t>
      </w:r>
      <w:r w:rsidRPr="00556D43">
        <w:rPr>
          <w:sz w:val="16"/>
        </w:rPr>
        <w:t xml:space="preserve">. In other words, as the rational basis with “bite” cases suggest, the lack of a reasonably close fit between the legislature’s goals and the means it has chosen may itself be evidence of prejudice. Second, a court’s willingness to step in should reflect “the constitutional and societal importance of the interest adversely affected.”398 While employment is not a fundamental right, it is a tremendously important one. Laws that burden </w:t>
      </w:r>
      <w:proofErr w:type="gramStart"/>
      <w:r w:rsidRPr="00556D43">
        <w:rPr>
          <w:sz w:val="16"/>
        </w:rPr>
        <w:t>very important</w:t>
      </w:r>
      <w:proofErr w:type="gramEnd"/>
      <w:r w:rsidRPr="00556D43">
        <w:rPr>
          <w:sz w:val="16"/>
        </w:rPr>
        <w:t xml:space="preserve"> interests deserve more judicial scrutiny than laws that affect trivial matters.</w:t>
      </w:r>
    </w:p>
    <w:p w14:paraId="03575A74" w14:textId="77777777" w:rsidR="003533F1" w:rsidRDefault="003533F1" w:rsidP="003533F1"/>
    <w:p w14:paraId="4935BABA" w14:textId="77777777" w:rsidR="003533F1" w:rsidRDefault="003533F1" w:rsidP="003533F1">
      <w:pPr>
        <w:pStyle w:val="Heading3"/>
      </w:pPr>
      <w:r>
        <w:t>2AC Equal Protection Solvency</w:t>
      </w:r>
    </w:p>
    <w:p w14:paraId="2D496051" w14:textId="4A7BE560" w:rsidR="003533F1" w:rsidRDefault="003533F1" w:rsidP="003533F1"/>
    <w:p w14:paraId="0E1B7E47" w14:textId="3AEAC48E" w:rsidR="00556D43" w:rsidRDefault="00556D43" w:rsidP="00556D43">
      <w:pPr>
        <w:pStyle w:val="Heading4"/>
      </w:pPr>
      <w:r>
        <w:t>Court should require equal protection analysis and protection to people with criminal records</w:t>
      </w:r>
    </w:p>
    <w:p w14:paraId="559239DC" w14:textId="77777777" w:rsidR="00556D43" w:rsidRPr="00556D43" w:rsidRDefault="00556D43" w:rsidP="00556D43"/>
    <w:p w14:paraId="7300C8BB" w14:textId="77777777" w:rsidR="003533F1" w:rsidRDefault="003533F1" w:rsidP="003533F1">
      <w:pPr>
        <w:rPr>
          <w:rStyle w:val="Style13ptBold"/>
        </w:rPr>
      </w:pPr>
      <w:proofErr w:type="spellStart"/>
      <w:r>
        <w:rPr>
          <w:rStyle w:val="Style13ptBold"/>
        </w:rPr>
        <w:t>Aukerman</w:t>
      </w:r>
      <w:proofErr w:type="spellEnd"/>
      <w:r>
        <w:rPr>
          <w:rStyle w:val="Style13ptBold"/>
        </w:rPr>
        <w:t xml:space="preserve"> ‘5</w:t>
      </w:r>
    </w:p>
    <w:p w14:paraId="0021AED1" w14:textId="77777777" w:rsidR="003533F1" w:rsidRDefault="003533F1" w:rsidP="003533F1">
      <w:r w:rsidRPr="002B4295">
        <w:t xml:space="preserve">(Miriam, </w:t>
      </w:r>
      <w:r>
        <w:t xml:space="preserve">Miriam </w:t>
      </w:r>
      <w:proofErr w:type="spellStart"/>
      <w:r>
        <w:t>Aukerman</w:t>
      </w:r>
      <w:proofErr w:type="spellEnd"/>
      <w:r>
        <w:t xml:space="preserve"> is a senior staff attorney who has led some of the ACLU of Michigan’s most important legal battles and also heads our West Michigan office., She graduated summa cum laude from both Cornell University and the New York University Law School, was a </w:t>
      </w:r>
      <w:proofErr w:type="spellStart"/>
      <w:r>
        <w:t>Keasbey</w:t>
      </w:r>
      <w:proofErr w:type="spellEnd"/>
      <w:r>
        <w:t xml:space="preserve"> Scholar at Oxford University, and clerked on the U.S. Court of Appeals for the Second Circuit for Judge Pierre Leva, </w:t>
      </w:r>
      <w:r w:rsidRPr="002B4295">
        <w:t xml:space="preserve">“The Somewhat Suspect Class: Towards A Constitutional Framework For Evaluating Occupational Restrictions Affecting People With Criminal Records,” Journal Of Law In Society </w:t>
      </w:r>
      <w:proofErr w:type="spellStart"/>
      <w:r w:rsidRPr="002B4295">
        <w:t>pg</w:t>
      </w:r>
      <w:proofErr w:type="spellEnd"/>
      <w:r w:rsidRPr="002B4295">
        <w:t xml:space="preserve"> lexis //um-</w:t>
      </w:r>
      <w:proofErr w:type="spellStart"/>
      <w:r w:rsidRPr="002B4295">
        <w:t>ef</w:t>
      </w:r>
      <w:proofErr w:type="spellEnd"/>
      <w:r w:rsidRPr="002B4295">
        <w:t>)</w:t>
      </w:r>
    </w:p>
    <w:p w14:paraId="273C2539" w14:textId="77777777" w:rsidR="003533F1" w:rsidRDefault="003533F1" w:rsidP="003533F1">
      <w:r w:rsidRPr="00556D43">
        <w:rPr>
          <w:rStyle w:val="StyleUnderline"/>
        </w:rPr>
        <w:t>In the equal protection context, a recognition of the importance of the interest affected points towards rational basis with “bite.”</w:t>
      </w:r>
      <w:r>
        <w:t xml:space="preserve"> As Justice Marshall noted in Cleburne, it was “</w:t>
      </w:r>
      <w:r w:rsidRPr="00556D43">
        <w:rPr>
          <w:rStyle w:val="StyleUnderline"/>
        </w:rPr>
        <w:t>the importance of the interest at stake,” coupled with history of discrimination, that required the court “to do more than review the distinctions drawn by Cleburne’s zoning ordinance as if they appeared in a taxing statute or in economic or commercial legislation</w:t>
      </w:r>
      <w:r>
        <w:t xml:space="preserve">.”399 </w:t>
      </w:r>
      <w:r w:rsidRPr="00556D43">
        <w:rPr>
          <w:rStyle w:val="Emphasis"/>
        </w:rPr>
        <w:t>In conducting an equal protection analysis, courts should also recognize that the right to work in a licensed profession is very similar to the right to work in an unlicensed profession</w:t>
      </w:r>
      <w:r>
        <w:t xml:space="preserve">. </w:t>
      </w:r>
      <w:r w:rsidRPr="00556D43">
        <w:rPr>
          <w:rStyle w:val="StyleUnderline"/>
        </w:rPr>
        <w:t>Courts should therefore apply the stricter requirements of the occupational licensing cases to prohibitions that affect unlicensed occupations</w:t>
      </w:r>
      <w:r>
        <w:t xml:space="preserve">. </w:t>
      </w:r>
    </w:p>
    <w:p w14:paraId="496CD65F" w14:textId="77777777" w:rsidR="003533F1" w:rsidRPr="00973634" w:rsidRDefault="003533F1" w:rsidP="003533F1"/>
    <w:p w14:paraId="6F68DA7E" w14:textId="77777777" w:rsidR="003533F1" w:rsidRDefault="003533F1" w:rsidP="003533F1">
      <w:pPr>
        <w:pStyle w:val="Heading3"/>
      </w:pPr>
      <w:r>
        <w:t xml:space="preserve">2AC Due Process Solvency </w:t>
      </w:r>
    </w:p>
    <w:p w14:paraId="249307C4" w14:textId="484189B0" w:rsidR="003533F1" w:rsidRDefault="003533F1" w:rsidP="003533F1"/>
    <w:p w14:paraId="154BF8C9" w14:textId="121043F3" w:rsidR="00DD23B3" w:rsidRDefault="00DD23B3" w:rsidP="00DD23B3">
      <w:pPr>
        <w:pStyle w:val="Heading4"/>
      </w:pPr>
      <w:r>
        <w:t xml:space="preserve">And, if laws aren’t reasonably well </w:t>
      </w:r>
      <w:proofErr w:type="gramStart"/>
      <w:r>
        <w:t>tailored</w:t>
      </w:r>
      <w:proofErr w:type="gramEnd"/>
      <w:r>
        <w:t xml:space="preserve"> they violate due process</w:t>
      </w:r>
    </w:p>
    <w:p w14:paraId="150B8670" w14:textId="77777777" w:rsidR="00DD23B3" w:rsidRPr="00DD23B3" w:rsidRDefault="00DD23B3" w:rsidP="00DD23B3"/>
    <w:p w14:paraId="379DA493" w14:textId="77777777" w:rsidR="003533F1" w:rsidRDefault="003533F1" w:rsidP="003533F1">
      <w:pPr>
        <w:rPr>
          <w:rStyle w:val="Style13ptBold"/>
        </w:rPr>
      </w:pPr>
      <w:proofErr w:type="spellStart"/>
      <w:r>
        <w:rPr>
          <w:rStyle w:val="Style13ptBold"/>
        </w:rPr>
        <w:t>Aukerman</w:t>
      </w:r>
      <w:proofErr w:type="spellEnd"/>
      <w:r>
        <w:rPr>
          <w:rStyle w:val="Style13ptBold"/>
        </w:rPr>
        <w:t xml:space="preserve"> ‘5</w:t>
      </w:r>
    </w:p>
    <w:p w14:paraId="35BF61FC" w14:textId="77777777" w:rsidR="003533F1" w:rsidRDefault="003533F1" w:rsidP="003533F1">
      <w:r w:rsidRPr="002B4295">
        <w:t xml:space="preserve">(Miriam, </w:t>
      </w:r>
      <w:r>
        <w:t xml:space="preserve">Miriam </w:t>
      </w:r>
      <w:proofErr w:type="spellStart"/>
      <w:r>
        <w:t>Aukerman</w:t>
      </w:r>
      <w:proofErr w:type="spellEnd"/>
      <w:r>
        <w:t xml:space="preserve"> is a senior staff attorney who has led some of the ACLU of Michigan’s most important legal battles and also heads our West Michigan office., She graduated summa cum laude from both Cornell University and the New York University Law School, was a </w:t>
      </w:r>
      <w:proofErr w:type="spellStart"/>
      <w:r>
        <w:t>Keasbey</w:t>
      </w:r>
      <w:proofErr w:type="spellEnd"/>
      <w:r>
        <w:t xml:space="preserve"> Scholar at Oxford University, and clerked on the U.S. Court of Appeals for the Second Circuit for Judge Pierre Leva, </w:t>
      </w:r>
      <w:r w:rsidRPr="002B4295">
        <w:t xml:space="preserve">“The Somewhat Suspect Class: Towards A Constitutional Framework For Evaluating Occupational Restrictions Affecting People With Criminal Records,” Journal Of Law In Society </w:t>
      </w:r>
      <w:proofErr w:type="spellStart"/>
      <w:r w:rsidRPr="002B4295">
        <w:t>pg</w:t>
      </w:r>
      <w:proofErr w:type="spellEnd"/>
      <w:r w:rsidRPr="002B4295">
        <w:t xml:space="preserve"> lexis //um-</w:t>
      </w:r>
      <w:proofErr w:type="spellStart"/>
      <w:r w:rsidRPr="002B4295">
        <w:t>ef</w:t>
      </w:r>
      <w:proofErr w:type="spellEnd"/>
      <w:r w:rsidRPr="002B4295">
        <w:t>)</w:t>
      </w:r>
    </w:p>
    <w:p w14:paraId="0A1EDE70" w14:textId="77777777" w:rsidR="003533F1" w:rsidRDefault="003533F1" w:rsidP="003533F1">
      <w:r w:rsidRPr="009B37AF">
        <w:rPr>
          <w:rStyle w:val="StyleUnderline"/>
        </w:rPr>
        <w:t xml:space="preserve">In the due process context, recognizing the importance of the interest affected means asking whether there are legitimate regulatory interests that justify depriving former offenders of their employment rights </w:t>
      </w:r>
      <w:r w:rsidRPr="009B37AF">
        <w:rPr>
          <w:rStyle w:val="Emphasis"/>
        </w:rPr>
        <w:t>without giving them due process</w:t>
      </w:r>
      <w:r w:rsidRPr="009B37AF">
        <w:t xml:space="preserve">. </w:t>
      </w:r>
      <w:r w:rsidRPr="009B37AF">
        <w:rPr>
          <w:rStyle w:val="Emphasis"/>
        </w:rPr>
        <w:t>If laws are not reasonably well tailored</w:t>
      </w:r>
      <w:r>
        <w:t xml:space="preserve"> </w:t>
      </w:r>
      <w:r w:rsidRPr="009B37AF">
        <w:rPr>
          <w:rStyle w:val="StyleUnderline"/>
        </w:rPr>
        <w:t>and important interests are at stake, then such deprivations may be unwarranted</w:t>
      </w:r>
      <w:r>
        <w:t xml:space="preserve">, even if no fundamental right is involved. In other words, the irrebuttable presumption doctrine may apply. </w:t>
      </w:r>
    </w:p>
    <w:p w14:paraId="5D4812A7" w14:textId="77777777" w:rsidR="003533F1" w:rsidRDefault="003533F1" w:rsidP="003533F1"/>
    <w:p w14:paraId="310071B4" w14:textId="77777777" w:rsidR="003533F1" w:rsidRDefault="003533F1" w:rsidP="003533F1"/>
    <w:p w14:paraId="7128D9D9" w14:textId="77777777" w:rsidR="00371F90" w:rsidRDefault="00371F90" w:rsidP="00371F90"/>
    <w:p w14:paraId="089052B6" w14:textId="48281FF0" w:rsidR="00371F90" w:rsidRPr="00FC6016" w:rsidRDefault="00CE436E" w:rsidP="00CE436E">
      <w:pPr>
        <w:pStyle w:val="Heading2"/>
      </w:pPr>
      <w:r>
        <w:t>Add-ons</w:t>
      </w:r>
    </w:p>
    <w:p w14:paraId="7E3E791E" w14:textId="77777777" w:rsidR="00CE436E" w:rsidRDefault="00CE436E" w:rsidP="00CE436E">
      <w:pPr>
        <w:pStyle w:val="Heading3"/>
      </w:pPr>
      <w:r>
        <w:t xml:space="preserve">2AC A/O: Frees-Up Cash </w:t>
      </w:r>
    </w:p>
    <w:p w14:paraId="3DB962F1" w14:textId="77777777" w:rsidR="00CE436E" w:rsidRDefault="00CE436E" w:rsidP="00CE436E"/>
    <w:p w14:paraId="0C1598E3" w14:textId="77777777" w:rsidR="00CE436E" w:rsidRDefault="00CE436E" w:rsidP="00CE436E"/>
    <w:p w14:paraId="3396EE12" w14:textId="77777777" w:rsidR="00CE436E" w:rsidRDefault="00CE436E" w:rsidP="00CE436E"/>
    <w:p w14:paraId="4037E575" w14:textId="77777777" w:rsidR="00CE436E" w:rsidRDefault="00CE436E" w:rsidP="00CE436E">
      <w:pPr>
        <w:pStyle w:val="Heading4"/>
      </w:pPr>
      <w:r>
        <w:t>Considering collateral consequences is key to solve for massive financial impacts</w:t>
      </w:r>
    </w:p>
    <w:p w14:paraId="3B6A86D5" w14:textId="77777777" w:rsidR="00CE436E" w:rsidRPr="00FD5DD1" w:rsidRDefault="00CE436E" w:rsidP="00CE436E">
      <w:pPr>
        <w:rPr>
          <w:sz w:val="20"/>
          <w:szCs w:val="20"/>
        </w:rPr>
      </w:pPr>
      <w:proofErr w:type="spellStart"/>
      <w:r w:rsidRPr="00FD5DD1">
        <w:rPr>
          <w:b/>
          <w:bCs/>
          <w:sz w:val="24"/>
          <w:szCs w:val="24"/>
        </w:rPr>
        <w:t>Macdowell</w:t>
      </w:r>
      <w:proofErr w:type="spellEnd"/>
      <w:r w:rsidRPr="00FD5DD1">
        <w:rPr>
          <w:b/>
          <w:bCs/>
          <w:sz w:val="24"/>
          <w:szCs w:val="24"/>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56"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00C35E3E" w14:textId="77777777" w:rsidR="00CE436E" w:rsidRPr="00F17335" w:rsidRDefault="00CE436E" w:rsidP="00CE436E">
      <w:pPr>
        <w:rPr>
          <w:sz w:val="16"/>
        </w:rPr>
      </w:pPr>
      <w:r w:rsidRPr="00F17335">
        <w:rPr>
          <w:sz w:val="16"/>
        </w:rPr>
        <w:t xml:space="preserve">4. Consideration of Collateral Consequences Is Appropriate as a Practical Matter   As the Second Circuit explained </w:t>
      </w:r>
      <w:proofErr w:type="gramStart"/>
      <w:r w:rsidRPr="00F17335">
        <w:rPr>
          <w:sz w:val="16"/>
        </w:rPr>
        <w:t>in  Stewart</w:t>
      </w:r>
      <w:proofErr w:type="gramEnd"/>
      <w:r w:rsidRPr="00F17335">
        <w:rPr>
          <w:sz w:val="16"/>
        </w:rPr>
        <w:t xml:space="preserve">, it would be challenging to impose a fair punishment without looking at the totality of the circumstances in any given case.     218What would constitute a fair and just punishment in one circumstance may not be fair and just for a different defendant. </w:t>
      </w:r>
      <w:r w:rsidRPr="00D11E04">
        <w:rPr>
          <w:b/>
          <w:bCs/>
          <w:u w:val="single"/>
        </w:rPr>
        <w:t>Collateral consequences are unique to each defendant</w:t>
      </w:r>
      <w:r w:rsidRPr="00F17335">
        <w:rPr>
          <w:sz w:val="16"/>
        </w:rPr>
        <w:t xml:space="preserve">, like previous criminal record, and factor into the entire situation. As </w:t>
      </w:r>
      <w:proofErr w:type="gramStart"/>
      <w:r w:rsidRPr="00F17335">
        <w:rPr>
          <w:sz w:val="16"/>
        </w:rPr>
        <w:t>appropriate  [</w:t>
      </w:r>
      <w:proofErr w:type="gramEnd"/>
      <w:r w:rsidRPr="00F17335">
        <w:rPr>
          <w:sz w:val="16"/>
        </w:rPr>
        <w:t xml:space="preserve">*833] punishments should match the severity of the crime, </w:t>
      </w:r>
      <w:r w:rsidRPr="00D11E04">
        <w:rPr>
          <w:b/>
          <w:bCs/>
          <w:u w:val="single"/>
        </w:rPr>
        <w:t>the entire punishment must be evaluated to determine whether it is appropriate</w:t>
      </w:r>
      <w:r w:rsidRPr="00F17335">
        <w:rPr>
          <w:sz w:val="16"/>
        </w:rPr>
        <w:t xml:space="preserve">.   </w:t>
      </w:r>
      <w:r w:rsidRPr="00D11E04">
        <w:rPr>
          <w:b/>
          <w:bCs/>
          <w:u w:val="single"/>
        </w:rPr>
        <w:t>Ignoring collateral consequences is not financially advantageous</w:t>
      </w:r>
      <w:r w:rsidRPr="00F17335">
        <w:rPr>
          <w:sz w:val="16"/>
        </w:rPr>
        <w:t xml:space="preserve">. The White House Council of Economic Advisers has determined that </w:t>
      </w:r>
      <w:r w:rsidRPr="00D11E04">
        <w:rPr>
          <w:b/>
          <w:bCs/>
          <w:u w:val="single"/>
        </w:rPr>
        <w:t>over-punishment of offenders through incarceration and extensive collateral consequences fails a cost-benefit analysis</w:t>
      </w:r>
      <w:r w:rsidRPr="00F17335">
        <w:rPr>
          <w:sz w:val="16"/>
        </w:rPr>
        <w:t xml:space="preserve">.     219   Considering collateral consequences would have a significant impact. The significance of this consideration can be demonstrated by examining the single collateral consequence of postconviction unemployment. The National Employment Law Project estimates </w:t>
      </w:r>
      <w:r w:rsidRPr="00D11E04">
        <w:rPr>
          <w:b/>
          <w:bCs/>
          <w:u w:val="single"/>
        </w:rPr>
        <w:t>that between 65 and 70 million Americans have a criminal record.</w:t>
      </w:r>
      <w:r w:rsidRPr="00F17335">
        <w:rPr>
          <w:sz w:val="16"/>
        </w:rPr>
        <w:t xml:space="preserve">     220As there are currently more than 325 million people in the United </w:t>
      </w:r>
      <w:proofErr w:type="gramStart"/>
      <w:r w:rsidRPr="00F17335">
        <w:rPr>
          <w:sz w:val="16"/>
        </w:rPr>
        <w:t xml:space="preserve">States,   </w:t>
      </w:r>
      <w:proofErr w:type="gramEnd"/>
      <w:r w:rsidRPr="00F17335">
        <w:rPr>
          <w:sz w:val="16"/>
        </w:rPr>
        <w:t xml:space="preserve">  221approximately 20-22% of the U.S. population has a criminal history. Because there is such a high criminal history rate in the U.S., </w:t>
      </w:r>
      <w:r w:rsidRPr="00D11E04">
        <w:rPr>
          <w:b/>
          <w:bCs/>
          <w:u w:val="single"/>
        </w:rPr>
        <w:t xml:space="preserve">a large portion of the American population is impacted by </w:t>
      </w:r>
      <w:r w:rsidRPr="00B655C2">
        <w:rPr>
          <w:rStyle w:val="Emphasis"/>
        </w:rPr>
        <w:t>postconviction employment implications</w:t>
      </w:r>
      <w:r w:rsidRPr="00D11E04">
        <w:rPr>
          <w:b/>
          <w:bCs/>
          <w:u w:val="single"/>
        </w:rPr>
        <w:t xml:space="preserve">. </w:t>
      </w:r>
      <w:r w:rsidRPr="00F17335">
        <w:rPr>
          <w:sz w:val="16"/>
        </w:rPr>
        <w:t xml:space="preserve">  As future employment opportunities and future earning potential are among the strongest deterrents from committing future crime,</w:t>
      </w:r>
      <w:r w:rsidRPr="00D11E04">
        <w:rPr>
          <w:b/>
          <w:bCs/>
          <w:u w:val="single"/>
        </w:rPr>
        <w:t xml:space="preserve"> improving</w:t>
      </w:r>
      <w:r w:rsidRPr="00F17335">
        <w:rPr>
          <w:sz w:val="16"/>
        </w:rPr>
        <w:t xml:space="preserve"> these </w:t>
      </w:r>
      <w:r w:rsidRPr="00D11E04">
        <w:rPr>
          <w:b/>
          <w:bCs/>
          <w:u w:val="single"/>
        </w:rPr>
        <w:t xml:space="preserve">opportunities for former offenders could </w:t>
      </w:r>
      <w:r w:rsidRPr="00B655C2">
        <w:rPr>
          <w:rStyle w:val="Emphasis"/>
        </w:rPr>
        <w:t>reduce their likelihood of recidivism</w:t>
      </w:r>
      <w:r w:rsidRPr="00D11E04">
        <w:rPr>
          <w:b/>
          <w:bCs/>
          <w:u w:val="single"/>
        </w:rPr>
        <w:t xml:space="preserve">. </w:t>
      </w:r>
      <w:r w:rsidRPr="00F17335">
        <w:rPr>
          <w:sz w:val="16"/>
        </w:rPr>
        <w:t xml:space="preserve">    222One study found that 42% of employed ex-offenders were not rearrested in the 600 days following their release, compared to only 24% of unemployed offenders.     223If the chance of recidivism is reduced, then the crime rate will also likely decrease. So, if more ex-offenders are employed, recidivism rates will likely decrease, thus improving public safety.     224   Further, </w:t>
      </w:r>
      <w:r w:rsidRPr="00D11E04">
        <w:rPr>
          <w:b/>
          <w:bCs/>
          <w:u w:val="single"/>
        </w:rPr>
        <w:t>the costs associated with criminal activity and the criminal justice system also could be dramatically, and positively, impacted</w:t>
      </w:r>
      <w:r w:rsidRPr="00F17335">
        <w:rPr>
          <w:sz w:val="16"/>
        </w:rPr>
        <w:t xml:space="preserve">.     225While the social costs of crime are difficult to measure, the </w:t>
      </w:r>
      <w:r w:rsidRPr="00D11E04">
        <w:rPr>
          <w:b/>
          <w:bCs/>
          <w:u w:val="single"/>
        </w:rPr>
        <w:t>monetary cost of the criminal justice system could be greatly impacted.</w:t>
      </w:r>
      <w:r w:rsidRPr="00F17335">
        <w:rPr>
          <w:sz w:val="16"/>
        </w:rPr>
        <w:t xml:space="preserve"> As of 2016, the </w:t>
      </w:r>
      <w:r w:rsidRPr="00D11E04">
        <w:rPr>
          <w:b/>
          <w:bCs/>
          <w:u w:val="single"/>
        </w:rPr>
        <w:t>U</w:t>
      </w:r>
      <w:r w:rsidRPr="00F17335">
        <w:rPr>
          <w:sz w:val="16"/>
        </w:rPr>
        <w:t xml:space="preserve">nited </w:t>
      </w:r>
      <w:r w:rsidRPr="00D11E04">
        <w:rPr>
          <w:b/>
          <w:bCs/>
          <w:u w:val="single"/>
        </w:rPr>
        <w:t>S</w:t>
      </w:r>
      <w:r w:rsidRPr="00F17335">
        <w:rPr>
          <w:sz w:val="16"/>
        </w:rPr>
        <w:t xml:space="preserve">tates </w:t>
      </w:r>
      <w:r w:rsidRPr="00D11E04">
        <w:rPr>
          <w:b/>
          <w:bCs/>
          <w:u w:val="single"/>
        </w:rPr>
        <w:t>spends $ 80 billion per year on imprisonment</w:t>
      </w:r>
      <w:r w:rsidRPr="00F17335">
        <w:rPr>
          <w:sz w:val="16"/>
        </w:rPr>
        <w:t xml:space="preserve">.     226To </w:t>
      </w:r>
      <w:proofErr w:type="spellStart"/>
      <w:r w:rsidRPr="00F17335">
        <w:rPr>
          <w:sz w:val="16"/>
        </w:rPr>
        <w:t>incarcer</w:t>
      </w:r>
      <w:proofErr w:type="spellEnd"/>
      <w:r w:rsidRPr="00F17335">
        <w:rPr>
          <w:sz w:val="16"/>
        </w:rPr>
        <w:t>-</w:t>
      </w:r>
      <w:proofErr w:type="gramStart"/>
      <w:r w:rsidRPr="00F17335">
        <w:rPr>
          <w:sz w:val="16"/>
        </w:rPr>
        <w:t>ate  [</w:t>
      </w:r>
      <w:proofErr w:type="gramEnd"/>
      <w:r w:rsidRPr="00F17335">
        <w:rPr>
          <w:sz w:val="16"/>
        </w:rPr>
        <w:t xml:space="preserve">*834] a single prisoner for a year costs $ 31,166, on average.     </w:t>
      </w:r>
      <w:r w:rsidRPr="00D11E04">
        <w:rPr>
          <w:b/>
          <w:bCs/>
          <w:u w:val="single"/>
        </w:rPr>
        <w:t>227In light of these high costs of prisons alone, even a slight decline in repeat offenses would generate considerable governmental savings.</w:t>
      </w:r>
      <w:r w:rsidRPr="00F17335">
        <w:rPr>
          <w:sz w:val="16"/>
        </w:rPr>
        <w:t xml:space="preserve">     228 </w:t>
      </w:r>
    </w:p>
    <w:p w14:paraId="6203213A" w14:textId="77777777" w:rsidR="00CE436E" w:rsidRDefault="00CE436E" w:rsidP="00CE436E"/>
    <w:p w14:paraId="69D3FB06" w14:textId="43B27E50" w:rsidR="008550B5" w:rsidRDefault="008550B5" w:rsidP="008550B5">
      <w:pPr>
        <w:pStyle w:val="Heading1"/>
      </w:pPr>
      <w:r>
        <w:t>DA Answers</w:t>
      </w:r>
    </w:p>
    <w:p w14:paraId="4823E5A9" w14:textId="160A71E7" w:rsidR="00F35A86" w:rsidRDefault="00585DD9" w:rsidP="00F35A86">
      <w:pPr>
        <w:pStyle w:val="Heading2"/>
      </w:pPr>
      <w:r>
        <w:t>Court DA Answers</w:t>
      </w:r>
    </w:p>
    <w:p w14:paraId="242E577E" w14:textId="77777777" w:rsidR="00F35A86" w:rsidRDefault="00F35A86" w:rsidP="00F35A86">
      <w:pPr>
        <w:pStyle w:val="Heading3"/>
      </w:pPr>
      <w:r>
        <w:t>2AC – UQ – Split Now</w:t>
      </w:r>
    </w:p>
    <w:p w14:paraId="57FE833C" w14:textId="77777777" w:rsidR="001D3068" w:rsidRDefault="001D3068" w:rsidP="001D3068">
      <w:pPr>
        <w:pStyle w:val="Heading4"/>
      </w:pPr>
      <w:r>
        <w:t xml:space="preserve">Courts are </w:t>
      </w:r>
      <w:r>
        <w:rPr>
          <w:u w:val="single"/>
        </w:rPr>
        <w:t>split</w:t>
      </w:r>
      <w:r>
        <w:t xml:space="preserve"> over collateral consequences without intervention from the Supreme Court – that decks uniqueness for </w:t>
      </w:r>
      <w:proofErr w:type="gramStart"/>
      <w:r>
        <w:t>all of</w:t>
      </w:r>
      <w:proofErr w:type="gramEnd"/>
      <w:r>
        <w:t xml:space="preserve"> their disadvantages</w:t>
      </w:r>
    </w:p>
    <w:p w14:paraId="59FD724E" w14:textId="77777777" w:rsidR="001D3068" w:rsidRDefault="001D3068" w:rsidP="001D3068">
      <w:r>
        <w:t>--at: court politics -- 6</w:t>
      </w:r>
      <w:r w:rsidRPr="007E39D1">
        <w:rPr>
          <w:vertAlign w:val="superscript"/>
        </w:rPr>
        <w:t>th</w:t>
      </w:r>
      <w:r>
        <w:t>, 7</w:t>
      </w:r>
      <w:r w:rsidRPr="007E39D1">
        <w:rPr>
          <w:vertAlign w:val="superscript"/>
        </w:rPr>
        <w:t>th</w:t>
      </w:r>
      <w:r>
        <w:t>, 10</w:t>
      </w:r>
      <w:r w:rsidRPr="007E39D1">
        <w:rPr>
          <w:vertAlign w:val="superscript"/>
        </w:rPr>
        <w:t>th</w:t>
      </w:r>
      <w:r>
        <w:t>, and 11</w:t>
      </w:r>
      <w:r w:rsidRPr="007E39D1">
        <w:rPr>
          <w:vertAlign w:val="superscript"/>
        </w:rPr>
        <w:t>th</w:t>
      </w:r>
      <w:r>
        <w:t xml:space="preserve"> (no collateral) vs 2</w:t>
      </w:r>
      <w:r w:rsidRPr="007E39D1">
        <w:rPr>
          <w:vertAlign w:val="superscript"/>
        </w:rPr>
        <w:t>nd</w:t>
      </w:r>
      <w:r>
        <w:t>, 4</w:t>
      </w:r>
      <w:r w:rsidRPr="007E39D1">
        <w:rPr>
          <w:vertAlign w:val="superscript"/>
        </w:rPr>
        <w:t>th</w:t>
      </w:r>
      <w:r>
        <w:t xml:space="preserve"> (collateral)</w:t>
      </w:r>
    </w:p>
    <w:p w14:paraId="6B170E8C" w14:textId="77777777" w:rsidR="001D3068" w:rsidRDefault="001D3068" w:rsidP="001D3068">
      <w:r>
        <w:t xml:space="preserve">--at: </w:t>
      </w:r>
      <w:proofErr w:type="spellStart"/>
      <w:r>
        <w:t>ptx</w:t>
      </w:r>
      <w:proofErr w:type="spellEnd"/>
      <w:r>
        <w:t xml:space="preserve"> -- Congress interested and launched an investigation</w:t>
      </w:r>
    </w:p>
    <w:p w14:paraId="6E96067F" w14:textId="77777777" w:rsidR="001D3068" w:rsidRPr="007E39D1" w:rsidRDefault="001D3068" w:rsidP="001D3068">
      <w:r w:rsidRPr="007E39D1">
        <w:rPr>
          <w:rStyle w:val="Style13ptBold"/>
        </w:rPr>
        <w:t>CRS Report and Analysis ’16</w:t>
      </w:r>
      <w:r>
        <w:t xml:space="preserve"> (CRS Report and Analysis; Congressional Research Service Investigations; 10/19/2016; “Collateral Consequences: What Role, if any, Should They Play in Crafting Sentences?”; </w:t>
      </w:r>
      <w:hyperlink r:id="rId57" w:history="1">
        <w:r w:rsidRPr="00D2075E">
          <w:rPr>
            <w:rStyle w:val="Hyperlink"/>
          </w:rPr>
          <w:t>https://fas.org/sgp/crs/misc/collateral.pdf</w:t>
        </w:r>
      </w:hyperlink>
      <w:r>
        <w:t xml:space="preserve">; </w:t>
      </w:r>
      <w:r>
        <w:rPr>
          <w:i/>
        </w:rPr>
        <w:t>Legal Sidebar</w:t>
      </w:r>
      <w:r>
        <w:t xml:space="preserve">; accessed: 06/21/2020; </w:t>
      </w:r>
      <w:proofErr w:type="spellStart"/>
      <w:r>
        <w:t>MohulA</w:t>
      </w:r>
      <w:proofErr w:type="spellEnd"/>
      <w:r>
        <w:t>)</w:t>
      </w:r>
    </w:p>
    <w:p w14:paraId="0C8416DF" w14:textId="77777777" w:rsidR="001D3068" w:rsidRPr="007E39D1" w:rsidRDefault="001D3068" w:rsidP="001D3068">
      <w:pPr>
        <w:rPr>
          <w:rStyle w:val="StyleUnderline"/>
        </w:rPr>
      </w:pPr>
      <w:r w:rsidRPr="00525CF7">
        <w:rPr>
          <w:sz w:val="12"/>
        </w:rPr>
        <w:t xml:space="preserve">In recent years, sentencing courts have acknowledged the long-term effects of federal criminal convictions in matters involving employment, licensure, immigration status, and public benefits. </w:t>
      </w:r>
      <w:r w:rsidRPr="00525CF7">
        <w:rPr>
          <w:rStyle w:val="Emphasis"/>
          <w:highlight w:val="cyan"/>
        </w:rPr>
        <w:t>Courts are divided as to what</w:t>
      </w:r>
      <w:r w:rsidRPr="002821FA">
        <w:rPr>
          <w:rStyle w:val="Emphasis"/>
        </w:rPr>
        <w:t xml:space="preserve">, if any, </w:t>
      </w:r>
      <w:r w:rsidRPr="00525CF7">
        <w:rPr>
          <w:rStyle w:val="Emphasis"/>
          <w:highlight w:val="cyan"/>
        </w:rPr>
        <w:t>role collateral consequences should play in sentencing a criminal defendant</w:t>
      </w:r>
      <w:r w:rsidRPr="00525CF7">
        <w:rPr>
          <w:sz w:val="12"/>
        </w:rPr>
        <w:t xml:space="preserve">. </w:t>
      </w:r>
      <w:r w:rsidRPr="002821FA">
        <w:rPr>
          <w:rStyle w:val="StyleUnderline"/>
        </w:rPr>
        <w:t>Can a judge impose a just and reasonable</w:t>
      </w:r>
      <w:r>
        <w:rPr>
          <w:rStyle w:val="StyleUnderline"/>
        </w:rPr>
        <w:t xml:space="preserve"> </w:t>
      </w:r>
      <w:r w:rsidRPr="002821FA">
        <w:rPr>
          <w:rStyle w:val="StyleUnderline"/>
        </w:rPr>
        <w:t>sentence without considering the collateral consequences of a criminal conviction</w:t>
      </w:r>
      <w:r w:rsidRPr="00525CF7">
        <w:rPr>
          <w:sz w:val="12"/>
        </w:rPr>
        <w:t xml:space="preserve">? </w:t>
      </w:r>
      <w:r w:rsidRPr="002821FA">
        <w:rPr>
          <w:rStyle w:val="StyleUnderline"/>
        </w:rPr>
        <w:t xml:space="preserve">Recently, </w:t>
      </w:r>
      <w:r w:rsidRPr="00525CF7">
        <w:rPr>
          <w:rStyle w:val="StyleUnderline"/>
          <w:highlight w:val="cyan"/>
        </w:rPr>
        <w:t>a federal district court in New York</w:t>
      </w:r>
      <w:r w:rsidRPr="002821FA">
        <w:rPr>
          <w:rStyle w:val="StyleUnderline"/>
        </w:rPr>
        <w:t xml:space="preserve"> answered that question in the negative when it </w:t>
      </w:r>
      <w:r w:rsidRPr="00525CF7">
        <w:rPr>
          <w:rStyle w:val="StyleUnderline"/>
          <w:highlight w:val="cyan"/>
        </w:rPr>
        <w:t>imposed a non-imprisonment sentence for a criminal defendant convicted of drug offenses</w:t>
      </w:r>
      <w:r w:rsidRPr="00525CF7">
        <w:rPr>
          <w:sz w:val="12"/>
        </w:rPr>
        <w:t xml:space="preserve">. </w:t>
      </w:r>
      <w:r w:rsidRPr="00525CF7">
        <w:rPr>
          <w:rStyle w:val="StyleUnderline"/>
          <w:highlight w:val="cyan"/>
        </w:rPr>
        <w:t xml:space="preserve">This decision is </w:t>
      </w:r>
      <w:r w:rsidRPr="00525CF7">
        <w:rPr>
          <w:rStyle w:val="Emphasis"/>
          <w:highlight w:val="cyan"/>
        </w:rPr>
        <w:t>contrary to decisions in other circuits, namely the Sixth, Seventh, Tenth, and Eleventh</w:t>
      </w:r>
      <w:r w:rsidRPr="00525CF7">
        <w:rPr>
          <w:sz w:val="12"/>
          <w:highlight w:val="cyan"/>
        </w:rPr>
        <w:t>.</w:t>
      </w:r>
      <w:r w:rsidRPr="00525CF7">
        <w:rPr>
          <w:sz w:val="12"/>
        </w:rPr>
        <w:t xml:space="preserve"> </w:t>
      </w:r>
      <w:r w:rsidRPr="00525CF7">
        <w:rPr>
          <w:rStyle w:val="Emphasis"/>
          <w:highlight w:val="cyan"/>
        </w:rPr>
        <w:t>The</w:t>
      </w:r>
      <w:r w:rsidRPr="002821FA">
        <w:rPr>
          <w:rStyle w:val="Emphasis"/>
        </w:rPr>
        <w:t xml:space="preserve"> Supreme </w:t>
      </w:r>
      <w:r w:rsidRPr="00525CF7">
        <w:rPr>
          <w:rStyle w:val="Emphasis"/>
          <w:highlight w:val="cyan"/>
        </w:rPr>
        <w:t>Court has yet to address whether it is permissible to consider collateral consequences when crafting sentences</w:t>
      </w:r>
      <w:r w:rsidRPr="002821FA">
        <w:rPr>
          <w:rStyle w:val="Emphasis"/>
        </w:rPr>
        <w:t xml:space="preserve"> for criminal defendants</w:t>
      </w:r>
      <w:r w:rsidRPr="00525CF7">
        <w:rPr>
          <w:sz w:val="12"/>
        </w:rPr>
        <w:t xml:space="preserve"> (</w:t>
      </w:r>
      <w:r w:rsidRPr="00525CF7">
        <w:rPr>
          <w:rStyle w:val="StyleUnderline"/>
          <w:highlight w:val="cyan"/>
        </w:rPr>
        <w:t>however, the Court found</w:t>
      </w:r>
      <w:r w:rsidRPr="002821FA">
        <w:rPr>
          <w:rStyle w:val="StyleUnderline"/>
        </w:rPr>
        <w:t xml:space="preserve"> that an attorney’s failure to warn a defendant</w:t>
      </w:r>
      <w:r>
        <w:rPr>
          <w:rStyle w:val="StyleUnderline"/>
        </w:rPr>
        <w:t xml:space="preserve"> </w:t>
      </w:r>
      <w:r w:rsidRPr="002821FA">
        <w:rPr>
          <w:rStyle w:val="StyleUnderline"/>
        </w:rPr>
        <w:t xml:space="preserve">of the </w:t>
      </w:r>
      <w:r w:rsidRPr="00525CF7">
        <w:rPr>
          <w:rStyle w:val="StyleUnderline"/>
          <w:highlight w:val="cyan"/>
        </w:rPr>
        <w:t>immigration-related consequences of a plea deal might form a basis for a</w:t>
      </w:r>
      <w:r w:rsidRPr="002821FA">
        <w:rPr>
          <w:rStyle w:val="StyleUnderline"/>
        </w:rPr>
        <w:t>n ineffective assistance of counsel</w:t>
      </w:r>
      <w:r>
        <w:rPr>
          <w:rStyle w:val="StyleUnderline"/>
        </w:rPr>
        <w:t xml:space="preserve"> </w:t>
      </w:r>
      <w:r w:rsidRPr="00525CF7">
        <w:rPr>
          <w:rStyle w:val="StyleUnderline"/>
          <w:highlight w:val="cyan"/>
        </w:rPr>
        <w:t>claim).</w:t>
      </w:r>
      <w:r>
        <w:rPr>
          <w:rStyle w:val="StyleUnderline"/>
        </w:rPr>
        <w:t xml:space="preserve"> </w:t>
      </w:r>
      <w:r w:rsidRPr="002821FA">
        <w:rPr>
          <w:rStyle w:val="StyleUnderline"/>
        </w:rPr>
        <w:t>Collateral consequences</w:t>
      </w:r>
      <w:r w:rsidRPr="00525CF7">
        <w:rPr>
          <w:sz w:val="12"/>
        </w:rPr>
        <w:t xml:space="preserve"> of a criminal conviction </w:t>
      </w:r>
      <w:r w:rsidRPr="002821FA">
        <w:rPr>
          <w:rStyle w:val="StyleUnderline"/>
        </w:rPr>
        <w:t>are the additional civil penalties and restrictions mandated by statute or</w:t>
      </w:r>
      <w:r>
        <w:rPr>
          <w:rStyle w:val="StyleUnderline"/>
        </w:rPr>
        <w:t xml:space="preserve"> </w:t>
      </w:r>
      <w:r w:rsidRPr="002821FA">
        <w:rPr>
          <w:rStyle w:val="StyleUnderline"/>
        </w:rPr>
        <w:t>regulation because of the criminal conviction</w:t>
      </w:r>
      <w:r w:rsidRPr="00525CF7">
        <w:rPr>
          <w:sz w:val="12"/>
        </w:rPr>
        <w:t xml:space="preserve">. They differ from direct consequences which are part of the court record and include a fine, imprisonment, or post-conviction control. </w:t>
      </w:r>
      <w:r w:rsidRPr="002821FA">
        <w:rPr>
          <w:rStyle w:val="StyleUnderline"/>
        </w:rPr>
        <w:t>Some collateral consequences are narrow</w:t>
      </w:r>
      <w:r w:rsidRPr="00525CF7">
        <w:rPr>
          <w:sz w:val="12"/>
        </w:rPr>
        <w:t xml:space="preserve"> and serve an important public safety or regulatory function, </w:t>
      </w:r>
      <w:r w:rsidRPr="002821FA">
        <w:rPr>
          <w:rStyle w:val="StyleUnderline"/>
        </w:rPr>
        <w:t>such as denying felons the right to purchase or possess firearms,</w:t>
      </w:r>
      <w:r>
        <w:rPr>
          <w:rStyle w:val="StyleUnderline"/>
        </w:rPr>
        <w:t xml:space="preserve"> </w:t>
      </w:r>
      <w:r w:rsidRPr="002821FA">
        <w:rPr>
          <w:rStyle w:val="StyleUnderline"/>
        </w:rPr>
        <w:t>protecting children or the elderly from individuals with an abusive history, or barring people convicted of fraud from</w:t>
      </w:r>
      <w:r>
        <w:rPr>
          <w:rStyle w:val="StyleUnderline"/>
        </w:rPr>
        <w:t xml:space="preserve"> </w:t>
      </w:r>
      <w:r w:rsidRPr="002821FA">
        <w:rPr>
          <w:rStyle w:val="StyleUnderline"/>
        </w:rPr>
        <w:t xml:space="preserve">positions of trust. Other collateral consequences are </w:t>
      </w:r>
      <w:proofErr w:type="gramStart"/>
      <w:r w:rsidRPr="002821FA">
        <w:rPr>
          <w:rStyle w:val="StyleUnderline"/>
        </w:rPr>
        <w:t>directly related</w:t>
      </w:r>
      <w:proofErr w:type="gramEnd"/>
      <w:r w:rsidRPr="002821FA">
        <w:rPr>
          <w:rStyle w:val="StyleUnderline"/>
        </w:rPr>
        <w:t xml:space="preserve"> to the particular crime, such as registration</w:t>
      </w:r>
      <w:r>
        <w:rPr>
          <w:rStyle w:val="StyleUnderline"/>
        </w:rPr>
        <w:t xml:space="preserve"> </w:t>
      </w:r>
      <w:r w:rsidRPr="002821FA">
        <w:rPr>
          <w:rStyle w:val="StyleUnderline"/>
        </w:rPr>
        <w:t>requirements for sex offenders</w:t>
      </w:r>
      <w:r w:rsidRPr="00525CF7">
        <w:rPr>
          <w:sz w:val="12"/>
        </w:rPr>
        <w:t xml:space="preserve">, driver’s license restrictions for those convicted of serious traffic offenses, or debarment of those convicted of procurement fraud. Also, under federal law, a felony drug conviction may render an individual ineligible for federal benefits including public housing, Section 8 vouchers, Social Security Act benefits, supplemental nutritional benefits, and student loans. </w:t>
      </w:r>
      <w:r w:rsidRPr="00525CF7">
        <w:rPr>
          <w:rStyle w:val="StyleUnderline"/>
          <w:highlight w:val="cyan"/>
        </w:rPr>
        <w:t>Crafting a sentence in the federal system is a two-part process consisting of</w:t>
      </w:r>
      <w:r w:rsidRPr="002821FA">
        <w:rPr>
          <w:rStyle w:val="StyleUnderline"/>
        </w:rPr>
        <w:t xml:space="preserve"> both a </w:t>
      </w:r>
      <w:r w:rsidRPr="00525CF7">
        <w:rPr>
          <w:rStyle w:val="StyleUnderline"/>
          <w:highlight w:val="cyan"/>
        </w:rPr>
        <w:t>procedural and substantive component</w:t>
      </w:r>
      <w:r w:rsidRPr="00525CF7">
        <w:rPr>
          <w:sz w:val="12"/>
        </w:rPr>
        <w:t xml:space="preserve">. First, </w:t>
      </w:r>
      <w:r w:rsidRPr="002821FA">
        <w:rPr>
          <w:rStyle w:val="StyleUnderline"/>
        </w:rPr>
        <w:t>the sentencing judge must consult the federal Sentencing Guidelines to determine the applicable</w:t>
      </w:r>
      <w:r>
        <w:rPr>
          <w:rStyle w:val="StyleUnderline"/>
        </w:rPr>
        <w:t xml:space="preserve"> </w:t>
      </w:r>
      <w:r w:rsidRPr="002821FA">
        <w:rPr>
          <w:rStyle w:val="StyleUnderline"/>
        </w:rPr>
        <w:t>guideline range</w:t>
      </w:r>
      <w:r w:rsidRPr="00525CF7">
        <w:rPr>
          <w:sz w:val="12"/>
        </w:rPr>
        <w:t>. Second, the court must consider the statutory sentencing factors under 18 U.S.C. §3553(a). Such factors include: “the nature and circumstances of the offense and the history and characteristics of the defendant,” providing adequate deterrence, and “protect[</w:t>
      </w:r>
      <w:proofErr w:type="spellStart"/>
      <w:r w:rsidRPr="00525CF7">
        <w:rPr>
          <w:sz w:val="12"/>
        </w:rPr>
        <w:t>ing</w:t>
      </w:r>
      <w:proofErr w:type="spellEnd"/>
      <w:r w:rsidRPr="00525CF7">
        <w:rPr>
          <w:sz w:val="12"/>
        </w:rPr>
        <w:t>] the public from future crimes of the defendant.” Generally, appellate courts will review sentences under a deferential abuse-of-discretion standard, which permits a decision to stand unless it is either procedurally or substantively unreasonable. In Gall v. United States, the Supreme Court identified potential procedural errors as including failure to calculate or miscalculating the Guidelines range; treating the Guidelines as mandatory as opposed to advisory; failing to consider the §3553(a) factors; selecting a sentence based on clearly erroneous facts; or failing to adequately explain the chosen sentence which includes an explanation for any deviation from the Guidelines range. The Gall Court described a sentence as being substantively unreasonable if the court fails to afford consideration to relevant factors that were due significant weight, gives significant weight to an improper or irrelevant factor; or commits a clear error of judgment when considering the proper factors</w:t>
      </w:r>
      <w:r w:rsidRPr="00525CF7">
        <w:rPr>
          <w:sz w:val="12"/>
          <w:highlight w:val="cyan"/>
        </w:rPr>
        <w:t xml:space="preserve">. </w:t>
      </w:r>
      <w:r w:rsidRPr="00525CF7">
        <w:rPr>
          <w:rStyle w:val="StyleUnderline"/>
          <w:highlight w:val="cyan"/>
        </w:rPr>
        <w:t xml:space="preserve">Courts are </w:t>
      </w:r>
      <w:r w:rsidRPr="00525CF7">
        <w:rPr>
          <w:rStyle w:val="Emphasis"/>
          <w:highlight w:val="cyan"/>
        </w:rPr>
        <w:t>split as to whether they may consider collateral consequences</w:t>
      </w:r>
      <w:r w:rsidRPr="002821FA">
        <w:rPr>
          <w:rStyle w:val="Emphasis"/>
        </w:rPr>
        <w:t xml:space="preserve"> under state and federal law </w:t>
      </w:r>
      <w:r w:rsidRPr="00525CF7">
        <w:rPr>
          <w:rStyle w:val="Emphasis"/>
          <w:highlight w:val="cyan"/>
        </w:rPr>
        <w:t>when sentencing criminal defendants</w:t>
      </w:r>
      <w:r w:rsidRPr="00525CF7">
        <w:rPr>
          <w:sz w:val="12"/>
        </w:rPr>
        <w:t xml:space="preserve">. </w:t>
      </w:r>
      <w:r w:rsidRPr="002821FA">
        <w:rPr>
          <w:rStyle w:val="StyleUnderline"/>
        </w:rPr>
        <w:t xml:space="preserve">The key issue of dispute concerns </w:t>
      </w:r>
      <w:r w:rsidRPr="002821FA">
        <w:rPr>
          <w:rStyle w:val="Emphasis"/>
        </w:rPr>
        <w:t>application of §3553(a)(2), which states that a sentence should</w:t>
      </w:r>
      <w:r>
        <w:rPr>
          <w:rStyle w:val="Emphasis"/>
        </w:rPr>
        <w:t xml:space="preserve"> </w:t>
      </w:r>
      <w:r w:rsidRPr="002821FA">
        <w:rPr>
          <w:rStyle w:val="Emphasis"/>
        </w:rPr>
        <w:t>“reflect the seriousness of the offense</w:t>
      </w:r>
      <w:r w:rsidRPr="002821FA">
        <w:rPr>
          <w:rStyle w:val="StyleUnderline"/>
        </w:rPr>
        <w:t>, [to] promote respect for the law, and [to] provide just punishment for the</w:t>
      </w:r>
      <w:r>
        <w:rPr>
          <w:rStyle w:val="StyleUnderline"/>
        </w:rPr>
        <w:t xml:space="preserve"> </w:t>
      </w:r>
      <w:r w:rsidRPr="002821FA">
        <w:rPr>
          <w:rStyle w:val="StyleUnderline"/>
        </w:rPr>
        <w:t>offense.”</w:t>
      </w:r>
      <w:r w:rsidRPr="00525CF7">
        <w:rPr>
          <w:sz w:val="12"/>
        </w:rPr>
        <w:t xml:space="preserve"> </w:t>
      </w:r>
      <w:r w:rsidRPr="002821FA">
        <w:rPr>
          <w:rStyle w:val="StyleUnderline"/>
        </w:rPr>
        <w:t>The Sixth, Seventh, Tenth and Eleventh Circuits have found that collateral consequences are generally</w:t>
      </w:r>
      <w:r>
        <w:rPr>
          <w:rStyle w:val="StyleUnderline"/>
        </w:rPr>
        <w:t xml:space="preserve"> </w:t>
      </w:r>
      <w:r w:rsidRPr="002821FA">
        <w:rPr>
          <w:rStyle w:val="StyleUnderline"/>
        </w:rPr>
        <w:t>impermissible factors for consideration under §3553(a)(2). They have concluded that consideration of such</w:t>
      </w:r>
      <w:r>
        <w:rPr>
          <w:rStyle w:val="StyleUnderline"/>
        </w:rPr>
        <w:t xml:space="preserve"> </w:t>
      </w:r>
      <w:r w:rsidRPr="002821FA">
        <w:rPr>
          <w:rStyle w:val="StyleUnderline"/>
        </w:rPr>
        <w:t>consequences fails to reflect the seriousness of the offenses and tends to favor defendants from “privileged</w:t>
      </w:r>
      <w:r>
        <w:rPr>
          <w:rStyle w:val="StyleUnderline"/>
        </w:rPr>
        <w:t xml:space="preserve"> </w:t>
      </w:r>
      <w:r w:rsidRPr="002821FA">
        <w:rPr>
          <w:rStyle w:val="StyleUnderline"/>
        </w:rPr>
        <w:t>backgrounds.”</w:t>
      </w:r>
      <w:r w:rsidRPr="00525CF7">
        <w:rPr>
          <w:sz w:val="12"/>
        </w:rPr>
        <w:t xml:space="preserve"> For example, in United States v. Musgrave, the Sixth Circuit vacated the district court’s one-day sentence for a bank and wire fraud offense and remanded for resentencing. The one-day sentence had represented a downward departure from the Guidelines range of 57 to 71 months’ imprisonment. In crafting the sentence, the district court considered the defendant’s personal financial loss, the lengthy litigation, legal fees, restitution, and loss of his CPA license. The sentencing court concluded that a lengthier prison term would not serve “any greater societal purpose” or deter the defendant from future frauds due to the collateral consequences of his criminal conviction. Upon review, the Sixth Circuit found such consideration as impermissible under §3553(a)(2). The court characterized the sentence as contrary to “Congress’s own view of the crimes’ seriousness.” The court ruled that “when a district court varies downward on the basis of the collateral consequences of the defendant’s prosecution and conviction, the defendant’s sentence will not reflect the seriousness of the offense, nor will it provide just punishment.” </w:t>
      </w:r>
      <w:r w:rsidRPr="002821FA">
        <w:rPr>
          <w:rStyle w:val="StyleUnderline"/>
        </w:rPr>
        <w:t>Conversely, the Second and Fourth Circuits have found that consideration of collateral consequences is consistent with</w:t>
      </w:r>
      <w:r>
        <w:rPr>
          <w:rStyle w:val="StyleUnderline"/>
        </w:rPr>
        <w:t xml:space="preserve"> </w:t>
      </w:r>
      <w:r w:rsidRPr="002821FA">
        <w:rPr>
          <w:rStyle w:val="StyleUnderline"/>
        </w:rPr>
        <w:t xml:space="preserve">§3553(a)’s “directive that the sentence reflect the </w:t>
      </w:r>
      <w:r w:rsidRPr="002821FA">
        <w:rPr>
          <w:rStyle w:val="Emphasis"/>
        </w:rPr>
        <w:t>need for ‘just punishment and ‘adequate deterrence</w:t>
      </w:r>
      <w:r w:rsidRPr="00525CF7">
        <w:rPr>
          <w:sz w:val="12"/>
        </w:rPr>
        <w:t xml:space="preserve">.” In United States v. Pauley, for example, the Fourth Circuit found that the district court’s consideration of the loss of a defendant’s teaching certificate and state pension due to his conviction of possession of child pornography was permissible under 18 U.S.C. § 3553(a)(2). Similarly, the Second Circuit commented: “It is difficult to see how a court can properly calibrate a ‘just punishment’ if it does not consider the collateral effects of a particular sentence.” Recently, in United States v. </w:t>
      </w:r>
      <w:proofErr w:type="spellStart"/>
      <w:r w:rsidRPr="00525CF7">
        <w:rPr>
          <w:sz w:val="12"/>
        </w:rPr>
        <w:t>Nesbeth</w:t>
      </w:r>
      <w:proofErr w:type="spellEnd"/>
      <w:r w:rsidRPr="00525CF7">
        <w:rPr>
          <w:sz w:val="12"/>
        </w:rPr>
        <w:t xml:space="preserve"> before the U.S. District Court for the Eastern District of New York, the defendant was convicted of importation of cocaine and possession of cocaine with intent to distribute. The sentencing guidelines’ range was 33-41 months. The judge sentenced the defendant to probation rather than prison, in part “because of a number of statutory and regulatory collateral consequences she will face as a convicted felon.” The judge considered what the collateral consequences would be if the defendant faced a longer prison term, namely her curtailment of the right to vote as well as the inability to visit her family in Jamaica because of the loss of her passport during her probationary term, and her unlikely inability to pursue a career in teaching. The judge concluded that “she has been sufficiently punished, and that jail is not necessary to render a punishment that is sufficient but not greater than necessary to meet the ends of sentencing.” </w:t>
      </w:r>
      <w:r w:rsidRPr="007E39D1">
        <w:rPr>
          <w:rStyle w:val="Emphasis"/>
        </w:rPr>
        <w:t xml:space="preserve">Criminal sentencing issues are a matter of continuing interest to </w:t>
      </w:r>
      <w:r w:rsidRPr="007E39D1">
        <w:rPr>
          <w:rStyle w:val="StyleUnderline"/>
        </w:rPr>
        <w:t>Congress, including the collateral consequences such</w:t>
      </w:r>
      <w:r>
        <w:rPr>
          <w:rStyle w:val="StyleUnderline"/>
        </w:rPr>
        <w:t xml:space="preserve"> </w:t>
      </w:r>
      <w:r w:rsidRPr="007E39D1">
        <w:rPr>
          <w:rStyle w:val="StyleUnderline"/>
        </w:rPr>
        <w:t>sentences may have</w:t>
      </w:r>
      <w:r w:rsidRPr="00525CF7">
        <w:rPr>
          <w:sz w:val="12"/>
        </w:rPr>
        <w:t>. Notably, the Court Security Improvement Act of 2007 directed the Department of Justice’s National Institute of Justice to perform a comprehensive study (ultimately conducted by the American Bar Association’s Criminal Justice Section), which catalogued a multitude of federal and state statutes and regulations that impose collateral consequences, and in September, the ABA launched a website featuring this information</w:t>
      </w:r>
      <w:r w:rsidRPr="007E39D1">
        <w:rPr>
          <w:rStyle w:val="StyleUnderline"/>
        </w:rPr>
        <w:t xml:space="preserve">. </w:t>
      </w:r>
      <w:r w:rsidRPr="00525CF7">
        <w:rPr>
          <w:rStyle w:val="StyleUnderline"/>
          <w:highlight w:val="cyan"/>
        </w:rPr>
        <w:t>Such information, along with the circuit split as to whether consequences may properly be considered</w:t>
      </w:r>
      <w:r w:rsidRPr="007E39D1">
        <w:rPr>
          <w:rStyle w:val="StyleUnderline"/>
        </w:rPr>
        <w:t xml:space="preserve"> under §3553(a)(2) </w:t>
      </w:r>
      <w:r w:rsidRPr="00525CF7">
        <w:rPr>
          <w:rStyle w:val="StyleUnderline"/>
          <w:highlight w:val="cyan"/>
        </w:rPr>
        <w:t>for sentencing purposes</w:t>
      </w:r>
      <w:r w:rsidRPr="007E39D1">
        <w:rPr>
          <w:rStyle w:val="StyleUnderline"/>
        </w:rPr>
        <w:t xml:space="preserve">, </w:t>
      </w:r>
      <w:r w:rsidRPr="00525CF7">
        <w:rPr>
          <w:sz w:val="12"/>
        </w:rPr>
        <w:t>might be relevant to future legislation in the field of criminal justice</w:t>
      </w:r>
      <w:r w:rsidRPr="00525CF7">
        <w:t>.</w:t>
      </w:r>
    </w:p>
    <w:p w14:paraId="41A4F8BE" w14:textId="29C06FB4" w:rsidR="0056799D" w:rsidRDefault="0056799D" w:rsidP="0056799D">
      <w:pPr>
        <w:pStyle w:val="Heading4"/>
      </w:pPr>
      <w:r>
        <w:t xml:space="preserve">circuit splits ensure confusion in the </w:t>
      </w:r>
      <w:proofErr w:type="spellStart"/>
      <w:r>
        <w:t>squo</w:t>
      </w:r>
      <w:proofErr w:type="spellEnd"/>
      <w:r>
        <w:t xml:space="preserve">- the </w:t>
      </w:r>
      <w:proofErr w:type="spellStart"/>
      <w:r>
        <w:t>aff</w:t>
      </w:r>
      <w:proofErr w:type="spellEnd"/>
      <w:r>
        <w:t xml:space="preserve"> is the only way to reverse confusion and ensure equitable sentencing</w:t>
      </w:r>
    </w:p>
    <w:p w14:paraId="70E75E0C" w14:textId="77777777" w:rsidR="0056799D" w:rsidRPr="00FD5DD1" w:rsidRDefault="0056799D" w:rsidP="0056799D">
      <w:pPr>
        <w:rPr>
          <w:sz w:val="20"/>
          <w:szCs w:val="20"/>
        </w:rPr>
      </w:pPr>
      <w:proofErr w:type="spellStart"/>
      <w:r w:rsidRPr="00FD5DD1">
        <w:rPr>
          <w:b/>
          <w:bCs/>
          <w:sz w:val="24"/>
          <w:szCs w:val="24"/>
        </w:rPr>
        <w:t>Macdowell</w:t>
      </w:r>
      <w:proofErr w:type="spellEnd"/>
      <w:r w:rsidRPr="00FD5DD1">
        <w:rPr>
          <w:b/>
          <w:bCs/>
          <w:sz w:val="24"/>
          <w:szCs w:val="24"/>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58"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770FE812" w14:textId="77777777" w:rsidR="0056799D" w:rsidRPr="0066471A" w:rsidRDefault="0056799D" w:rsidP="0056799D">
      <w:pPr>
        <w:rPr>
          <w:sz w:val="14"/>
        </w:rPr>
      </w:pPr>
      <w:r w:rsidRPr="0066471A">
        <w:rPr>
          <w:sz w:val="14"/>
        </w:rPr>
        <w:t xml:space="preserve"> </w:t>
      </w:r>
      <w:r w:rsidRPr="00D11E04">
        <w:rPr>
          <w:b/>
          <w:bCs/>
          <w:u w:val="single"/>
        </w:rPr>
        <w:t>Conventional criminal sentences include only the direct punishments for a crime</w:t>
      </w:r>
      <w:r w:rsidRPr="0066471A">
        <w:rPr>
          <w:sz w:val="14"/>
        </w:rPr>
        <w:t xml:space="preserve">.          2These direct forms of punishment </w:t>
      </w:r>
      <w:r w:rsidRPr="00D11E04">
        <w:rPr>
          <w:b/>
          <w:bCs/>
          <w:u w:val="single"/>
        </w:rPr>
        <w:t>include incarceration, fines, and community supervision</w:t>
      </w:r>
      <w:r w:rsidRPr="0066471A">
        <w:rPr>
          <w:sz w:val="14"/>
        </w:rPr>
        <w:t>.          3While these may be the first aspects of a criminal sentence that come to mind</w:t>
      </w:r>
      <w:r w:rsidRPr="00D11E04">
        <w:rPr>
          <w:b/>
          <w:bCs/>
          <w:u w:val="single"/>
        </w:rPr>
        <w:t>, they are not the sole forms of punishment imposed</w:t>
      </w:r>
      <w:r w:rsidRPr="0066471A">
        <w:rPr>
          <w:sz w:val="14"/>
        </w:rPr>
        <w:t xml:space="preserve">. In addition to these direct forms of punishment, </w:t>
      </w:r>
      <w:r w:rsidRPr="00D11E04">
        <w:rPr>
          <w:b/>
          <w:bCs/>
          <w:u w:val="single"/>
        </w:rPr>
        <w:t xml:space="preserve">many indirect effects, or </w:t>
      </w:r>
      <w:r w:rsidRPr="00D11E04">
        <w:rPr>
          <w:rStyle w:val="Emphasis"/>
        </w:rPr>
        <w:t>collateral consequences</w:t>
      </w:r>
      <w:r w:rsidRPr="00D11E04">
        <w:rPr>
          <w:b/>
          <w:bCs/>
          <w:u w:val="single"/>
        </w:rPr>
        <w:t>,</w:t>
      </w:r>
      <w:r w:rsidRPr="0066471A">
        <w:rPr>
          <w:sz w:val="14"/>
        </w:rPr>
        <w:t xml:space="preserve"> can </w:t>
      </w:r>
      <w:r w:rsidRPr="00D11E04">
        <w:rPr>
          <w:b/>
          <w:bCs/>
          <w:u w:val="single"/>
        </w:rPr>
        <w:t>arise</w:t>
      </w:r>
      <w:r w:rsidRPr="0066471A">
        <w:rPr>
          <w:sz w:val="14"/>
        </w:rPr>
        <w:t xml:space="preserve">. </w:t>
      </w:r>
      <w:r w:rsidRPr="00D11E04">
        <w:rPr>
          <w:b/>
          <w:bCs/>
          <w:u w:val="single"/>
        </w:rPr>
        <w:t xml:space="preserve">Federal </w:t>
      </w:r>
      <w:r w:rsidRPr="00D11E04">
        <w:rPr>
          <w:rStyle w:val="Emphasis"/>
        </w:rPr>
        <w:t>circuits are split</w:t>
      </w:r>
      <w:r w:rsidRPr="00D11E04">
        <w:rPr>
          <w:b/>
          <w:bCs/>
          <w:u w:val="single"/>
        </w:rPr>
        <w:t xml:space="preserve"> on how to address collateral consequences in sentencing,</w:t>
      </w:r>
      <w:r w:rsidRPr="0066471A">
        <w:rPr>
          <w:sz w:val="14"/>
        </w:rPr>
        <w:t xml:space="preserve"> </w:t>
      </w:r>
      <w:r w:rsidRPr="00D11E04">
        <w:rPr>
          <w:rStyle w:val="StyleUnderline"/>
        </w:rPr>
        <w:t>and the Supreme Court has yet to opine on the matter</w:t>
      </w:r>
      <w:r w:rsidRPr="0066471A">
        <w:rPr>
          <w:sz w:val="14"/>
        </w:rPr>
        <w:t>. 4</w:t>
      </w:r>
      <w:r w:rsidRPr="00D11E04">
        <w:rPr>
          <w:b/>
          <w:bCs/>
          <w:u w:val="single"/>
        </w:rPr>
        <w:t>Some federal circuits consider</w:t>
      </w:r>
      <w:r w:rsidRPr="0066471A">
        <w:rPr>
          <w:sz w:val="14"/>
        </w:rPr>
        <w:t xml:space="preserve"> external factors in sentencing, including </w:t>
      </w:r>
      <w:r w:rsidRPr="00D11E04">
        <w:rPr>
          <w:b/>
          <w:bCs/>
          <w:u w:val="single"/>
        </w:rPr>
        <w:t>collateral consequences</w:t>
      </w:r>
      <w:r w:rsidRPr="0066471A">
        <w:rPr>
          <w:sz w:val="14"/>
        </w:rPr>
        <w:t xml:space="preserve">, while </w:t>
      </w:r>
      <w:r w:rsidRPr="00D11E04">
        <w:rPr>
          <w:b/>
          <w:bCs/>
          <w:u w:val="single"/>
        </w:rPr>
        <w:t>others do not</w:t>
      </w:r>
      <w:r w:rsidRPr="0066471A">
        <w:rPr>
          <w:sz w:val="14"/>
        </w:rPr>
        <w:t xml:space="preserve">. 5The </w:t>
      </w:r>
      <w:r w:rsidRPr="00D11E04">
        <w:rPr>
          <w:b/>
          <w:bCs/>
          <w:u w:val="single"/>
        </w:rPr>
        <w:t>circuits that consider these consequences</w:t>
      </w:r>
      <w:r w:rsidRPr="0066471A">
        <w:rPr>
          <w:sz w:val="14"/>
        </w:rPr>
        <w:t xml:space="preserve"> of imposing criminal sentences deviate from the advisory Federal Sentencing Guidelines ("the Sentencing Guidelines") and </w:t>
      </w:r>
      <w:r w:rsidRPr="00D11E04">
        <w:rPr>
          <w:b/>
          <w:bCs/>
          <w:u w:val="single"/>
        </w:rPr>
        <w:t>may impose lesser sentences than the crime may ordinarily warrant</w:t>
      </w:r>
      <w:r w:rsidRPr="0066471A">
        <w:rPr>
          <w:sz w:val="14"/>
        </w:rPr>
        <w:t xml:space="preserve">. 6Conversely, </w:t>
      </w:r>
      <w:r w:rsidRPr="00D11E04">
        <w:rPr>
          <w:b/>
          <w:bCs/>
          <w:u w:val="single"/>
        </w:rPr>
        <w:t>other jurisdictions that ignore the consequences of the sentences may be imposing sentences that over-punish offenders</w:t>
      </w:r>
      <w:r w:rsidRPr="0066471A">
        <w:rPr>
          <w:sz w:val="14"/>
        </w:rPr>
        <w:t xml:space="preserve">. This </w:t>
      </w:r>
      <w:r w:rsidRPr="00D11E04">
        <w:rPr>
          <w:rStyle w:val="Emphasis"/>
        </w:rPr>
        <w:t>discrepancy in the treatment of collateral consequences</w:t>
      </w:r>
      <w:r w:rsidRPr="0066471A">
        <w:rPr>
          <w:sz w:val="14"/>
        </w:rPr>
        <w:t xml:space="preserve"> for sentencing purposes </w:t>
      </w:r>
      <w:r w:rsidRPr="00D11E04">
        <w:rPr>
          <w:b/>
          <w:bCs/>
          <w:u w:val="single"/>
        </w:rPr>
        <w:t xml:space="preserve">likely </w:t>
      </w:r>
      <w:r w:rsidRPr="00D11E04">
        <w:rPr>
          <w:rStyle w:val="Emphasis"/>
        </w:rPr>
        <w:t>leads to a violation</w:t>
      </w:r>
      <w:r w:rsidRPr="0066471A">
        <w:rPr>
          <w:sz w:val="14"/>
        </w:rPr>
        <w:t xml:space="preserve"> [*810] </w:t>
      </w:r>
      <w:r w:rsidRPr="00D11E04">
        <w:rPr>
          <w:rStyle w:val="Emphasis"/>
        </w:rPr>
        <w:t>of horizontal equity</w:t>
      </w:r>
      <w:r w:rsidRPr="00D11E04">
        <w:rPr>
          <w:b/>
          <w:bCs/>
          <w:u w:val="single"/>
        </w:rPr>
        <w:t xml:space="preserve"> and can result in </w:t>
      </w:r>
      <w:r w:rsidRPr="00D11E04">
        <w:rPr>
          <w:rStyle w:val="Emphasis"/>
        </w:rPr>
        <w:t>disparate sentencing impacts</w:t>
      </w:r>
      <w:r w:rsidRPr="00D11E04">
        <w:rPr>
          <w:b/>
          <w:bCs/>
          <w:u w:val="single"/>
        </w:rPr>
        <w:t xml:space="preserve"> on two otherwise similarly situated criminal defendants</w:t>
      </w:r>
      <w:r w:rsidRPr="0066471A">
        <w:rPr>
          <w:sz w:val="14"/>
        </w:rPr>
        <w:t xml:space="preserve">. One of these collateral consequences is the inability to obtain employment following completion of the sentence. 7Possessing a criminal record makes individuals 50% less likely to receive a callback interview or job offer. 8Additionally, unemployed former convicts are much more likely to recidivate. 9This increased chance of recidivism can impose a greater burden on our justice system, our economy, and our society. Should the justice system permit additional impediments to ex-convicts in obtaining employment? </w:t>
      </w:r>
    </w:p>
    <w:p w14:paraId="2A85D11D" w14:textId="77777777" w:rsidR="004E202B" w:rsidRDefault="004E202B" w:rsidP="004E202B">
      <w:pPr>
        <w:pStyle w:val="Heading4"/>
        <w:rPr>
          <w:rStyle w:val="Style13ptBold"/>
          <w:b/>
          <w:bCs w:val="0"/>
        </w:rPr>
      </w:pPr>
      <w:r>
        <w:rPr>
          <w:rStyle w:val="Style13ptBold"/>
          <w:b/>
          <w:bCs w:val="0"/>
        </w:rPr>
        <w:t>Circuits are split based on differing interpretations of ongoing collateral consequences---only the plan solves</w:t>
      </w:r>
    </w:p>
    <w:p w14:paraId="6AB40586" w14:textId="77777777" w:rsidR="004E202B" w:rsidRPr="0015112F" w:rsidRDefault="004E202B" w:rsidP="004E202B">
      <w:proofErr w:type="spellStart"/>
      <w:r>
        <w:rPr>
          <w:rStyle w:val="Style13ptBold"/>
        </w:rPr>
        <w:t>Wolitz</w:t>
      </w:r>
      <w:proofErr w:type="spellEnd"/>
      <w:r>
        <w:rPr>
          <w:rStyle w:val="Style13ptBold"/>
        </w:rPr>
        <w:t xml:space="preserve"> 09 </w:t>
      </w:r>
      <w:r>
        <w:rPr>
          <w:rStyle w:val="Style13ptBold"/>
          <w:b w:val="0"/>
          <w:bCs w:val="0"/>
          <w:sz w:val="22"/>
          <w:szCs w:val="18"/>
        </w:rPr>
        <w:t xml:space="preserve">(David </w:t>
      </w:r>
      <w:proofErr w:type="spellStart"/>
      <w:r>
        <w:rPr>
          <w:rStyle w:val="Style13ptBold"/>
          <w:b w:val="0"/>
          <w:bCs w:val="0"/>
          <w:sz w:val="22"/>
          <w:szCs w:val="18"/>
        </w:rPr>
        <w:t>Wolitz</w:t>
      </w:r>
      <w:proofErr w:type="spellEnd"/>
      <w:r>
        <w:rPr>
          <w:rStyle w:val="Style13ptBold"/>
          <w:b w:val="0"/>
          <w:bCs w:val="0"/>
          <w:sz w:val="22"/>
          <w:szCs w:val="18"/>
        </w:rPr>
        <w:t xml:space="preserve"> is an </w:t>
      </w:r>
      <w:r w:rsidRPr="0053725A">
        <w:t>Associate Professor</w:t>
      </w:r>
      <w:r>
        <w:t xml:space="preserve"> of</w:t>
      </w:r>
      <w:r w:rsidRPr="0053725A">
        <w:t xml:space="preserve"> Legal Research and Writing</w:t>
      </w:r>
      <w:r>
        <w:t xml:space="preserve"> at</w:t>
      </w:r>
      <w:r w:rsidRPr="0053725A">
        <w:t xml:space="preserve"> Georgetown University Law Center</w:t>
      </w:r>
      <w:r>
        <w:t xml:space="preserve"> and has a</w:t>
      </w:r>
      <w:r w:rsidRPr="0053725A">
        <w:t xml:space="preserve"> J.D.</w:t>
      </w:r>
      <w:r>
        <w:t xml:space="preserve"> from</w:t>
      </w:r>
      <w:r w:rsidRPr="0053725A">
        <w:t xml:space="preserve"> Yale Law School</w:t>
      </w:r>
      <w:r>
        <w:t>, 7/26/09, “</w:t>
      </w:r>
      <w:r w:rsidRPr="0053725A">
        <w:t>The Stigma of Conviction: Coram Nobis, Civil Disabilities, and the Right to Clear One's Name</w:t>
      </w:r>
      <w:r>
        <w:t>”, p.17-21)</w:t>
      </w:r>
      <w:proofErr w:type="spellStart"/>
      <w:r>
        <w:t>kiihnl</w:t>
      </w:r>
      <w:proofErr w:type="spellEnd"/>
    </w:p>
    <w:p w14:paraId="1744C42B" w14:textId="77777777" w:rsidR="004E202B" w:rsidRPr="0015112F" w:rsidRDefault="004E202B" w:rsidP="004E202B">
      <w:pPr>
        <w:rPr>
          <w:sz w:val="16"/>
          <w:szCs w:val="16"/>
        </w:rPr>
      </w:pPr>
      <w:r w:rsidRPr="00BE2F0E">
        <w:rPr>
          <w:b/>
          <w:bCs/>
          <w:u w:val="single"/>
        </w:rPr>
        <w:t>By 1991</w:t>
      </w:r>
      <w:r w:rsidRPr="0015112F">
        <w:rPr>
          <w:sz w:val="16"/>
          <w:szCs w:val="16"/>
        </w:rPr>
        <w:t xml:space="preserve">, then, </w:t>
      </w:r>
      <w:r w:rsidRPr="00BE2F0E">
        <w:rPr>
          <w:rStyle w:val="Emphasis"/>
        </w:rPr>
        <w:t>the Seventh Circuit had developed a strict civil disabilities test</w:t>
      </w:r>
      <w:r w:rsidRPr="0015112F">
        <w:rPr>
          <w:sz w:val="16"/>
          <w:szCs w:val="16"/>
        </w:rPr>
        <w:t xml:space="preserve">, requiring a </w:t>
      </w:r>
      <w:proofErr w:type="spellStart"/>
      <w:r w:rsidRPr="0015112F">
        <w:rPr>
          <w:sz w:val="16"/>
          <w:szCs w:val="16"/>
        </w:rPr>
        <w:t>coram</w:t>
      </w:r>
      <w:proofErr w:type="spellEnd"/>
      <w:r w:rsidRPr="0015112F">
        <w:rPr>
          <w:sz w:val="16"/>
          <w:szCs w:val="16"/>
        </w:rPr>
        <w:t xml:space="preserve"> nobis petitioner to show an ongoing civil disability traceable uniquely to the conviction that she seeks to vacate. </w:t>
      </w:r>
      <w:r w:rsidRPr="00BE2F0E">
        <w:rPr>
          <w:rStyle w:val="Emphasis"/>
        </w:rPr>
        <w:t>The Seventh Circuit view quickly became the dominant</w:t>
      </w:r>
      <w:r w:rsidRPr="0015112F">
        <w:rPr>
          <w:b/>
          <w:bCs/>
          <w:u w:val="single"/>
        </w:rPr>
        <w:t xml:space="preserve"> </w:t>
      </w:r>
      <w:r w:rsidRPr="00BE2F0E">
        <w:rPr>
          <w:b/>
          <w:bCs/>
          <w:u w:val="single"/>
        </w:rPr>
        <w:t xml:space="preserve">one in the federal courts, </w:t>
      </w:r>
      <w:r w:rsidRPr="00BE2F0E">
        <w:rPr>
          <w:rStyle w:val="Emphasis"/>
        </w:rPr>
        <w:t>with the notable exception of the Ninth Circuit.</w:t>
      </w:r>
      <w:r w:rsidRPr="0015112F">
        <w:rPr>
          <w:sz w:val="16"/>
          <w:szCs w:val="16"/>
        </w:rPr>
        <w:t xml:space="preserve">  </w:t>
      </w:r>
      <w:r w:rsidRPr="0015112F">
        <w:rPr>
          <w:sz w:val="16"/>
          <w:szCs w:val="16"/>
        </w:rPr>
        <w:footnoteReference w:customMarkFollows="1" w:id="200"/>
        <w:t>130</w:t>
      </w:r>
    </w:p>
    <w:p w14:paraId="44265AF8" w14:textId="77777777" w:rsidR="004E202B" w:rsidRPr="0015112F" w:rsidRDefault="004E202B" w:rsidP="004E202B">
      <w:pPr>
        <w:rPr>
          <w:sz w:val="16"/>
          <w:szCs w:val="16"/>
        </w:rPr>
      </w:pPr>
      <w:r w:rsidRPr="0015112F">
        <w:rPr>
          <w:sz w:val="16"/>
          <w:szCs w:val="16"/>
        </w:rPr>
        <w:t xml:space="preserve">E. </w:t>
      </w:r>
      <w:proofErr w:type="spellStart"/>
      <w:r w:rsidRPr="0015112F">
        <w:rPr>
          <w:sz w:val="16"/>
          <w:szCs w:val="16"/>
        </w:rPr>
        <w:t>Hirabayashi</w:t>
      </w:r>
      <w:proofErr w:type="spellEnd"/>
      <w:r w:rsidRPr="0015112F">
        <w:rPr>
          <w:sz w:val="16"/>
          <w:szCs w:val="16"/>
        </w:rPr>
        <w:t xml:space="preserve"> and the Ninth Circuit's Minority Position</w:t>
      </w:r>
    </w:p>
    <w:p w14:paraId="0E7CC286" w14:textId="77777777" w:rsidR="004E202B" w:rsidRPr="0015112F" w:rsidRDefault="004E202B" w:rsidP="004E202B">
      <w:pPr>
        <w:rPr>
          <w:sz w:val="16"/>
          <w:szCs w:val="16"/>
        </w:rPr>
      </w:pPr>
      <w:r w:rsidRPr="00BE2F0E">
        <w:rPr>
          <w:rStyle w:val="Emphasis"/>
        </w:rPr>
        <w:t xml:space="preserve">The Ninth Circuit settled on its </w:t>
      </w:r>
      <w:proofErr w:type="spellStart"/>
      <w:r w:rsidRPr="00BE2F0E">
        <w:rPr>
          <w:rStyle w:val="Emphasis"/>
        </w:rPr>
        <w:t>coram</w:t>
      </w:r>
      <w:proofErr w:type="spellEnd"/>
      <w:r w:rsidRPr="00BE2F0E">
        <w:rPr>
          <w:rStyle w:val="Emphasis"/>
        </w:rPr>
        <w:t xml:space="preserve"> nobis doctrine in the late 1980s,</w:t>
      </w:r>
      <w:r w:rsidRPr="00BE2F0E">
        <w:rPr>
          <w:b/>
          <w:bCs/>
          <w:u w:val="single"/>
        </w:rPr>
        <w:t xml:space="preserve"> just before the Seventh Circuit began developing the civil disabilities test</w:t>
      </w:r>
      <w:r w:rsidRPr="0015112F">
        <w:rPr>
          <w:sz w:val="16"/>
          <w:szCs w:val="16"/>
        </w:rPr>
        <w:t xml:space="preserve">. The occasion for the Ninth Circuit's more liberal position was the re-opening of the landmark case of </w:t>
      </w:r>
      <w:proofErr w:type="spellStart"/>
      <w:r w:rsidRPr="0015112F">
        <w:rPr>
          <w:sz w:val="16"/>
          <w:szCs w:val="16"/>
        </w:rPr>
        <w:t>Hirabayashi</w:t>
      </w:r>
      <w:proofErr w:type="spellEnd"/>
      <w:r w:rsidRPr="0015112F">
        <w:rPr>
          <w:sz w:val="16"/>
          <w:szCs w:val="16"/>
        </w:rPr>
        <w:t xml:space="preserve"> v. United </w:t>
      </w:r>
      <w:proofErr w:type="gramStart"/>
      <w:r w:rsidRPr="0015112F">
        <w:rPr>
          <w:sz w:val="16"/>
          <w:szCs w:val="16"/>
        </w:rPr>
        <w:t xml:space="preserve">States  </w:t>
      </w:r>
      <w:r w:rsidRPr="0015112F">
        <w:rPr>
          <w:sz w:val="16"/>
          <w:szCs w:val="16"/>
        </w:rPr>
        <w:footnoteReference w:customMarkFollows="1" w:id="201"/>
        <w:t>131</w:t>
      </w:r>
      <w:proofErr w:type="gramEnd"/>
      <w:r w:rsidRPr="0015112F">
        <w:rPr>
          <w:sz w:val="16"/>
          <w:szCs w:val="16"/>
        </w:rPr>
        <w:t xml:space="preserve"> - part of the larger movement for recognition and redress for Japanese Americans interned </w:t>
      </w:r>
      <w:proofErr w:type="spellStart"/>
      <w:r w:rsidRPr="0015112F">
        <w:rPr>
          <w:sz w:val="16"/>
          <w:szCs w:val="16"/>
        </w:rPr>
        <w:t>en</w:t>
      </w:r>
      <w:proofErr w:type="spellEnd"/>
      <w:r w:rsidRPr="0015112F">
        <w:rPr>
          <w:sz w:val="16"/>
          <w:szCs w:val="16"/>
        </w:rPr>
        <w:t xml:space="preserve"> masse during World War II. </w:t>
      </w:r>
      <w:r w:rsidRPr="00BE2F0E">
        <w:rPr>
          <w:b/>
          <w:bCs/>
          <w:u w:val="single"/>
        </w:rPr>
        <w:t xml:space="preserve">The Ninth Circuit's 1987 opinion vindicated </w:t>
      </w:r>
      <w:proofErr w:type="spellStart"/>
      <w:r w:rsidRPr="00BE2F0E">
        <w:rPr>
          <w:b/>
          <w:bCs/>
          <w:u w:val="single"/>
        </w:rPr>
        <w:t>Hirabayashi</w:t>
      </w:r>
      <w:proofErr w:type="spellEnd"/>
      <w:r w:rsidRPr="00BE2F0E">
        <w:rPr>
          <w:b/>
          <w:bCs/>
          <w:u w:val="single"/>
        </w:rPr>
        <w:t>, vacated his two Internment-era convictions, and, as the court put it, made "the judgments of the courts conform to the judgments of history</w:t>
      </w:r>
      <w:r w:rsidRPr="0015112F">
        <w:rPr>
          <w:sz w:val="16"/>
          <w:szCs w:val="16"/>
        </w:rPr>
        <w:t xml:space="preserve">."  </w:t>
      </w:r>
      <w:r w:rsidRPr="0015112F">
        <w:rPr>
          <w:sz w:val="16"/>
          <w:szCs w:val="16"/>
        </w:rPr>
        <w:footnoteReference w:customMarkFollows="1" w:id="202"/>
        <w:t xml:space="preserve">132 The legal mechanism by which the court vacated </w:t>
      </w:r>
      <w:proofErr w:type="spellStart"/>
      <w:r w:rsidRPr="0015112F">
        <w:rPr>
          <w:sz w:val="16"/>
          <w:szCs w:val="16"/>
        </w:rPr>
        <w:t>Hirabayashi's</w:t>
      </w:r>
      <w:proofErr w:type="spellEnd"/>
      <w:r w:rsidRPr="0015112F">
        <w:rPr>
          <w:sz w:val="16"/>
          <w:szCs w:val="16"/>
        </w:rPr>
        <w:t xml:space="preserve"> forty-year-old convictions - the only legal mechanism available - was the writ of </w:t>
      </w:r>
      <w:proofErr w:type="spellStart"/>
      <w:r w:rsidRPr="0015112F">
        <w:rPr>
          <w:sz w:val="16"/>
          <w:szCs w:val="16"/>
        </w:rPr>
        <w:t>coram</w:t>
      </w:r>
      <w:proofErr w:type="spellEnd"/>
      <w:r w:rsidRPr="0015112F">
        <w:rPr>
          <w:sz w:val="16"/>
          <w:szCs w:val="16"/>
        </w:rPr>
        <w:t xml:space="preserve"> nobis.  </w:t>
      </w:r>
      <w:r w:rsidRPr="0015112F">
        <w:rPr>
          <w:sz w:val="16"/>
          <w:szCs w:val="16"/>
        </w:rPr>
        <w:footnoteReference w:customMarkFollows="1" w:id="203"/>
        <w:t>133</w:t>
      </w:r>
    </w:p>
    <w:p w14:paraId="633F4DC4" w14:textId="77777777" w:rsidR="004E202B" w:rsidRPr="0015112F" w:rsidRDefault="004E202B" w:rsidP="004E202B">
      <w:pPr>
        <w:rPr>
          <w:sz w:val="16"/>
          <w:szCs w:val="16"/>
        </w:rPr>
      </w:pPr>
      <w:r w:rsidRPr="0015112F">
        <w:rPr>
          <w:sz w:val="16"/>
          <w:szCs w:val="16"/>
        </w:rPr>
        <w:t xml:space="preserve">The Supreme Court of 1943 had affirmed </w:t>
      </w:r>
      <w:proofErr w:type="spellStart"/>
      <w:r w:rsidRPr="0015112F">
        <w:rPr>
          <w:sz w:val="16"/>
          <w:szCs w:val="16"/>
        </w:rPr>
        <w:t>Hirabayashi's</w:t>
      </w:r>
      <w:proofErr w:type="spellEnd"/>
      <w:r w:rsidRPr="0015112F">
        <w:rPr>
          <w:sz w:val="16"/>
          <w:szCs w:val="16"/>
        </w:rPr>
        <w:t xml:space="preserve"> conviction and explicitly upheld the constitutionality of the wartime curfew and internment orders that </w:t>
      </w:r>
      <w:proofErr w:type="spellStart"/>
      <w:r w:rsidRPr="0015112F">
        <w:rPr>
          <w:sz w:val="16"/>
          <w:szCs w:val="16"/>
        </w:rPr>
        <w:t>Hirabayashi</w:t>
      </w:r>
      <w:proofErr w:type="spellEnd"/>
      <w:r w:rsidRPr="0015112F">
        <w:rPr>
          <w:sz w:val="16"/>
          <w:szCs w:val="16"/>
        </w:rPr>
        <w:t xml:space="preserve"> was convicted of violating.  </w:t>
      </w:r>
      <w:r w:rsidRPr="0015112F">
        <w:rPr>
          <w:sz w:val="16"/>
          <w:szCs w:val="16"/>
        </w:rPr>
        <w:footnoteReference w:customMarkFollows="1" w:id="204"/>
        <w:t>134 And, despite the fact that those wartime decisions "</w:t>
      </w:r>
      <w:proofErr w:type="gramStart"/>
      <w:r w:rsidRPr="0015112F">
        <w:rPr>
          <w:sz w:val="16"/>
          <w:szCs w:val="16"/>
        </w:rPr>
        <w:t>have  [</w:t>
      </w:r>
      <w:proofErr w:type="gramEnd"/>
      <w:r w:rsidRPr="0015112F">
        <w:rPr>
          <w:sz w:val="16"/>
          <w:szCs w:val="16"/>
        </w:rPr>
        <w:t xml:space="preserve">*1300]  never occupied an honored place in our history,"  </w:t>
      </w:r>
      <w:r w:rsidRPr="0015112F">
        <w:rPr>
          <w:sz w:val="16"/>
          <w:szCs w:val="16"/>
        </w:rPr>
        <w:footnoteReference w:customMarkFollows="1" w:id="205"/>
        <w:t xml:space="preserve">135 they had never been overturned either. So, </w:t>
      </w:r>
      <w:r w:rsidRPr="00BE2F0E">
        <w:rPr>
          <w:b/>
          <w:bCs/>
          <w:u w:val="single"/>
        </w:rPr>
        <w:t xml:space="preserve">unlike the petitioners in the Seventh Circuit cases detailed above, </w:t>
      </w:r>
      <w:proofErr w:type="spellStart"/>
      <w:r w:rsidRPr="00BE2F0E">
        <w:rPr>
          <w:b/>
          <w:bCs/>
          <w:u w:val="single"/>
        </w:rPr>
        <w:t>Hirabayashi</w:t>
      </w:r>
      <w:proofErr w:type="spellEnd"/>
      <w:r w:rsidRPr="00BE2F0E">
        <w:rPr>
          <w:b/>
          <w:bCs/>
          <w:u w:val="single"/>
        </w:rPr>
        <w:t xml:space="preserve"> could not argue that a subsequent Supreme Court decision had changed the substantive law applicable to his earlier case</w:t>
      </w:r>
      <w:r w:rsidRPr="0015112F">
        <w:rPr>
          <w:sz w:val="16"/>
          <w:szCs w:val="16"/>
        </w:rPr>
        <w:t xml:space="preserve">. Rather, </w:t>
      </w:r>
      <w:proofErr w:type="spellStart"/>
      <w:r w:rsidRPr="0015112F">
        <w:rPr>
          <w:sz w:val="16"/>
          <w:szCs w:val="16"/>
        </w:rPr>
        <w:t>Hirabayashi's</w:t>
      </w:r>
      <w:proofErr w:type="spellEnd"/>
      <w:r w:rsidRPr="0015112F">
        <w:rPr>
          <w:sz w:val="16"/>
          <w:szCs w:val="16"/>
        </w:rPr>
        <w:t xml:space="preserve"> legal strategy rested on the more traditional </w:t>
      </w:r>
      <w:proofErr w:type="spellStart"/>
      <w:r w:rsidRPr="0015112F">
        <w:rPr>
          <w:sz w:val="16"/>
          <w:szCs w:val="16"/>
        </w:rPr>
        <w:t>coram</w:t>
      </w:r>
      <w:proofErr w:type="spellEnd"/>
      <w:r w:rsidRPr="0015112F">
        <w:rPr>
          <w:sz w:val="16"/>
          <w:szCs w:val="16"/>
        </w:rPr>
        <w:t xml:space="preserve"> nobis ground that a new fact, unknown to the defendant and the judges during the original proceedings, came to light after the final conviction. The new fact, </w:t>
      </w:r>
      <w:proofErr w:type="spellStart"/>
      <w:r w:rsidRPr="0015112F">
        <w:rPr>
          <w:sz w:val="16"/>
          <w:szCs w:val="16"/>
        </w:rPr>
        <w:t>Hirabayashi</w:t>
      </w:r>
      <w:proofErr w:type="spellEnd"/>
      <w:r w:rsidRPr="0015112F">
        <w:rPr>
          <w:sz w:val="16"/>
          <w:szCs w:val="16"/>
        </w:rPr>
        <w:t xml:space="preserve"> alleged, was the discovery in 1982 of a suppressed early draft of a World War II-era military report.  </w:t>
      </w:r>
      <w:r w:rsidRPr="0015112F">
        <w:rPr>
          <w:sz w:val="16"/>
          <w:szCs w:val="16"/>
        </w:rPr>
        <w:footnoteReference w:customMarkFollows="1" w:id="206"/>
        <w:t xml:space="preserve">136 The long-suppressed draft made clear that the real rationale behind the curfew and exclusion orders aimed at Japanese Americans was racial prejudice and not military exigency.  </w:t>
      </w:r>
      <w:r w:rsidRPr="0015112F">
        <w:rPr>
          <w:sz w:val="16"/>
          <w:szCs w:val="16"/>
        </w:rPr>
        <w:footnoteReference w:customMarkFollows="1" w:id="207"/>
        <w:t xml:space="preserve">137 Thus, it undermined the factual premise of the Supreme Court's decision in </w:t>
      </w:r>
      <w:proofErr w:type="spellStart"/>
      <w:r w:rsidRPr="0015112F">
        <w:rPr>
          <w:sz w:val="16"/>
          <w:szCs w:val="16"/>
        </w:rPr>
        <w:t>Hirabayashi</w:t>
      </w:r>
      <w:proofErr w:type="spellEnd"/>
      <w:r w:rsidRPr="0015112F">
        <w:rPr>
          <w:sz w:val="16"/>
          <w:szCs w:val="16"/>
        </w:rPr>
        <w:t xml:space="preserve"> (and Korematsu) that "military exigency" justified a deviation from the general norm against race-based government action.  </w:t>
      </w:r>
      <w:r w:rsidRPr="0015112F">
        <w:rPr>
          <w:sz w:val="16"/>
          <w:szCs w:val="16"/>
        </w:rPr>
        <w:footnoteReference w:customMarkFollows="1" w:id="208"/>
        <w:t>138</w:t>
      </w:r>
    </w:p>
    <w:p w14:paraId="0E975629" w14:textId="77777777" w:rsidR="004E202B" w:rsidRPr="0015112F" w:rsidRDefault="004E202B" w:rsidP="004E202B">
      <w:pPr>
        <w:rPr>
          <w:sz w:val="16"/>
          <w:szCs w:val="16"/>
        </w:rPr>
      </w:pPr>
      <w:r w:rsidRPr="0015112F">
        <w:rPr>
          <w:sz w:val="16"/>
          <w:szCs w:val="16"/>
        </w:rPr>
        <w:t xml:space="preserve">The Ninth Circuit accepted </w:t>
      </w:r>
      <w:proofErr w:type="spellStart"/>
      <w:r w:rsidRPr="0015112F">
        <w:rPr>
          <w:sz w:val="16"/>
          <w:szCs w:val="16"/>
        </w:rPr>
        <w:t>Hirabayashi's</w:t>
      </w:r>
      <w:proofErr w:type="spellEnd"/>
      <w:r w:rsidRPr="0015112F">
        <w:rPr>
          <w:sz w:val="16"/>
          <w:szCs w:val="16"/>
        </w:rPr>
        <w:t xml:space="preserve"> argument that the suppressed draft report constituted a new fact that, if known to the courts at the time of original trial and appeal, would have likely changed the outcome of the case.  </w:t>
      </w:r>
      <w:r w:rsidRPr="0015112F">
        <w:rPr>
          <w:sz w:val="16"/>
          <w:szCs w:val="16"/>
        </w:rPr>
        <w:footnoteReference w:customMarkFollows="1" w:id="209"/>
        <w:t xml:space="preserve">139 The government argued, however, that the issue </w:t>
      </w:r>
      <w:proofErr w:type="spellStart"/>
      <w:r w:rsidRPr="0015112F">
        <w:rPr>
          <w:sz w:val="16"/>
          <w:szCs w:val="16"/>
        </w:rPr>
        <w:t>Hirabayashi</w:t>
      </w:r>
      <w:proofErr w:type="spellEnd"/>
      <w:r w:rsidRPr="0015112F">
        <w:rPr>
          <w:sz w:val="16"/>
          <w:szCs w:val="16"/>
        </w:rPr>
        <w:t xml:space="preserve"> sought to litigate was moot because </w:t>
      </w:r>
      <w:proofErr w:type="spellStart"/>
      <w:r w:rsidRPr="0015112F">
        <w:rPr>
          <w:sz w:val="16"/>
          <w:szCs w:val="16"/>
        </w:rPr>
        <w:t>Hirabayashi</w:t>
      </w:r>
      <w:proofErr w:type="spellEnd"/>
      <w:r w:rsidRPr="0015112F">
        <w:rPr>
          <w:sz w:val="16"/>
          <w:szCs w:val="16"/>
        </w:rPr>
        <w:t xml:space="preserve"> had already served his three-month sentence pursuant to the convictions and was suffering no current legal disability.  </w:t>
      </w:r>
      <w:r w:rsidRPr="0015112F">
        <w:rPr>
          <w:sz w:val="16"/>
          <w:szCs w:val="16"/>
        </w:rPr>
        <w:footnoteReference w:customMarkFollows="1" w:id="210"/>
        <w:t xml:space="preserve">140 Emphasizing that </w:t>
      </w:r>
      <w:proofErr w:type="spellStart"/>
      <w:r w:rsidRPr="0015112F">
        <w:rPr>
          <w:sz w:val="16"/>
          <w:szCs w:val="16"/>
        </w:rPr>
        <w:t>Hirabayashi's</w:t>
      </w:r>
      <w:proofErr w:type="spellEnd"/>
      <w:r w:rsidRPr="0015112F">
        <w:rPr>
          <w:sz w:val="16"/>
          <w:szCs w:val="16"/>
        </w:rPr>
        <w:t xml:space="preserve"> convictions were both for misdemeanors, rather than felonies, the government contended that "ordinary misdemeanors have no "collateral consequences' </w:t>
      </w:r>
      <w:proofErr w:type="gramStart"/>
      <w:r w:rsidRPr="0015112F">
        <w:rPr>
          <w:sz w:val="16"/>
          <w:szCs w:val="16"/>
        </w:rPr>
        <w:t>and  [</w:t>
      </w:r>
      <w:proofErr w:type="gramEnd"/>
      <w:r w:rsidRPr="0015112F">
        <w:rPr>
          <w:sz w:val="16"/>
          <w:szCs w:val="16"/>
        </w:rPr>
        <w:t xml:space="preserve">*1301]  therefore are not subject to post-conviction attack absent some special legal disability."  </w:t>
      </w:r>
      <w:r w:rsidRPr="0015112F">
        <w:rPr>
          <w:sz w:val="16"/>
          <w:szCs w:val="16"/>
        </w:rPr>
        <w:footnoteReference w:customMarkFollows="1" w:id="211"/>
        <w:t xml:space="preserve">141 In other words, the government asked the Ninth Circuit to adopt a civil disabilities test for </w:t>
      </w:r>
      <w:proofErr w:type="spellStart"/>
      <w:r w:rsidRPr="0015112F">
        <w:rPr>
          <w:sz w:val="16"/>
          <w:szCs w:val="16"/>
        </w:rPr>
        <w:t>coram</w:t>
      </w:r>
      <w:proofErr w:type="spellEnd"/>
      <w:r w:rsidRPr="0015112F">
        <w:rPr>
          <w:sz w:val="16"/>
          <w:szCs w:val="16"/>
        </w:rPr>
        <w:t xml:space="preserve"> nobis petitions.</w:t>
      </w:r>
    </w:p>
    <w:p w14:paraId="5ED12355" w14:textId="77777777" w:rsidR="004E202B" w:rsidRPr="0015112F" w:rsidRDefault="004E202B" w:rsidP="004E202B">
      <w:pPr>
        <w:rPr>
          <w:sz w:val="16"/>
          <w:szCs w:val="16"/>
        </w:rPr>
      </w:pPr>
      <w:r w:rsidRPr="00BE2F0E">
        <w:rPr>
          <w:b/>
          <w:bCs/>
          <w:u w:val="single"/>
        </w:rPr>
        <w:t>The Ninth Circuit</w:t>
      </w:r>
      <w:r w:rsidRPr="0015112F">
        <w:rPr>
          <w:sz w:val="16"/>
          <w:szCs w:val="16"/>
        </w:rPr>
        <w:t xml:space="preserve">, however, </w:t>
      </w:r>
      <w:r w:rsidRPr="00BE2F0E">
        <w:rPr>
          <w:b/>
          <w:bCs/>
          <w:u w:val="single"/>
        </w:rPr>
        <w:t xml:space="preserve">rejected the government's argument that the petition was moot and expressly rejected the idea that some special disability is required to attain </w:t>
      </w:r>
      <w:proofErr w:type="spellStart"/>
      <w:r w:rsidRPr="00BE2F0E">
        <w:rPr>
          <w:b/>
          <w:bCs/>
          <w:u w:val="single"/>
        </w:rPr>
        <w:t>coram</w:t>
      </w:r>
      <w:proofErr w:type="spellEnd"/>
      <w:r w:rsidRPr="00BE2F0E">
        <w:rPr>
          <w:b/>
          <w:bCs/>
          <w:u w:val="single"/>
        </w:rPr>
        <w:t xml:space="preserve"> nobis</w:t>
      </w:r>
      <w:r w:rsidRPr="0015112F">
        <w:rPr>
          <w:sz w:val="16"/>
          <w:szCs w:val="16"/>
        </w:rPr>
        <w:t xml:space="preserve">.  </w:t>
      </w:r>
      <w:r w:rsidRPr="0015112F">
        <w:rPr>
          <w:sz w:val="16"/>
          <w:szCs w:val="16"/>
        </w:rPr>
        <w:footnoteReference w:customMarkFollows="1" w:id="212"/>
        <w:t xml:space="preserve">142 The court started from the premise that the petitioner need only show that "adverse consequences exist from the conviction sufficient to satisfy the case or controversy requirement of Article III."  </w:t>
      </w:r>
      <w:r w:rsidRPr="0015112F">
        <w:rPr>
          <w:sz w:val="16"/>
          <w:szCs w:val="16"/>
        </w:rPr>
        <w:footnoteReference w:customMarkFollows="1" w:id="213"/>
        <w:t xml:space="preserve">143 Then, relying on the Supreme Court case of Sibron v. New </w:t>
      </w:r>
      <w:proofErr w:type="gramStart"/>
      <w:r w:rsidRPr="0015112F">
        <w:rPr>
          <w:sz w:val="16"/>
          <w:szCs w:val="16"/>
        </w:rPr>
        <w:t xml:space="preserve">York,  </w:t>
      </w:r>
      <w:r w:rsidRPr="0015112F">
        <w:rPr>
          <w:sz w:val="16"/>
          <w:szCs w:val="16"/>
        </w:rPr>
        <w:footnoteReference w:customMarkFollows="1" w:id="214"/>
        <w:t>144</w:t>
      </w:r>
      <w:proofErr w:type="gramEnd"/>
      <w:r w:rsidRPr="0015112F">
        <w:rPr>
          <w:sz w:val="16"/>
          <w:szCs w:val="16"/>
        </w:rPr>
        <w:t xml:space="preserve"> </w:t>
      </w:r>
      <w:r w:rsidRPr="006D6119">
        <w:rPr>
          <w:b/>
          <w:bCs/>
          <w:u w:val="single"/>
        </w:rPr>
        <w:t xml:space="preserve">the </w:t>
      </w:r>
      <w:r w:rsidRPr="00BE2F0E">
        <w:rPr>
          <w:rStyle w:val="Emphasis"/>
        </w:rPr>
        <w:t>court of appeals held that there is a "presumption that collateral consequences flow from any criminal conviction</w:t>
      </w:r>
      <w:r w:rsidRPr="0015112F">
        <w:rPr>
          <w:sz w:val="16"/>
          <w:szCs w:val="16"/>
        </w:rPr>
        <w:t xml:space="preserve">."  </w:t>
      </w:r>
      <w:r w:rsidRPr="0015112F">
        <w:rPr>
          <w:sz w:val="16"/>
          <w:szCs w:val="16"/>
        </w:rPr>
        <w:footnoteReference w:customMarkFollows="1" w:id="215"/>
        <w:t xml:space="preserve">145 </w:t>
      </w:r>
      <w:r w:rsidRPr="00BE2F0E">
        <w:rPr>
          <w:b/>
          <w:bCs/>
          <w:u w:val="single"/>
        </w:rPr>
        <w:t>Rather than placing the burden on the petitioner to show some "special legal disability</w:t>
      </w:r>
      <w:r w:rsidRPr="006D6119">
        <w:rPr>
          <w:sz w:val="16"/>
          <w:szCs w:val="16"/>
        </w:rPr>
        <w:t xml:space="preserve">,"  </w:t>
      </w:r>
      <w:r w:rsidRPr="006D6119">
        <w:rPr>
          <w:sz w:val="16"/>
          <w:szCs w:val="16"/>
        </w:rPr>
        <w:footnoteReference w:customMarkFollows="1" w:id="216"/>
        <w:t xml:space="preserve">146 </w:t>
      </w:r>
      <w:r w:rsidRPr="00BE2F0E">
        <w:rPr>
          <w:b/>
          <w:bCs/>
          <w:u w:val="single"/>
        </w:rPr>
        <w:t xml:space="preserve">as the Seventh Circuit would later do, </w:t>
      </w:r>
      <w:r w:rsidRPr="00BE2F0E">
        <w:rPr>
          <w:rStyle w:val="Emphasis"/>
        </w:rPr>
        <w:t>the Ninth Circuit wrote that the government had the burden of showing that no possible collateral consequences flow from the petitioner's conviction.</w:t>
      </w:r>
      <w:r w:rsidRPr="0015112F">
        <w:rPr>
          <w:sz w:val="16"/>
          <w:szCs w:val="16"/>
        </w:rPr>
        <w:t xml:space="preserve">  </w:t>
      </w:r>
      <w:r w:rsidRPr="0015112F">
        <w:rPr>
          <w:sz w:val="16"/>
          <w:szCs w:val="16"/>
        </w:rPr>
        <w:footnoteReference w:customMarkFollows="1" w:id="217"/>
        <w:t xml:space="preserve">147 The Ninth Circuit noted the "obvious fact of life that most criminal convictions do in fact entail adverse collateral legal consequences"  </w:t>
      </w:r>
      <w:r w:rsidRPr="0015112F">
        <w:rPr>
          <w:sz w:val="16"/>
          <w:szCs w:val="16"/>
        </w:rPr>
        <w:footnoteReference w:customMarkFollows="1" w:id="218"/>
        <w:t xml:space="preserve">148 and held that "the mere "possibility' that this will be the case is enough to preserve a criminal case from ending "ignominiously in the limbo of mootness.'"  </w:t>
      </w:r>
      <w:r w:rsidRPr="0015112F">
        <w:rPr>
          <w:sz w:val="16"/>
          <w:szCs w:val="16"/>
        </w:rPr>
        <w:footnoteReference w:customMarkFollows="1" w:id="219"/>
        <w:t>149</w:t>
      </w:r>
    </w:p>
    <w:p w14:paraId="184555D0" w14:textId="77777777" w:rsidR="004E202B" w:rsidRPr="0015112F" w:rsidRDefault="004E202B" w:rsidP="004E202B">
      <w:pPr>
        <w:rPr>
          <w:sz w:val="16"/>
          <w:szCs w:val="16"/>
        </w:rPr>
      </w:pPr>
      <w:r w:rsidRPr="0015112F">
        <w:rPr>
          <w:sz w:val="16"/>
          <w:szCs w:val="16"/>
        </w:rPr>
        <w:t xml:space="preserve">As for the fact that </w:t>
      </w:r>
      <w:proofErr w:type="spellStart"/>
      <w:r w:rsidRPr="0015112F">
        <w:rPr>
          <w:sz w:val="16"/>
          <w:szCs w:val="16"/>
        </w:rPr>
        <w:t>Hirabayashi's</w:t>
      </w:r>
      <w:proofErr w:type="spellEnd"/>
      <w:r w:rsidRPr="0015112F">
        <w:rPr>
          <w:sz w:val="16"/>
          <w:szCs w:val="16"/>
        </w:rPr>
        <w:t xml:space="preserve"> convictions were for misdemeanors, rather than felonies, the court wrote, "no court to our knowledge has ever held that misdemeanor convictions cannot carry collateral legal consequences. Any judgment of misconduct has consequences for which one may be legally or </w:t>
      </w:r>
      <w:proofErr w:type="gramStart"/>
      <w:r w:rsidRPr="0015112F">
        <w:rPr>
          <w:sz w:val="16"/>
          <w:szCs w:val="16"/>
        </w:rPr>
        <w:t>professionally  [</w:t>
      </w:r>
      <w:proofErr w:type="gramEnd"/>
      <w:r w:rsidRPr="0015112F">
        <w:rPr>
          <w:sz w:val="16"/>
          <w:szCs w:val="16"/>
        </w:rPr>
        <w:t xml:space="preserve">*1302]  accountable."  </w:t>
      </w:r>
      <w:r w:rsidRPr="0015112F">
        <w:rPr>
          <w:sz w:val="16"/>
          <w:szCs w:val="16"/>
        </w:rPr>
        <w:footnoteReference w:customMarkFollows="1" w:id="220"/>
        <w:t xml:space="preserve">150 In sum, the </w:t>
      </w:r>
      <w:proofErr w:type="spellStart"/>
      <w:r w:rsidRPr="0015112F">
        <w:rPr>
          <w:sz w:val="16"/>
          <w:szCs w:val="16"/>
        </w:rPr>
        <w:t>Hirabayashi</w:t>
      </w:r>
      <w:proofErr w:type="spellEnd"/>
      <w:r w:rsidRPr="0015112F">
        <w:rPr>
          <w:sz w:val="16"/>
          <w:szCs w:val="16"/>
        </w:rPr>
        <w:t xml:space="preserve"> court had three holdings: (1) every criminal conviction gives rise to potential collateral consequences, (2) such potential is enough to establish standing for </w:t>
      </w:r>
      <w:proofErr w:type="spellStart"/>
      <w:r w:rsidRPr="0015112F">
        <w:rPr>
          <w:sz w:val="16"/>
          <w:szCs w:val="16"/>
        </w:rPr>
        <w:t>coram</w:t>
      </w:r>
      <w:proofErr w:type="spellEnd"/>
      <w:r w:rsidRPr="0015112F">
        <w:rPr>
          <w:sz w:val="16"/>
          <w:szCs w:val="16"/>
        </w:rPr>
        <w:t xml:space="preserve"> nobis, and (3) no showing of harm beyond ordinary standing is required to trigger </w:t>
      </w:r>
      <w:proofErr w:type="spellStart"/>
      <w:r w:rsidRPr="0015112F">
        <w:rPr>
          <w:sz w:val="16"/>
          <w:szCs w:val="16"/>
        </w:rPr>
        <w:t>coram</w:t>
      </w:r>
      <w:proofErr w:type="spellEnd"/>
      <w:r w:rsidRPr="0015112F">
        <w:rPr>
          <w:sz w:val="16"/>
          <w:szCs w:val="16"/>
        </w:rPr>
        <w:t xml:space="preserve"> nobis review.</w:t>
      </w:r>
    </w:p>
    <w:p w14:paraId="36F9CF8D" w14:textId="77777777" w:rsidR="004E202B" w:rsidRPr="0015112F" w:rsidRDefault="004E202B" w:rsidP="004E202B">
      <w:pPr>
        <w:rPr>
          <w:sz w:val="16"/>
          <w:szCs w:val="16"/>
        </w:rPr>
      </w:pPr>
      <w:r w:rsidRPr="00BE2F0E">
        <w:rPr>
          <w:b/>
          <w:bCs/>
          <w:u w:val="single"/>
        </w:rPr>
        <w:t>The Ninth Circuit confirmed this doctrine two years later in a case that exactly paralleled the Seventh Circuit cases</w:t>
      </w:r>
      <w:r w:rsidRPr="0015112F">
        <w:t xml:space="preserve"> </w:t>
      </w:r>
      <w:r w:rsidRPr="0015112F">
        <w:rPr>
          <w:sz w:val="16"/>
          <w:szCs w:val="16"/>
        </w:rPr>
        <w:t xml:space="preserve">detailed above. In United States v. </w:t>
      </w:r>
      <w:proofErr w:type="spellStart"/>
      <w:r w:rsidRPr="0015112F">
        <w:rPr>
          <w:sz w:val="16"/>
          <w:szCs w:val="16"/>
        </w:rPr>
        <w:t>Walgren</w:t>
      </w:r>
      <w:proofErr w:type="spellEnd"/>
      <w:r w:rsidRPr="0015112F">
        <w:rPr>
          <w:sz w:val="16"/>
          <w:szCs w:val="16"/>
        </w:rPr>
        <w:t xml:space="preserve">, a former politician from Washington State named Gordon </w:t>
      </w:r>
      <w:proofErr w:type="spellStart"/>
      <w:r w:rsidRPr="0015112F">
        <w:rPr>
          <w:sz w:val="16"/>
          <w:szCs w:val="16"/>
        </w:rPr>
        <w:t>Walgren</w:t>
      </w:r>
      <w:proofErr w:type="spellEnd"/>
      <w:r w:rsidRPr="0015112F">
        <w:rPr>
          <w:sz w:val="16"/>
          <w:szCs w:val="16"/>
        </w:rPr>
        <w:t xml:space="preserve"> sought to vacate his mail fraud conviction </w:t>
      </w:r>
      <w:proofErr w:type="gramStart"/>
      <w:r w:rsidRPr="0015112F">
        <w:rPr>
          <w:sz w:val="16"/>
          <w:szCs w:val="16"/>
        </w:rPr>
        <w:t>on the basis of</w:t>
      </w:r>
      <w:proofErr w:type="gramEnd"/>
      <w:r w:rsidRPr="0015112F">
        <w:rPr>
          <w:sz w:val="16"/>
          <w:szCs w:val="16"/>
        </w:rPr>
        <w:t xml:space="preserve"> the Supreme Court's McNally decision.  </w:t>
      </w:r>
      <w:r w:rsidRPr="0015112F">
        <w:rPr>
          <w:sz w:val="16"/>
          <w:szCs w:val="16"/>
        </w:rPr>
        <w:footnoteReference w:customMarkFollows="1" w:id="221"/>
        <w:t>151 The Ninth Circuit agreed that "</w:t>
      </w:r>
      <w:proofErr w:type="spellStart"/>
      <w:r w:rsidRPr="0015112F">
        <w:rPr>
          <w:sz w:val="16"/>
          <w:szCs w:val="16"/>
        </w:rPr>
        <w:t>Walgren's</w:t>
      </w:r>
      <w:proofErr w:type="spellEnd"/>
      <w:r w:rsidRPr="0015112F">
        <w:rPr>
          <w:sz w:val="16"/>
          <w:szCs w:val="16"/>
        </w:rPr>
        <w:t xml:space="preserve"> mail fraud conviction rests upon the commission of a fraud that was not a crime" and ordered the district court to grant </w:t>
      </w:r>
      <w:proofErr w:type="spellStart"/>
      <w:r w:rsidRPr="0015112F">
        <w:rPr>
          <w:sz w:val="16"/>
          <w:szCs w:val="16"/>
        </w:rPr>
        <w:t>coram</w:t>
      </w:r>
      <w:proofErr w:type="spellEnd"/>
      <w:r w:rsidRPr="0015112F">
        <w:rPr>
          <w:sz w:val="16"/>
          <w:szCs w:val="16"/>
        </w:rPr>
        <w:t xml:space="preserve"> nobis.  </w:t>
      </w:r>
      <w:r w:rsidRPr="0015112F">
        <w:rPr>
          <w:sz w:val="16"/>
          <w:szCs w:val="16"/>
        </w:rPr>
        <w:footnoteReference w:customMarkFollows="1" w:id="222"/>
        <w:t xml:space="preserve">152 Most significantly, the Ninth Circuit panel reiterated ""the presumption that collateral consequences flow from any criminal conviction.'"  </w:t>
      </w:r>
      <w:r w:rsidRPr="0015112F">
        <w:rPr>
          <w:sz w:val="16"/>
          <w:szCs w:val="16"/>
        </w:rPr>
        <w:footnoteReference w:customMarkFollows="1" w:id="223"/>
        <w:t xml:space="preserve">153 The court noted that any future sentencing decisions regarding </w:t>
      </w:r>
      <w:proofErr w:type="spellStart"/>
      <w:r w:rsidRPr="0015112F">
        <w:rPr>
          <w:sz w:val="16"/>
          <w:szCs w:val="16"/>
        </w:rPr>
        <w:t>Walgren</w:t>
      </w:r>
      <w:proofErr w:type="spellEnd"/>
      <w:r w:rsidRPr="0015112F">
        <w:rPr>
          <w:sz w:val="16"/>
          <w:szCs w:val="16"/>
        </w:rPr>
        <w:t xml:space="preserve"> may take into account the total number of felonies on his record and that </w:t>
      </w:r>
      <w:proofErr w:type="spellStart"/>
      <w:r w:rsidRPr="0015112F">
        <w:rPr>
          <w:sz w:val="16"/>
          <w:szCs w:val="16"/>
        </w:rPr>
        <w:t>Walgren</w:t>
      </w:r>
      <w:proofErr w:type="spellEnd"/>
      <w:r w:rsidRPr="0015112F">
        <w:rPr>
          <w:sz w:val="16"/>
          <w:szCs w:val="16"/>
        </w:rPr>
        <w:t xml:space="preserve"> "may be impeached should he ever testify in court because the mail fraud conviction was based on a scheme to defraud."  </w:t>
      </w:r>
      <w:r w:rsidRPr="0015112F">
        <w:rPr>
          <w:sz w:val="16"/>
          <w:szCs w:val="16"/>
        </w:rPr>
        <w:footnoteReference w:customMarkFollows="1" w:id="224"/>
        <w:t xml:space="preserve">154 For the </w:t>
      </w:r>
      <w:proofErr w:type="spellStart"/>
      <w:r w:rsidRPr="0015112F">
        <w:rPr>
          <w:sz w:val="16"/>
          <w:szCs w:val="16"/>
        </w:rPr>
        <w:t>Walgren</w:t>
      </w:r>
      <w:proofErr w:type="spellEnd"/>
      <w:r w:rsidRPr="0015112F">
        <w:rPr>
          <w:sz w:val="16"/>
          <w:szCs w:val="16"/>
        </w:rPr>
        <w:t xml:space="preserve"> court, these possibilities - remote as they might be - were sufficient to grant </w:t>
      </w:r>
      <w:proofErr w:type="spellStart"/>
      <w:r w:rsidRPr="0015112F">
        <w:rPr>
          <w:sz w:val="16"/>
          <w:szCs w:val="16"/>
        </w:rPr>
        <w:t>Walgren</w:t>
      </w:r>
      <w:proofErr w:type="spellEnd"/>
      <w:r w:rsidRPr="0015112F">
        <w:rPr>
          <w:sz w:val="16"/>
          <w:szCs w:val="16"/>
        </w:rPr>
        <w:t xml:space="preserve"> standing to bring his petition for a writ of </w:t>
      </w:r>
      <w:proofErr w:type="spellStart"/>
      <w:r w:rsidRPr="0015112F">
        <w:rPr>
          <w:sz w:val="16"/>
          <w:szCs w:val="16"/>
        </w:rPr>
        <w:t>coram</w:t>
      </w:r>
      <w:proofErr w:type="spellEnd"/>
      <w:r w:rsidRPr="0015112F">
        <w:rPr>
          <w:sz w:val="16"/>
          <w:szCs w:val="16"/>
        </w:rPr>
        <w:t xml:space="preserve"> nobis.</w:t>
      </w:r>
    </w:p>
    <w:p w14:paraId="1946CC8B" w14:textId="2AE5139A" w:rsidR="0056799D" w:rsidRPr="00C72238" w:rsidRDefault="004E202B" w:rsidP="00F35A86">
      <w:pPr>
        <w:rPr>
          <w:rStyle w:val="StyleUnderline"/>
          <w:b w:val="0"/>
          <w:sz w:val="16"/>
          <w:szCs w:val="16"/>
          <w:u w:val="none"/>
        </w:rPr>
      </w:pPr>
      <w:r w:rsidRPr="0015112F">
        <w:rPr>
          <w:sz w:val="16"/>
          <w:szCs w:val="16"/>
        </w:rPr>
        <w:t xml:space="preserve"> [*1303]  </w:t>
      </w:r>
      <w:proofErr w:type="spellStart"/>
      <w:r w:rsidRPr="00BE2F0E">
        <w:rPr>
          <w:b/>
          <w:bCs/>
          <w:u w:val="single"/>
        </w:rPr>
        <w:t>Walgren</w:t>
      </w:r>
      <w:proofErr w:type="spellEnd"/>
      <w:r w:rsidRPr="00BE2F0E">
        <w:rPr>
          <w:b/>
          <w:bCs/>
          <w:u w:val="single"/>
        </w:rPr>
        <w:t xml:space="preserve"> signaled that the Ninth Circuit's </w:t>
      </w:r>
      <w:proofErr w:type="spellStart"/>
      <w:r w:rsidRPr="00BE2F0E">
        <w:rPr>
          <w:b/>
          <w:bCs/>
          <w:u w:val="single"/>
        </w:rPr>
        <w:t>coram</w:t>
      </w:r>
      <w:proofErr w:type="spellEnd"/>
      <w:r w:rsidRPr="00BE2F0E">
        <w:rPr>
          <w:b/>
          <w:bCs/>
          <w:u w:val="single"/>
        </w:rPr>
        <w:t xml:space="preserve"> nobis doctrine was not limited to sympathetic litigants such as </w:t>
      </w:r>
      <w:proofErr w:type="spellStart"/>
      <w:r w:rsidRPr="00BE2F0E">
        <w:rPr>
          <w:b/>
          <w:bCs/>
          <w:u w:val="single"/>
        </w:rPr>
        <w:t>Hirabayashi</w:t>
      </w:r>
      <w:proofErr w:type="spellEnd"/>
      <w:r w:rsidRPr="0015112F">
        <w:rPr>
          <w:sz w:val="16"/>
          <w:szCs w:val="16"/>
        </w:rPr>
        <w:t xml:space="preserve">, and that the same liberal standards would apply to litigants who requested </w:t>
      </w:r>
      <w:proofErr w:type="spellStart"/>
      <w:r w:rsidRPr="0015112F">
        <w:rPr>
          <w:sz w:val="16"/>
          <w:szCs w:val="16"/>
        </w:rPr>
        <w:t>coram</w:t>
      </w:r>
      <w:proofErr w:type="spellEnd"/>
      <w:r w:rsidRPr="0015112F">
        <w:rPr>
          <w:sz w:val="16"/>
          <w:szCs w:val="16"/>
        </w:rPr>
        <w:t xml:space="preserve"> nobis relief based on an intervening change in the interpretation of the statute under which they were indicted.  </w:t>
      </w:r>
      <w:r w:rsidRPr="0015112F">
        <w:rPr>
          <w:sz w:val="16"/>
          <w:szCs w:val="16"/>
        </w:rPr>
        <w:footnoteReference w:customMarkFollows="1" w:id="225"/>
        <w:t xml:space="preserve">155 </w:t>
      </w:r>
      <w:r w:rsidRPr="00BE2F0E">
        <w:rPr>
          <w:b/>
          <w:bCs/>
          <w:u w:val="single"/>
        </w:rPr>
        <w:t>The Ninth Circuit did not</w:t>
      </w:r>
      <w:r w:rsidRPr="0015112F">
        <w:rPr>
          <w:sz w:val="16"/>
          <w:szCs w:val="16"/>
        </w:rPr>
        <w:t xml:space="preserve">, however, </w:t>
      </w:r>
      <w:r w:rsidRPr="00BE2F0E">
        <w:rPr>
          <w:b/>
          <w:bCs/>
          <w:u w:val="single"/>
        </w:rPr>
        <w:t xml:space="preserve">grapple explicitly with the reasoning of </w:t>
      </w:r>
      <w:proofErr w:type="gramStart"/>
      <w:r w:rsidRPr="00BE2F0E">
        <w:rPr>
          <w:b/>
          <w:bCs/>
          <w:u w:val="single"/>
        </w:rPr>
        <w:t>the majority of</w:t>
      </w:r>
      <w:proofErr w:type="gramEnd"/>
      <w:r w:rsidRPr="00BE2F0E">
        <w:rPr>
          <w:b/>
          <w:bCs/>
          <w:u w:val="single"/>
        </w:rPr>
        <w:t xml:space="preserve"> circuit courts supporting the civil disabilities test</w:t>
      </w:r>
      <w:r w:rsidRPr="0015112F">
        <w:rPr>
          <w:sz w:val="16"/>
          <w:szCs w:val="16"/>
        </w:rPr>
        <w:t xml:space="preserve">. In its trio of opinions developing the civil disabilities test, </w:t>
      </w:r>
      <w:r w:rsidRPr="00BE2F0E">
        <w:rPr>
          <w:rStyle w:val="Emphasis"/>
        </w:rPr>
        <w:t xml:space="preserve">the Seventh Circuit offered </w:t>
      </w:r>
      <w:proofErr w:type="gramStart"/>
      <w:r w:rsidRPr="00BE2F0E">
        <w:rPr>
          <w:rStyle w:val="Emphasis"/>
        </w:rPr>
        <w:t>a number of</w:t>
      </w:r>
      <w:proofErr w:type="gramEnd"/>
      <w:r w:rsidRPr="00BE2F0E">
        <w:rPr>
          <w:rStyle w:val="Emphasis"/>
        </w:rPr>
        <w:t xml:space="preserve"> legal and policy arguments in its defense.</w:t>
      </w:r>
      <w:r w:rsidRPr="0015112F">
        <w:rPr>
          <w:sz w:val="16"/>
          <w:szCs w:val="16"/>
        </w:rPr>
        <w:t xml:space="preserve"> And while the Ninth Circuit pointed the way to a better doctrinal outcome, it failed to articulate a compelling </w:t>
      </w:r>
      <w:proofErr w:type="gramStart"/>
      <w:r w:rsidRPr="0015112F">
        <w:rPr>
          <w:sz w:val="16"/>
          <w:szCs w:val="16"/>
        </w:rPr>
        <w:t>counter-argument</w:t>
      </w:r>
      <w:proofErr w:type="gramEnd"/>
      <w:r w:rsidRPr="0015112F">
        <w:rPr>
          <w:sz w:val="16"/>
          <w:szCs w:val="16"/>
        </w:rPr>
        <w:t xml:space="preserve"> to critique and supplant the approach championed by Judge Easterbrook and adopted throughout the country. For the remainder of this Article, I aim to offer precisely such a </w:t>
      </w:r>
      <w:proofErr w:type="gramStart"/>
      <w:r w:rsidRPr="0015112F">
        <w:rPr>
          <w:sz w:val="16"/>
          <w:szCs w:val="16"/>
        </w:rPr>
        <w:t>counter-argument</w:t>
      </w:r>
      <w:proofErr w:type="gramEnd"/>
      <w:r w:rsidRPr="0015112F">
        <w:rPr>
          <w:sz w:val="16"/>
          <w:szCs w:val="16"/>
        </w:rPr>
        <w:t>.</w:t>
      </w:r>
    </w:p>
    <w:p w14:paraId="7EE5AE5C" w14:textId="7A459303" w:rsidR="00E00537" w:rsidRPr="00E00537" w:rsidRDefault="00E00537" w:rsidP="00E00537">
      <w:pPr>
        <w:pStyle w:val="Heading4"/>
      </w:pPr>
      <w:r w:rsidRPr="00E00537">
        <w:t xml:space="preserve">Split post Padilla --- Supreme Court Clarification is key </w:t>
      </w:r>
    </w:p>
    <w:p w14:paraId="5A25D0DA" w14:textId="7E098BDF" w:rsidR="00E00537" w:rsidRDefault="00E00537" w:rsidP="00E00537"/>
    <w:p w14:paraId="4F47F5D4" w14:textId="492B5944" w:rsidR="00EA02A7" w:rsidRPr="00EA02A7" w:rsidRDefault="00EA02A7" w:rsidP="00E00537">
      <w:pPr>
        <w:rPr>
          <w:rStyle w:val="Style13ptBold"/>
        </w:rPr>
      </w:pPr>
      <w:proofErr w:type="spellStart"/>
      <w:r w:rsidRPr="00EA02A7">
        <w:rPr>
          <w:rStyle w:val="Style13ptBold"/>
        </w:rPr>
        <w:t>Edkins</w:t>
      </w:r>
      <w:proofErr w:type="spellEnd"/>
      <w:r w:rsidRPr="00EA02A7">
        <w:rPr>
          <w:rStyle w:val="Style13ptBold"/>
        </w:rPr>
        <w:t xml:space="preserve"> ‘19</w:t>
      </w:r>
    </w:p>
    <w:p w14:paraId="6ADDB531" w14:textId="7CE50FB4" w:rsidR="00E00537" w:rsidRDefault="00EA02A7" w:rsidP="00E00537">
      <w:r>
        <w:t xml:space="preserve">(Vanessa, Vanessa A. </w:t>
      </w:r>
      <w:proofErr w:type="spellStart"/>
      <w:r>
        <w:t>Edkins</w:t>
      </w:r>
      <w:proofErr w:type="spellEnd"/>
      <w:r>
        <w:t xml:space="preserve"> is Associate Professor of Psychology at Florida Institute of Technology. Her research focuses on decision-making during the </w:t>
      </w:r>
      <w:proofErr w:type="gramStart"/>
      <w:r>
        <w:t>plea bargaining</w:t>
      </w:r>
      <w:proofErr w:type="gramEnd"/>
      <w:r>
        <w:t xml:space="preserve"> process and on the effect of collateral consequences on plea bargains. She has also conducted research looking at employment law, and racism in the justice system. In addition to publishing in, “A System of Pleas Social Sciences Contributions to the Real Legal System,” </w:t>
      </w:r>
      <w:proofErr w:type="spellStart"/>
      <w:r>
        <w:t>pg</w:t>
      </w:r>
      <w:proofErr w:type="spellEnd"/>
      <w:r>
        <w:t xml:space="preserve"> google books//um-</w:t>
      </w:r>
      <w:proofErr w:type="spellStart"/>
      <w:r>
        <w:t>ef</w:t>
      </w:r>
      <w:proofErr w:type="spellEnd"/>
      <w:r>
        <w:t>)</w:t>
      </w:r>
    </w:p>
    <w:p w14:paraId="7572B86C" w14:textId="3D94452A" w:rsidR="00E00537" w:rsidRPr="007824FD" w:rsidRDefault="00E00537" w:rsidP="00F35A86">
      <w:pPr>
        <w:rPr>
          <w:rStyle w:val="StyleUnderline"/>
          <w:b w:val="0"/>
          <w:sz w:val="14"/>
          <w:u w:val="none"/>
        </w:rPr>
      </w:pPr>
      <w:r w:rsidRPr="00EA02A7">
        <w:rPr>
          <w:sz w:val="14"/>
        </w:rPr>
        <w:t xml:space="preserve">Still, the </w:t>
      </w:r>
      <w:r w:rsidRPr="00E00537">
        <w:rPr>
          <w:rStyle w:val="StyleUnderline"/>
        </w:rPr>
        <w:t xml:space="preserve">recognition of the import of collateral consequences in </w:t>
      </w:r>
      <w:proofErr w:type="spellStart"/>
      <w:r w:rsidRPr="00E00537">
        <w:rPr>
          <w:rStyle w:val="StyleUnderline"/>
        </w:rPr>
        <w:t>Paditta</w:t>
      </w:r>
      <w:proofErr w:type="spellEnd"/>
      <w:r w:rsidRPr="00EA02A7">
        <w:rPr>
          <w:sz w:val="14"/>
        </w:rPr>
        <w:t xml:space="preserve"> (2010) </w:t>
      </w:r>
      <w:r w:rsidRPr="00E00537">
        <w:rPr>
          <w:rStyle w:val="Emphasis"/>
        </w:rPr>
        <w:t>does not mean that the collateral consequences rule is dead</w:t>
      </w:r>
      <w:r w:rsidRPr="00EA02A7">
        <w:rPr>
          <w:sz w:val="14"/>
        </w:rPr>
        <w:t xml:space="preserve">. </w:t>
      </w:r>
      <w:r w:rsidRPr="00E00537">
        <w:rPr>
          <w:rStyle w:val="StyleUnderline"/>
        </w:rPr>
        <w:t>Lang</w:t>
      </w:r>
      <w:r w:rsidRPr="00EA02A7">
        <w:rPr>
          <w:sz w:val="14"/>
        </w:rPr>
        <w:t xml:space="preserve"> (2012) </w:t>
      </w:r>
      <w:r w:rsidRPr="00E00537">
        <w:rPr>
          <w:rStyle w:val="StyleUnderline"/>
        </w:rPr>
        <w:t xml:space="preserve">published a review of how lower courts are reacting to the </w:t>
      </w:r>
      <w:proofErr w:type="spellStart"/>
      <w:r w:rsidRPr="00E00537">
        <w:rPr>
          <w:rStyle w:val="StyleUnderline"/>
        </w:rPr>
        <w:t>Paditta</w:t>
      </w:r>
      <w:proofErr w:type="spellEnd"/>
      <w:r w:rsidRPr="00E00537">
        <w:rPr>
          <w:rStyle w:val="StyleUnderline"/>
        </w:rPr>
        <w:t xml:space="preserve"> decision (i.e., whether they are holding that Padilla covers deportation consequences only or whether they are extending the decision to other collateral consequences). At the time of the review, 24 cases had addressed whether or not Padilla extends to other collateral consequences: 9 held that it could be extended</w:t>
      </w:r>
      <w:r w:rsidRPr="00EA02A7">
        <w:rPr>
          <w:sz w:val="14"/>
        </w:rPr>
        <w:t xml:space="preserve"> (e.g., notifications regarding sex offender registration, loss of pension, parole eligibility, etc.), </w:t>
      </w:r>
      <w:r w:rsidRPr="00E00537">
        <w:rPr>
          <w:rStyle w:val="StyleUnderline"/>
        </w:rPr>
        <w:t>and the other 15 cases held that it does not</w:t>
      </w:r>
      <w:r w:rsidRPr="00EA02A7">
        <w:rPr>
          <w:sz w:val="14"/>
        </w:rPr>
        <w:t xml:space="preserve"> (e.g., enhanced penalties, sex offender </w:t>
      </w:r>
      <w:r w:rsidRPr="00EA02A7">
        <w:rPr>
          <w:rStyle w:val="Emphasis"/>
        </w:rPr>
        <w:t>registration</w:t>
      </w:r>
      <w:r w:rsidRPr="00EA02A7">
        <w:rPr>
          <w:sz w:val="14"/>
        </w:rPr>
        <w:t xml:space="preserve">, parole eligibility, etc.). </w:t>
      </w:r>
      <w:r w:rsidRPr="00E00537">
        <w:rPr>
          <w:rStyle w:val="Emphasis"/>
        </w:rPr>
        <w:t>The disagreement suggests the Supreme Court will likely need to clarify Padilla's reach</w:t>
      </w:r>
      <w:r w:rsidRPr="00EA02A7">
        <w:rPr>
          <w:sz w:val="14"/>
        </w:rPr>
        <w:t xml:space="preserve">. And, in fact, since the </w:t>
      </w:r>
      <w:proofErr w:type="spellStart"/>
      <w:r w:rsidRPr="00EA02A7">
        <w:rPr>
          <w:sz w:val="14"/>
        </w:rPr>
        <w:t>Paditta</w:t>
      </w:r>
      <w:proofErr w:type="spellEnd"/>
      <w:r w:rsidRPr="00EA02A7">
        <w:rPr>
          <w:sz w:val="14"/>
        </w:rPr>
        <w:t xml:space="preserve"> decision, a survey of prosecutors in the five states with the largest number of incarcerated non-citizens showed that the majority of the prosecutor offices did not have a written policy regarding the communication of immigration consequences to defendants entering into a guilty plea (</w:t>
      </w:r>
      <w:proofErr w:type="spellStart"/>
      <w:r w:rsidRPr="00EA02A7">
        <w:rPr>
          <w:sz w:val="14"/>
        </w:rPr>
        <w:t>Eagly</w:t>
      </w:r>
      <w:proofErr w:type="spellEnd"/>
      <w:r w:rsidRPr="00EA02A7">
        <w:rPr>
          <w:sz w:val="14"/>
        </w:rPr>
        <w:t>, 2013).</w:t>
      </w:r>
    </w:p>
    <w:p w14:paraId="443DCC3B" w14:textId="1F8EB1D9" w:rsidR="00C72238" w:rsidRPr="00C72238" w:rsidRDefault="00C72238" w:rsidP="00C72238">
      <w:pPr>
        <w:pStyle w:val="Heading4"/>
      </w:pPr>
      <w:r w:rsidRPr="00C72238">
        <w:t>Split is creating further disagreement and fracturing now</w:t>
      </w:r>
    </w:p>
    <w:p w14:paraId="40498E00" w14:textId="3AB07740" w:rsidR="00C72238" w:rsidRDefault="00C72238" w:rsidP="00C72238"/>
    <w:p w14:paraId="68B6EA72" w14:textId="77777777" w:rsidR="005665AD" w:rsidRPr="00B41CE1" w:rsidRDefault="005665AD" w:rsidP="005665AD">
      <w:pPr>
        <w:rPr>
          <w:rStyle w:val="Style13ptBold"/>
        </w:rPr>
      </w:pPr>
      <w:r w:rsidRPr="00B41CE1">
        <w:rPr>
          <w:rStyle w:val="Style13ptBold"/>
        </w:rPr>
        <w:t>Ewald ‘10</w:t>
      </w:r>
    </w:p>
    <w:p w14:paraId="1EDB9384" w14:textId="4017CD8B" w:rsidR="005665AD" w:rsidRDefault="005665AD" w:rsidP="00C72238">
      <w:r>
        <w:t xml:space="preserve">(Alec, “Deportation, Effective Counsel, and Collateral Sanctions: Padilla v. Kentucky (2010),” THE JUSTICE SYSTEM JOURNAL, VOL. 32, NUMBER 2 (2011), </w:t>
      </w:r>
      <w:proofErr w:type="spellStart"/>
      <w:r>
        <w:t>pg</w:t>
      </w:r>
      <w:proofErr w:type="spellEnd"/>
      <w:r>
        <w:t xml:space="preserve"> Taylor and Francis //um-</w:t>
      </w:r>
      <w:proofErr w:type="spellStart"/>
      <w:r>
        <w:t>ef</w:t>
      </w:r>
      <w:proofErr w:type="spellEnd"/>
      <w:r>
        <w:t>)</w:t>
      </w:r>
    </w:p>
    <w:p w14:paraId="0FD28639" w14:textId="0730922C" w:rsidR="00C72238" w:rsidRPr="0038080B" w:rsidRDefault="00C72238" w:rsidP="00C72238">
      <w:pPr>
        <w:rPr>
          <w:sz w:val="12"/>
        </w:rPr>
      </w:pPr>
      <w:r w:rsidRPr="0038080B">
        <w:rPr>
          <w:sz w:val="12"/>
        </w:rPr>
        <w:t xml:space="preserve">As a Maine Superior Court judge observed, </w:t>
      </w:r>
      <w:r w:rsidRPr="0038080B">
        <w:rPr>
          <w:rStyle w:val="StyleUnderline"/>
        </w:rPr>
        <w:t>“[c]</w:t>
      </w:r>
      <w:proofErr w:type="spellStart"/>
      <w:r w:rsidRPr="0038080B">
        <w:rPr>
          <w:rStyle w:val="StyleUnderline"/>
        </w:rPr>
        <w:t>ourts</w:t>
      </w:r>
      <w:proofErr w:type="spellEnd"/>
      <w:r w:rsidRPr="0038080B">
        <w:rPr>
          <w:rStyle w:val="StyleUnderline"/>
        </w:rPr>
        <w:t xml:space="preserve"> across the country are split as to whether Padilla applies retroactively</w:t>
      </w:r>
      <w:r w:rsidRPr="0038080B">
        <w:rPr>
          <w:sz w:val="12"/>
        </w:rPr>
        <w:t xml:space="preserve">” (State of Maine v. </w:t>
      </w:r>
      <w:proofErr w:type="spellStart"/>
      <w:r w:rsidRPr="0038080B">
        <w:rPr>
          <w:sz w:val="12"/>
        </w:rPr>
        <w:t>Phu</w:t>
      </w:r>
      <w:proofErr w:type="spellEnd"/>
      <w:r w:rsidRPr="0038080B">
        <w:rPr>
          <w:sz w:val="12"/>
        </w:rPr>
        <w:t xml:space="preserve"> Truong, 2010:11). T</w:t>
      </w:r>
      <w:r w:rsidRPr="0038080B">
        <w:rPr>
          <w:rStyle w:val="StyleUnderline"/>
        </w:rPr>
        <w:t>he Padilla opinion was somewhat equivocal on this question: it concluded that “it seems unlikely” that the decision would affect convictions already obtained, but reached this result by reasoning that professional norms and legal requirements in most of the country already imposed this obligation on defense counsel</w:t>
      </w:r>
      <w:r w:rsidRPr="0038080B">
        <w:rPr>
          <w:sz w:val="12"/>
        </w:rPr>
        <w:t xml:space="preserve"> (Padilla, p. 15). </w:t>
      </w:r>
      <w:r w:rsidRPr="0038080B">
        <w:rPr>
          <w:rStyle w:val="StyleUnderline"/>
        </w:rPr>
        <w:t>Thus, it seems the Court expected retroactive appeals where counsel either misadvised or did not advise clients of deportation consequences</w:t>
      </w:r>
      <w:r w:rsidRPr="0038080B">
        <w:rPr>
          <w:sz w:val="12"/>
        </w:rPr>
        <w:t xml:space="preserve"> (Love and Chin, 2010:20; Committee for Public Counsel Services, 2010:4).</w:t>
      </w:r>
      <w:r w:rsidR="0038080B" w:rsidRPr="0038080B">
        <w:rPr>
          <w:sz w:val="12"/>
        </w:rPr>
        <w:t xml:space="preserve"> </w:t>
      </w:r>
      <w:r w:rsidRPr="0038080B">
        <w:rPr>
          <w:rStyle w:val="Emphasis"/>
        </w:rPr>
        <w:t>Trial courts have reached different answers to the question of whether Padilla created a new constitutional rule</w:t>
      </w:r>
      <w:r w:rsidRPr="0038080B">
        <w:rPr>
          <w:sz w:val="12"/>
        </w:rPr>
        <w:t xml:space="preserve">, and if so whether and how it applies to existing convictions. A Bronx, New York judge ordered an evidentiary hearing after concluding Padilla should be applied retroactively (People v. Bennett, 2010), as did a California court (U.S. v. </w:t>
      </w:r>
      <w:proofErr w:type="spellStart"/>
      <w:r w:rsidRPr="0038080B">
        <w:rPr>
          <w:sz w:val="12"/>
        </w:rPr>
        <w:t>Hubenig</w:t>
      </w:r>
      <w:proofErr w:type="spellEnd"/>
      <w:r w:rsidRPr="0038080B">
        <w:rPr>
          <w:sz w:val="12"/>
        </w:rPr>
        <w:t xml:space="preserve">, 2010). Two different New York judges and a Michigan court declined to give Padilla retroactive effect, and the Maine judge followed their lead (People v. </w:t>
      </w:r>
      <w:proofErr w:type="spellStart"/>
      <w:r w:rsidRPr="0038080B">
        <w:rPr>
          <w:sz w:val="12"/>
        </w:rPr>
        <w:t>Kabre</w:t>
      </w:r>
      <w:proofErr w:type="spellEnd"/>
      <w:r w:rsidRPr="0038080B">
        <w:rPr>
          <w:sz w:val="12"/>
        </w:rPr>
        <w:t xml:space="preserve">, 2010; </w:t>
      </w:r>
      <w:proofErr w:type="spellStart"/>
      <w:r w:rsidRPr="0038080B">
        <w:rPr>
          <w:sz w:val="12"/>
        </w:rPr>
        <w:t>Gacko</w:t>
      </w:r>
      <w:proofErr w:type="spellEnd"/>
      <w:r w:rsidRPr="0038080B">
        <w:rPr>
          <w:sz w:val="12"/>
        </w:rPr>
        <w:t xml:space="preserve"> v. U.S., 2010; Haddad v. U.S., 2010; State of Maine v. </w:t>
      </w:r>
      <w:proofErr w:type="spellStart"/>
      <w:r w:rsidRPr="0038080B">
        <w:rPr>
          <w:sz w:val="12"/>
        </w:rPr>
        <w:t>Phu</w:t>
      </w:r>
      <w:proofErr w:type="spellEnd"/>
      <w:r w:rsidRPr="0038080B">
        <w:rPr>
          <w:sz w:val="12"/>
        </w:rPr>
        <w:t xml:space="preserve"> Truong, 2010). However, in June of 2011, the Third Circuit Court of Appeals applied Padilla retroactively to a plea entered in 2004, concluding Padilla was based on “</w:t>
      </w:r>
      <w:proofErr w:type="spellStart"/>
      <w:r w:rsidRPr="0038080B">
        <w:rPr>
          <w:sz w:val="12"/>
        </w:rPr>
        <w:t>longestablished</w:t>
      </w:r>
      <w:proofErr w:type="spellEnd"/>
      <w:r w:rsidRPr="0038080B">
        <w:rPr>
          <w:sz w:val="12"/>
        </w:rPr>
        <w:t xml:space="preserve"> professional norms” (U.S. v. </w:t>
      </w:r>
      <w:proofErr w:type="spellStart"/>
      <w:r w:rsidRPr="0038080B">
        <w:rPr>
          <w:sz w:val="12"/>
        </w:rPr>
        <w:t>Orocio</w:t>
      </w:r>
      <w:proofErr w:type="spellEnd"/>
      <w:r w:rsidRPr="0038080B">
        <w:rPr>
          <w:sz w:val="12"/>
        </w:rPr>
        <w:t xml:space="preserve">, 2011: p.19). Meanwhile, </w:t>
      </w:r>
      <w:r w:rsidRPr="0038080B">
        <w:rPr>
          <w:rStyle w:val="StyleUnderline"/>
        </w:rPr>
        <w:t>Padilla is already having an impact on the most recent pleas</w:t>
      </w:r>
      <w:r w:rsidRPr="0038080B">
        <w:rPr>
          <w:sz w:val="12"/>
        </w:rPr>
        <w:t>. One Boston attorney reported in January 2011 that he had already filed about thirty “Padilla challenges” seeking to withdraw pleas because of ineffective counsel and had been successful in some three-quarters of them (</w:t>
      </w:r>
      <w:proofErr w:type="spellStart"/>
      <w:r w:rsidRPr="0038080B">
        <w:rPr>
          <w:sz w:val="12"/>
        </w:rPr>
        <w:t>Bantz</w:t>
      </w:r>
      <w:proofErr w:type="spellEnd"/>
      <w:r w:rsidRPr="0038080B">
        <w:rPr>
          <w:sz w:val="12"/>
        </w:rPr>
        <w:t xml:space="preserve"> and Atkins, 2011)</w:t>
      </w:r>
    </w:p>
    <w:p w14:paraId="636A6FA1" w14:textId="77777777" w:rsidR="00C72238" w:rsidRPr="00C72238" w:rsidRDefault="00C72238" w:rsidP="00C72238"/>
    <w:p w14:paraId="0FB966A0" w14:textId="77777777" w:rsidR="00C72238" w:rsidRPr="007E39D1" w:rsidRDefault="00C72238" w:rsidP="00F35A86">
      <w:pPr>
        <w:rPr>
          <w:rStyle w:val="StyleUnderline"/>
        </w:rPr>
      </w:pPr>
    </w:p>
    <w:p w14:paraId="60CB6E34" w14:textId="77777777" w:rsidR="00F35A86" w:rsidRPr="00434CCA" w:rsidRDefault="00F35A86" w:rsidP="00F35A86">
      <w:pPr>
        <w:pStyle w:val="Heading3"/>
      </w:pPr>
      <w:r>
        <w:t xml:space="preserve">2AC – UQ – Tension High </w:t>
      </w:r>
    </w:p>
    <w:p w14:paraId="774FB840" w14:textId="77777777" w:rsidR="00F35A86" w:rsidRPr="007F1786" w:rsidRDefault="00F35A86" w:rsidP="00F35A86">
      <w:pPr>
        <w:pStyle w:val="Heading4"/>
      </w:pPr>
      <w:r w:rsidRPr="007F1786">
        <w:t xml:space="preserve">The circuits courts are </w:t>
      </w:r>
      <w:r w:rsidRPr="007F1786">
        <w:rPr>
          <w:u w:val="single"/>
        </w:rPr>
        <w:t>split</w:t>
      </w:r>
      <w:r w:rsidRPr="007F1786">
        <w:t xml:space="preserve"> now – </w:t>
      </w:r>
      <w:r>
        <w:t xml:space="preserve">tension over </w:t>
      </w:r>
      <w:r w:rsidRPr="007F1786">
        <w:rPr>
          <w:u w:val="single"/>
        </w:rPr>
        <w:t>asylum</w:t>
      </w:r>
      <w:r w:rsidRPr="007F1786">
        <w:t xml:space="preserve"> and </w:t>
      </w:r>
      <w:r w:rsidRPr="007F1786">
        <w:rPr>
          <w:u w:val="single"/>
        </w:rPr>
        <w:t>border wall funding</w:t>
      </w:r>
      <w:r w:rsidRPr="007F1786">
        <w:t xml:space="preserve"> disprove inter-court harmony </w:t>
      </w:r>
    </w:p>
    <w:p w14:paraId="485C56A7" w14:textId="77777777" w:rsidR="00F35A86" w:rsidRPr="004C1977" w:rsidRDefault="00F35A86" w:rsidP="00F35A86">
      <w:r w:rsidRPr="004C1977">
        <w:rPr>
          <w:rStyle w:val="Style13ptBold"/>
        </w:rPr>
        <w:t>Thomsen ‘20</w:t>
      </w:r>
      <w:r>
        <w:t xml:space="preserve"> (Jacqueline; </w:t>
      </w:r>
      <w:r w:rsidRPr="004C1977">
        <w:t>reporter covering D.C. federal courts and the legal side of politics</w:t>
      </w:r>
      <w:r>
        <w:t>; 01/13/2020; “</w:t>
      </w:r>
      <w:r w:rsidRPr="004C1977">
        <w:t>Circuits Split and Judges Squabble as Courts Confront National Injunctions</w:t>
      </w:r>
      <w:r>
        <w:t xml:space="preserve">”; </w:t>
      </w:r>
      <w:hyperlink r:id="rId59" w:history="1">
        <w:r w:rsidRPr="00C37A36">
          <w:rPr>
            <w:rStyle w:val="Hyperlink"/>
          </w:rPr>
          <w:t>https://www.law.com/nationallawjournal/2020/01/13/circuits-split-and-judges-squabble-as-courts-confront-national-injunctions/?slreturn=20200520152738</w:t>
        </w:r>
      </w:hyperlink>
      <w:r>
        <w:t xml:space="preserve">; </w:t>
      </w:r>
      <w:r>
        <w:rPr>
          <w:i/>
        </w:rPr>
        <w:t>Law.com</w:t>
      </w:r>
      <w:r>
        <w:t xml:space="preserve">; accessed: 06/20/2020; </w:t>
      </w:r>
      <w:proofErr w:type="spellStart"/>
      <w:r>
        <w:t>MohulA</w:t>
      </w:r>
      <w:proofErr w:type="spellEnd"/>
      <w:r>
        <w:t>)</w:t>
      </w:r>
    </w:p>
    <w:p w14:paraId="1975119F" w14:textId="77777777" w:rsidR="00F35A86" w:rsidRPr="004C1977" w:rsidRDefault="00F35A86" w:rsidP="00F35A86">
      <w:pPr>
        <w:rPr>
          <w:rStyle w:val="Emphasis"/>
        </w:rPr>
      </w:pPr>
      <w:r w:rsidRPr="004C1977">
        <w:rPr>
          <w:rStyle w:val="StyleUnderline"/>
        </w:rPr>
        <w:t xml:space="preserve">A pair of federal appeals courts last week issued </w:t>
      </w:r>
      <w:r w:rsidRPr="004C1977">
        <w:rPr>
          <w:rStyle w:val="Emphasis"/>
        </w:rPr>
        <w:t>diverging rulings on national injunctions</w:t>
      </w:r>
      <w:r w:rsidRPr="004C1977">
        <w:rPr>
          <w:rStyle w:val="StyleUnderline"/>
        </w:rPr>
        <w:t xml:space="preserve"> blocking President Donald Trump’s policies</w:t>
      </w:r>
      <w:r w:rsidRPr="007E39D1">
        <w:rPr>
          <w:sz w:val="16"/>
        </w:rPr>
        <w:t xml:space="preserve">, </w:t>
      </w:r>
      <w:r w:rsidRPr="004C1977">
        <w:rPr>
          <w:rStyle w:val="StyleUnderline"/>
        </w:rPr>
        <w:t>highlighting the ways circuit courts are confronting the nationwide orders issued by trial judges</w:t>
      </w:r>
      <w:r w:rsidRPr="007E39D1">
        <w:rPr>
          <w:sz w:val="16"/>
        </w:rPr>
        <w:t xml:space="preserve">. The U.S. Court of Appeals for the Second Circuit on Wednesday rejected the Justice Department’s request to lift a stay on a district court’s national ruling blocking the Trump administration’s “public charge” rule, which would make it more difficult for immigrants who require public assistance to obtain legal status. Hours later, </w:t>
      </w:r>
      <w:r w:rsidRPr="004C1977">
        <w:rPr>
          <w:rStyle w:val="StyleUnderline"/>
        </w:rPr>
        <w:t>the U.S. Court of Appeals for the Fifth Circuit, in a divided ruling, lifted a district court injunction blocking the administration from using certain military funds to build a border wall</w:t>
      </w:r>
      <w:r w:rsidRPr="007E39D1">
        <w:rPr>
          <w:sz w:val="16"/>
        </w:rPr>
        <w:t xml:space="preserve">. </w:t>
      </w:r>
      <w:r w:rsidRPr="004C1977">
        <w:rPr>
          <w:rStyle w:val="StyleUnderline"/>
        </w:rPr>
        <w:t>The use of the national orders has exploded in recent years under both the Obama and Trump administrations</w:t>
      </w:r>
      <w:r w:rsidRPr="007E39D1">
        <w:rPr>
          <w:sz w:val="16"/>
        </w:rPr>
        <w:t xml:space="preserve">. But </w:t>
      </w:r>
      <w:r w:rsidRPr="004C1977">
        <w:rPr>
          <w:rStyle w:val="StyleUnderline"/>
        </w:rPr>
        <w:t xml:space="preserve">Trump’s wielding of executive power, particularly in </w:t>
      </w:r>
      <w:r w:rsidRPr="004C1977">
        <w:rPr>
          <w:rStyle w:val="Emphasis"/>
        </w:rPr>
        <w:t>enacting immigration policies</w:t>
      </w:r>
      <w:r w:rsidRPr="004C1977">
        <w:rPr>
          <w:rStyle w:val="StyleUnderline"/>
        </w:rPr>
        <w:t xml:space="preserve">, has triggered a </w:t>
      </w:r>
      <w:r w:rsidRPr="004C1977">
        <w:rPr>
          <w:rStyle w:val="Emphasis"/>
        </w:rPr>
        <w:t>tidal wave of the orders from district courts.</w:t>
      </w:r>
      <w:r>
        <w:rPr>
          <w:rStyle w:val="Emphasis"/>
        </w:rPr>
        <w:t xml:space="preserve"> </w:t>
      </w:r>
      <w:r w:rsidRPr="007E39D1">
        <w:rPr>
          <w:sz w:val="16"/>
        </w:rPr>
        <w:t xml:space="preserve">That means appeals judges are repeatedly confronted with deciding whether a policy should be paused as the litigation moves forward. And for a president running for reelection whose personal legal strategy leans heavily on delay tactics, that stay ruling can make all the difference. Zachary Clopton, a professor at Northwestern Law, said cases involving injunctions are often high-profile matters that have a national or international impact. “Part of that new attention has brought increased scrutiny on these injunctions and in particular conservative judges and justices have started to object to the whole practice of issuing injunctions that protect nonparties, in ways that even those same judges and justices have not raised objections before this recent period,” Clopton said. </w:t>
      </w:r>
      <w:r w:rsidRPr="004C1977">
        <w:rPr>
          <w:rStyle w:val="StyleUnderline"/>
        </w:rPr>
        <w:t xml:space="preserve">The Second Circuit’s ruling on the public charge </w:t>
      </w:r>
      <w:r w:rsidRPr="004C1977">
        <w:rPr>
          <w:rStyle w:val="Emphasis"/>
        </w:rPr>
        <w:t>injunction split with the U.S. Courts of Appeals for the Fourth Circuit and the Ninth Circuit</w:t>
      </w:r>
      <w:r w:rsidRPr="007E39D1">
        <w:rPr>
          <w:sz w:val="16"/>
        </w:rPr>
        <w:t xml:space="preserve">, meaning the New York-based appeals court’s order is the only one halting the policy nationwide. Commercial Litigation &amp; Arbitration Forum 2020EVENT For senior dispute resolution professionals to network and engage through open debate, panels, expert speakers &amp; breakout sessions Get More Information The three-judge panel at the Second Circuit offered few details in its one-page order keeping the stay, instead suggesting that the merits panel of the court could pick up the issue if it wanted. The Fifth Circuit, in its border wall ruling, also </w:t>
      </w:r>
      <w:proofErr w:type="gramStart"/>
      <w:r w:rsidRPr="007E39D1">
        <w:rPr>
          <w:sz w:val="16"/>
        </w:rPr>
        <w:t>didn’t</w:t>
      </w:r>
      <w:proofErr w:type="gramEnd"/>
      <w:r w:rsidRPr="007E39D1">
        <w:rPr>
          <w:sz w:val="16"/>
        </w:rPr>
        <w:t xml:space="preserve"> provide much in terms of reasoning for throwing out the stay. They pointed to the U.S. Supreme Court agreeing to lift an injunction in a similar </w:t>
      </w:r>
      <w:proofErr w:type="gramStart"/>
      <w:r w:rsidRPr="007E39D1">
        <w:rPr>
          <w:sz w:val="16"/>
        </w:rPr>
        <w:t>lawsuit, and</w:t>
      </w:r>
      <w:proofErr w:type="gramEnd"/>
      <w:r w:rsidRPr="007E39D1">
        <w:rPr>
          <w:sz w:val="16"/>
        </w:rPr>
        <w:t xml:space="preserve"> said there’s a “substantial likelihood” the parties—El Paso County and the Border Network for Human Rights—lack standing in the case. In a dissenting opinion, Judge Stephen Higginson wrote “that the government presently has shown either a likelihood of success on the merits or irreparable harm in the absence of a stay.” </w:t>
      </w:r>
      <w:r w:rsidRPr="004C1977">
        <w:rPr>
          <w:rStyle w:val="StyleUnderline"/>
        </w:rPr>
        <w:t xml:space="preserve">This </w:t>
      </w:r>
      <w:r w:rsidRPr="004C1977">
        <w:rPr>
          <w:rStyle w:val="Emphasis"/>
        </w:rPr>
        <w:t xml:space="preserve">isn’t the </w:t>
      </w:r>
      <w:proofErr w:type="gramStart"/>
      <w:r w:rsidRPr="004C1977">
        <w:rPr>
          <w:rStyle w:val="Emphasis"/>
        </w:rPr>
        <w:t>first time</w:t>
      </w:r>
      <w:proofErr w:type="gramEnd"/>
      <w:r w:rsidRPr="004C1977">
        <w:rPr>
          <w:rStyle w:val="Emphasis"/>
        </w:rPr>
        <w:t xml:space="preserve"> members of a circuit court panel have publicly squabbled over whether a lower court’s injunction should stay in place</w:t>
      </w:r>
      <w:r w:rsidRPr="007E39D1">
        <w:rPr>
          <w:sz w:val="16"/>
        </w:rPr>
        <w:t xml:space="preserve">. </w:t>
      </w:r>
      <w:r w:rsidRPr="004C1977">
        <w:rPr>
          <w:rStyle w:val="StyleUnderline"/>
        </w:rPr>
        <w:t xml:space="preserve">Judges on the Ninth Circuit publicly </w:t>
      </w:r>
      <w:r w:rsidRPr="004C1977">
        <w:rPr>
          <w:rStyle w:val="Emphasis"/>
        </w:rPr>
        <w:t>split in August over a national order on asylum policies.</w:t>
      </w:r>
    </w:p>
    <w:p w14:paraId="0AD7B774" w14:textId="77777777" w:rsidR="00F35A86" w:rsidRDefault="00F35A86" w:rsidP="00F35A86">
      <w:pPr>
        <w:pStyle w:val="Heading3"/>
      </w:pPr>
      <w:r>
        <w:t>2AC – UQ – Vague Now</w:t>
      </w:r>
    </w:p>
    <w:p w14:paraId="10A58861" w14:textId="77777777" w:rsidR="00F35A86" w:rsidRDefault="00F35A86" w:rsidP="00F35A86">
      <w:pPr>
        <w:pStyle w:val="Heading4"/>
      </w:pPr>
      <w:r>
        <w:t xml:space="preserve">The fine-line between </w:t>
      </w:r>
      <w:r>
        <w:rPr>
          <w:u w:val="single"/>
        </w:rPr>
        <w:t>direct</w:t>
      </w:r>
      <w:r>
        <w:t xml:space="preserve"> and </w:t>
      </w:r>
      <w:r>
        <w:rPr>
          <w:u w:val="single"/>
        </w:rPr>
        <w:t>indirect</w:t>
      </w:r>
      <w:r>
        <w:t xml:space="preserve"> punitive consequence has skewed justice for defendants, preventing due process now – contradictory rulings proves court fracture is nonunique </w:t>
      </w:r>
    </w:p>
    <w:p w14:paraId="396D9D4C" w14:textId="77777777" w:rsidR="00F35A86" w:rsidRPr="00806DB1" w:rsidRDefault="00F35A86" w:rsidP="00F35A86">
      <w:r w:rsidRPr="00806DB1">
        <w:rPr>
          <w:rStyle w:val="Style13ptBold"/>
        </w:rPr>
        <w:t>Roberts ’08</w:t>
      </w:r>
      <w:r>
        <w:t xml:space="preserve"> (Jenny; Assistant Professor, Syracuse University College of Law. Many thanks to Rakesh Anand, Chris Fabricant, Brooks Holland, Mary Holland, K. Babe Howell, Mary Helen McNeal, Michael </w:t>
      </w:r>
      <w:proofErr w:type="spellStart"/>
      <w:r>
        <w:t>Pinard</w:t>
      </w:r>
      <w:proofErr w:type="spellEnd"/>
      <w:r>
        <w:t xml:space="preserve">, Rebecca Rosenfeld, Donald G. </w:t>
      </w:r>
      <w:proofErr w:type="spellStart"/>
      <w:r>
        <w:t>Rehkopf</w:t>
      </w:r>
      <w:proofErr w:type="spellEnd"/>
      <w:r>
        <w:t xml:space="preserve">, Jr., and Juliet Stumpf for invaluable comments. Thanks also to Peter Chambers, Nicole Staring, and particularly Jonathan P. </w:t>
      </w:r>
      <w:proofErr w:type="spellStart"/>
      <w:r>
        <w:t>Saine</w:t>
      </w:r>
      <w:proofErr w:type="spellEnd"/>
      <w:r>
        <w:t xml:space="preserve"> for excellent research assistance and to Victoria </w:t>
      </w:r>
      <w:proofErr w:type="spellStart"/>
      <w:r>
        <w:t>Mossotti</w:t>
      </w:r>
      <w:proofErr w:type="spellEnd"/>
      <w:r>
        <w:t xml:space="preserve"> for her administrative support. The research for this Article was generously supported by the Syracuse University College of Law; 2008; “The Mythical Divide Between Collateral and Direct Consequences of Criminal Convictions: Involuntary Commitment of ‘Sexually Violent Predators’”; </w:t>
      </w:r>
      <w:hyperlink r:id="rId60" w:history="1">
        <w:r w:rsidRPr="00D2075E">
          <w:rPr>
            <w:rStyle w:val="Hyperlink"/>
          </w:rPr>
          <w:t>http://www.minnesotalawreview.org/wp-content/uploads/2012/01/Roberts_mlr.pdf</w:t>
        </w:r>
      </w:hyperlink>
      <w:r>
        <w:t xml:space="preserve">; </w:t>
      </w:r>
      <w:r>
        <w:rPr>
          <w:i/>
        </w:rPr>
        <w:t>Minnesota Law Review</w:t>
      </w:r>
      <w:r>
        <w:t xml:space="preserve">; accessed: 06/21/2020; </w:t>
      </w:r>
      <w:proofErr w:type="spellStart"/>
      <w:r>
        <w:t>MohulA</w:t>
      </w:r>
      <w:proofErr w:type="spellEnd"/>
      <w:r>
        <w:t>)</w:t>
      </w:r>
    </w:p>
    <w:p w14:paraId="3D383EF5" w14:textId="78A63FE5" w:rsidR="00F35A86" w:rsidRDefault="00F35A86" w:rsidP="00F35A86">
      <w:pPr>
        <w:rPr>
          <w:rStyle w:val="Emphasis"/>
        </w:rPr>
      </w:pPr>
      <w:r w:rsidRPr="00806DB1">
        <w:rPr>
          <w:sz w:val="16"/>
        </w:rPr>
        <w:t xml:space="preserve">Although </w:t>
      </w:r>
      <w:r w:rsidRPr="00A153C2">
        <w:rPr>
          <w:rStyle w:val="StyleUnderline"/>
        </w:rPr>
        <w:t xml:space="preserve">the Court in Brady did </w:t>
      </w:r>
      <w:r w:rsidRPr="00A153C2">
        <w:rPr>
          <w:rStyle w:val="Emphasis"/>
        </w:rPr>
        <w:t>not define “direct consequences,”</w:t>
      </w:r>
      <w:r w:rsidRPr="00806DB1">
        <w:rPr>
          <w:sz w:val="16"/>
        </w:rPr>
        <w:t xml:space="preserve"> </w:t>
      </w:r>
      <w:r w:rsidRPr="00A153C2">
        <w:rPr>
          <w:rStyle w:val="StyleUnderline"/>
        </w:rPr>
        <w:t>a long line of (generally sparsely reasoned) lower federal and state court decisions following Brady have crafted</w:t>
      </w:r>
      <w:r w:rsidRPr="00806DB1">
        <w:rPr>
          <w:sz w:val="16"/>
        </w:rPr>
        <w:t xml:space="preserve"> a definition by omission. </w:t>
      </w:r>
      <w:r w:rsidRPr="00A153C2">
        <w:rPr>
          <w:rStyle w:val="StyleUnderline"/>
        </w:rPr>
        <w:t>They have done this by labeling particular consequences “collateral,” and then rejecting defendants’</w:t>
      </w:r>
      <w:r>
        <w:rPr>
          <w:rStyle w:val="StyleUnderline"/>
        </w:rPr>
        <w:t xml:space="preserve"> </w:t>
      </w:r>
      <w:r w:rsidRPr="00A153C2">
        <w:rPr>
          <w:rStyle w:val="StyleUnderline"/>
        </w:rPr>
        <w:t>requests to withdraw guilty pleas due to lack of knowledge of</w:t>
      </w:r>
      <w:r>
        <w:rPr>
          <w:rStyle w:val="StyleUnderline"/>
        </w:rPr>
        <w:t xml:space="preserve"> </w:t>
      </w:r>
      <w:r w:rsidRPr="00A153C2">
        <w:rPr>
          <w:rStyle w:val="StyleUnderline"/>
        </w:rPr>
        <w:t>those consequences</w:t>
      </w:r>
      <w:r w:rsidRPr="00806DB1">
        <w:rPr>
          <w:sz w:val="16"/>
        </w:rPr>
        <w:t xml:space="preserve">. Building on the weak foundations of the Brady dicta, the lower courts have developed three different, and largely unsatisfactory, </w:t>
      </w:r>
      <w:r w:rsidRPr="00A153C2">
        <w:rPr>
          <w:rStyle w:val="StyleUnderline"/>
        </w:rPr>
        <w:t>definitions of a “direct” consequence: (1) whether the consequence is “</w:t>
      </w:r>
      <w:r w:rsidRPr="00A153C2">
        <w:rPr>
          <w:rStyle w:val="Emphasis"/>
        </w:rPr>
        <w:t>definite, immediate</w:t>
      </w:r>
      <w:r>
        <w:rPr>
          <w:rStyle w:val="Emphasis"/>
        </w:rPr>
        <w:t xml:space="preserve"> </w:t>
      </w:r>
      <w:r w:rsidRPr="00A153C2">
        <w:rPr>
          <w:rStyle w:val="Emphasis"/>
        </w:rPr>
        <w:t>and largely automatic</w:t>
      </w:r>
      <w:r w:rsidRPr="00A153C2">
        <w:rPr>
          <w:rStyle w:val="StyleUnderline"/>
        </w:rPr>
        <w:t xml:space="preserve">”;85 (2) </w:t>
      </w:r>
      <w:r w:rsidRPr="00A153C2">
        <w:rPr>
          <w:rStyle w:val="Emphasis"/>
        </w:rPr>
        <w:t>whether the consequence is punitive</w:t>
      </w:r>
      <w:r w:rsidRPr="00A153C2">
        <w:rPr>
          <w:rStyle w:val="StyleUnderline"/>
        </w:rPr>
        <w:t>;86 and (3) whether the consequence is within the “</w:t>
      </w:r>
      <w:r w:rsidRPr="00A153C2">
        <w:rPr>
          <w:rStyle w:val="Emphasis"/>
        </w:rPr>
        <w:t>control</w:t>
      </w:r>
      <w:r>
        <w:rPr>
          <w:rStyle w:val="Emphasis"/>
        </w:rPr>
        <w:t xml:space="preserve"> </w:t>
      </w:r>
      <w:r w:rsidRPr="00A153C2">
        <w:rPr>
          <w:rStyle w:val="Emphasis"/>
        </w:rPr>
        <w:t>and responsibility</w:t>
      </w:r>
      <w:r w:rsidRPr="00A153C2">
        <w:rPr>
          <w:rStyle w:val="StyleUnderline"/>
        </w:rPr>
        <w:t>” of the sentencing court</w:t>
      </w:r>
      <w:r w:rsidRPr="00806DB1">
        <w:rPr>
          <w:sz w:val="16"/>
        </w:rPr>
        <w:t xml:space="preserve">.87 </w:t>
      </w:r>
      <w:proofErr w:type="spellStart"/>
      <w:r w:rsidRPr="00806DB1">
        <w:rPr>
          <w:sz w:val="16"/>
        </w:rPr>
        <w:t>i</w:t>
      </w:r>
      <w:proofErr w:type="spellEnd"/>
      <w:r w:rsidRPr="00806DB1">
        <w:rPr>
          <w:sz w:val="16"/>
        </w:rPr>
        <w:t xml:space="preserve">. “Definite, Immediate and Largely Automatic” Three years after Brady, the Fourth Circuit offered what is probably the most widely cited definition of a “direct consequence.” In </w:t>
      </w:r>
      <w:proofErr w:type="spellStart"/>
      <w:r w:rsidRPr="00806DB1">
        <w:rPr>
          <w:sz w:val="16"/>
        </w:rPr>
        <w:t>Cuthrell</w:t>
      </w:r>
      <w:proofErr w:type="spellEnd"/>
      <w:r w:rsidRPr="00806DB1">
        <w:rPr>
          <w:sz w:val="16"/>
        </w:rPr>
        <w:t xml:space="preserve"> v. Director, Patuxent Institution, the court noted that “[</w:t>
      </w:r>
      <w:r w:rsidRPr="00A153C2">
        <w:rPr>
          <w:rStyle w:val="StyleUnderline"/>
        </w:rPr>
        <w:t>t]he distinction between ‘direct’ and ‘collateral’</w:t>
      </w:r>
      <w:r>
        <w:rPr>
          <w:rStyle w:val="StyleUnderline"/>
        </w:rPr>
        <w:t xml:space="preserve"> </w:t>
      </w:r>
      <w:r w:rsidRPr="00A153C2">
        <w:rPr>
          <w:rStyle w:val="StyleUnderline"/>
        </w:rPr>
        <w:t>consequences of a plea, while sometimes shaded in the relevant</w:t>
      </w:r>
      <w:r>
        <w:rPr>
          <w:rStyle w:val="StyleUnderline"/>
        </w:rPr>
        <w:t xml:space="preserve"> </w:t>
      </w:r>
      <w:r w:rsidRPr="00A153C2">
        <w:rPr>
          <w:rStyle w:val="StyleUnderline"/>
        </w:rPr>
        <w:t>decisions, turns on whether the result represents a definite,</w:t>
      </w:r>
      <w:r>
        <w:rPr>
          <w:rStyle w:val="StyleUnderline"/>
        </w:rPr>
        <w:t xml:space="preserve"> </w:t>
      </w:r>
      <w:r w:rsidRPr="00A153C2">
        <w:rPr>
          <w:rStyle w:val="StyleUnderline"/>
        </w:rPr>
        <w:t>immediate and largely automatic effect on the range of the defendant’s punishment</w:t>
      </w:r>
      <w:r w:rsidRPr="00806DB1">
        <w:rPr>
          <w:sz w:val="16"/>
        </w:rPr>
        <w:t xml:space="preserve">.”88 Joseph </w:t>
      </w:r>
      <w:proofErr w:type="spellStart"/>
      <w:r w:rsidRPr="00806DB1">
        <w:rPr>
          <w:sz w:val="16"/>
        </w:rPr>
        <w:t>Cuthrell</w:t>
      </w:r>
      <w:proofErr w:type="spellEnd"/>
      <w:r w:rsidRPr="00806DB1">
        <w:rPr>
          <w:sz w:val="16"/>
        </w:rPr>
        <w:t xml:space="preserve"> claimed that his guilty plea was involuntary because he had not been warned that it might result in involuntary commitment under Maryland’s Defective Delinquents Act.89 At the time, such commitment either replaced or counted towards any term of imprisonment that the sentencing court had imposed,90 although it was indeterminate in length.91 Using the “definite, immediate and largely automatic” test, the court rejected </w:t>
      </w:r>
      <w:proofErr w:type="spellStart"/>
      <w:r w:rsidRPr="00806DB1">
        <w:rPr>
          <w:sz w:val="16"/>
        </w:rPr>
        <w:t>Cuthrell’s</w:t>
      </w:r>
      <w:proofErr w:type="spellEnd"/>
      <w:r w:rsidRPr="00806DB1">
        <w:rPr>
          <w:sz w:val="16"/>
        </w:rPr>
        <w:t xml:space="preserve"> claim. It found that because commitment was not definite and because the Maryland Act mandated a separate civil proceeding, </w:t>
      </w:r>
      <w:proofErr w:type="spellStart"/>
      <w:r w:rsidRPr="00806DB1">
        <w:rPr>
          <w:sz w:val="16"/>
        </w:rPr>
        <w:t>Cuthrell</w:t>
      </w:r>
      <w:proofErr w:type="spellEnd"/>
      <w:r w:rsidRPr="00806DB1">
        <w:rPr>
          <w:sz w:val="16"/>
        </w:rPr>
        <w:t xml:space="preserve"> was not entitled to any warnings as a matter of due process.92 Many courts cite </w:t>
      </w:r>
      <w:proofErr w:type="spellStart"/>
      <w:r w:rsidRPr="00806DB1">
        <w:rPr>
          <w:sz w:val="16"/>
        </w:rPr>
        <w:t>Cuthrell’s</w:t>
      </w:r>
      <w:proofErr w:type="spellEnd"/>
      <w:r w:rsidRPr="00806DB1">
        <w:rPr>
          <w:sz w:val="16"/>
        </w:rPr>
        <w:t xml:space="preserve"> “definite, immediate and largely automatic” language in setting out their criteria for determining whether a particular consequence is direct.93 However, as Texas’s highest court for criminal appeals recently noted in a rather scathing critique, with respect to its definition of “direct” </w:t>
      </w:r>
      <w:r w:rsidRPr="00A153C2">
        <w:rPr>
          <w:rStyle w:val="StyleUnderline"/>
        </w:rPr>
        <w:t>the Fourth Circuit offered “</w:t>
      </w:r>
      <w:r w:rsidRPr="00A153C2">
        <w:rPr>
          <w:rStyle w:val="Emphasis"/>
        </w:rPr>
        <w:t>no citation to statute or case law or</w:t>
      </w:r>
      <w:r>
        <w:rPr>
          <w:rStyle w:val="Emphasis"/>
        </w:rPr>
        <w:t xml:space="preserve"> </w:t>
      </w:r>
      <w:r w:rsidRPr="00A153C2">
        <w:rPr>
          <w:rStyle w:val="Emphasis"/>
        </w:rPr>
        <w:t>any other legal authority</w:t>
      </w:r>
      <w:r w:rsidRPr="00A153C2">
        <w:rPr>
          <w:rStyle w:val="StyleUnderline"/>
        </w:rPr>
        <w:t>; there is merely the assertion that it</w:t>
      </w:r>
      <w:r>
        <w:rPr>
          <w:rStyle w:val="StyleUnderline"/>
        </w:rPr>
        <w:t xml:space="preserve"> </w:t>
      </w:r>
      <w:r w:rsidRPr="00A153C2">
        <w:rPr>
          <w:rStyle w:val="StyleUnderline"/>
        </w:rPr>
        <w:t>is so</w:t>
      </w:r>
      <w:r w:rsidRPr="00806DB1">
        <w:rPr>
          <w:sz w:val="16"/>
        </w:rPr>
        <w:t xml:space="preserve">.”94 The </w:t>
      </w:r>
      <w:proofErr w:type="spellStart"/>
      <w:r w:rsidRPr="00806DB1">
        <w:rPr>
          <w:sz w:val="16"/>
        </w:rPr>
        <w:t>Cuthrell</w:t>
      </w:r>
      <w:proofErr w:type="spellEnd"/>
      <w:r w:rsidRPr="00806DB1">
        <w:rPr>
          <w:sz w:val="16"/>
        </w:rPr>
        <w:t xml:space="preserve"> court gave only one example of a “direct” consequence: parole eligibility. The court explained that “[t]he reason for this conclusion is that the right to parole has become so engrafted on the criminal sentence that such right is assumed by the average defendant and is directly related in the defendant’s mind with the length of his sentence.”95 This reason, however, does not coincide with </w:t>
      </w:r>
      <w:proofErr w:type="spellStart"/>
      <w:r w:rsidRPr="00806DB1">
        <w:rPr>
          <w:sz w:val="16"/>
        </w:rPr>
        <w:t>Cuthrell’s</w:t>
      </w:r>
      <w:proofErr w:type="spellEnd"/>
      <w:r w:rsidRPr="00806DB1">
        <w:rPr>
          <w:sz w:val="16"/>
        </w:rPr>
        <w:t xml:space="preserve"> definition of “direct.” </w:t>
      </w:r>
      <w:r w:rsidRPr="00A153C2">
        <w:rPr>
          <w:rStyle w:val="StyleUnderline"/>
        </w:rPr>
        <w:t>Parole may be engrafted, but it is not immediate, as it</w:t>
      </w:r>
      <w:r>
        <w:rPr>
          <w:rStyle w:val="StyleUnderline"/>
        </w:rPr>
        <w:t xml:space="preserve"> </w:t>
      </w:r>
      <w:r w:rsidRPr="00A153C2">
        <w:rPr>
          <w:rStyle w:val="StyleUnderline"/>
        </w:rPr>
        <w:t>must come after a term of imprisonment. It is not automatic,</w:t>
      </w:r>
      <w:r>
        <w:rPr>
          <w:rStyle w:val="StyleUnderline"/>
        </w:rPr>
        <w:t xml:space="preserve"> </w:t>
      </w:r>
      <w:r w:rsidRPr="00A153C2">
        <w:rPr>
          <w:rStyle w:val="StyleUnderline"/>
        </w:rPr>
        <w:t>but rather is a matter that a parole board must consider</w:t>
      </w:r>
      <w:r w:rsidRPr="00806DB1">
        <w:rPr>
          <w:sz w:val="16"/>
        </w:rPr>
        <w:t xml:space="preserve">. It is not </w:t>
      </w:r>
      <w:proofErr w:type="gramStart"/>
      <w:r w:rsidRPr="00806DB1">
        <w:rPr>
          <w:sz w:val="16"/>
        </w:rPr>
        <w:t>definite, since</w:t>
      </w:r>
      <w:proofErr w:type="gramEnd"/>
      <w:r w:rsidRPr="00806DB1">
        <w:rPr>
          <w:sz w:val="16"/>
        </w:rPr>
        <w:t xml:space="preserve"> release is a matter of discretion with the board. The </w:t>
      </w:r>
      <w:proofErr w:type="spellStart"/>
      <w:r w:rsidRPr="00806DB1">
        <w:rPr>
          <w:sz w:val="16"/>
        </w:rPr>
        <w:t>Cuthrell</w:t>
      </w:r>
      <w:proofErr w:type="spellEnd"/>
      <w:r w:rsidRPr="00806DB1">
        <w:rPr>
          <w:sz w:val="16"/>
        </w:rPr>
        <w:t xml:space="preserve"> parole dictum is quite important in how it </w:t>
      </w:r>
      <w:proofErr w:type="gramStart"/>
      <w:r w:rsidRPr="00806DB1">
        <w:rPr>
          <w:sz w:val="16"/>
        </w:rPr>
        <w:t>took into account</w:t>
      </w:r>
      <w:proofErr w:type="gramEnd"/>
      <w:r w:rsidRPr="00806DB1">
        <w:rPr>
          <w:sz w:val="16"/>
        </w:rPr>
        <w:t xml:space="preserve"> the perspective of the “average” (reasonable) defendant about the consequences of his guilty plea. Nevertheless, while it correctly identified this critical value in its inquiry into the validity of the plea under due process principles, it completely failed to capture that value in the definition that it crafted, upon which many state and federal courts now rely. ii. Punitive v. Nonpunitive Consequences </w:t>
      </w:r>
      <w:r w:rsidRPr="00A153C2">
        <w:rPr>
          <w:rStyle w:val="StyleUnderline"/>
        </w:rPr>
        <w:t xml:space="preserve">The same Texas court that eschewed the </w:t>
      </w:r>
      <w:proofErr w:type="spellStart"/>
      <w:r w:rsidRPr="00A153C2">
        <w:rPr>
          <w:rStyle w:val="StyleUnderline"/>
        </w:rPr>
        <w:t>Cuthrell</w:t>
      </w:r>
      <w:proofErr w:type="spellEnd"/>
      <w:r w:rsidRPr="00A153C2">
        <w:rPr>
          <w:rStyle w:val="StyleUnderline"/>
        </w:rPr>
        <w:t xml:space="preserve"> approach</w:t>
      </w:r>
      <w:r>
        <w:rPr>
          <w:rStyle w:val="StyleUnderline"/>
        </w:rPr>
        <w:t xml:space="preserve"> </w:t>
      </w:r>
      <w:r w:rsidRPr="00A153C2">
        <w:rPr>
          <w:rStyle w:val="StyleUnderline"/>
        </w:rPr>
        <w:t xml:space="preserve">came up with its own manner of determining whether a </w:t>
      </w:r>
      <w:proofErr w:type="gramStart"/>
      <w:r w:rsidRPr="00A153C2">
        <w:rPr>
          <w:rStyle w:val="StyleUnderline"/>
        </w:rPr>
        <w:t>particular consequence merits warnings</w:t>
      </w:r>
      <w:proofErr w:type="gramEnd"/>
      <w:r w:rsidRPr="00A153C2">
        <w:rPr>
          <w:rStyle w:val="StyleUnderline"/>
        </w:rPr>
        <w:t xml:space="preserve"> before a guilty plea. In</w:t>
      </w:r>
      <w:r>
        <w:rPr>
          <w:rStyle w:val="StyleUnderline"/>
        </w:rPr>
        <w:t xml:space="preserve"> </w:t>
      </w:r>
      <w:proofErr w:type="spellStart"/>
      <w:r w:rsidRPr="00A153C2">
        <w:rPr>
          <w:rStyle w:val="StyleUnderline"/>
        </w:rPr>
        <w:t>Mitschke</w:t>
      </w:r>
      <w:proofErr w:type="spellEnd"/>
      <w:r w:rsidRPr="00A153C2">
        <w:rPr>
          <w:rStyle w:val="StyleUnderline"/>
        </w:rPr>
        <w:t xml:space="preserve"> v. State, the court built upon the direct-collateral dichotomy for warnings, finding that “[e]</w:t>
      </w:r>
      <w:proofErr w:type="spellStart"/>
      <w:r w:rsidRPr="00A153C2">
        <w:rPr>
          <w:rStyle w:val="StyleUnderline"/>
        </w:rPr>
        <w:t>ven</w:t>
      </w:r>
      <w:proofErr w:type="spellEnd"/>
      <w:r w:rsidRPr="00A153C2">
        <w:rPr>
          <w:rStyle w:val="StyleUnderline"/>
        </w:rPr>
        <w:t xml:space="preserve"> if the consequence is</w:t>
      </w:r>
      <w:r>
        <w:rPr>
          <w:rStyle w:val="StyleUnderline"/>
        </w:rPr>
        <w:t xml:space="preserve"> </w:t>
      </w:r>
      <w:r w:rsidRPr="00A153C2">
        <w:rPr>
          <w:rStyle w:val="StyleUnderline"/>
        </w:rPr>
        <w:t xml:space="preserve">direct, . . . </w:t>
      </w:r>
      <w:r w:rsidRPr="00A153C2">
        <w:rPr>
          <w:rStyle w:val="Emphasis"/>
        </w:rPr>
        <w:t>imposition of it without admonishment might still be</w:t>
      </w:r>
      <w:r>
        <w:rPr>
          <w:rStyle w:val="Emphasis"/>
        </w:rPr>
        <w:t xml:space="preserve"> </w:t>
      </w:r>
      <w:r w:rsidRPr="00A153C2">
        <w:rPr>
          <w:rStyle w:val="Emphasis"/>
        </w:rPr>
        <w:t>justified as remedial and civil rather than punitive</w:t>
      </w:r>
      <w:r w:rsidRPr="00806DB1">
        <w:rPr>
          <w:sz w:val="16"/>
        </w:rPr>
        <w:t xml:space="preserve">.”96 </w:t>
      </w:r>
      <w:r w:rsidRPr="00A153C2">
        <w:rPr>
          <w:rStyle w:val="StyleUnderline"/>
        </w:rPr>
        <w:t xml:space="preserve">John </w:t>
      </w:r>
      <w:proofErr w:type="spellStart"/>
      <w:r w:rsidRPr="00A153C2">
        <w:rPr>
          <w:rStyle w:val="StyleUnderline"/>
        </w:rPr>
        <w:t>Mitschke</w:t>
      </w:r>
      <w:proofErr w:type="spellEnd"/>
      <w:r w:rsidRPr="00A153C2">
        <w:rPr>
          <w:rStyle w:val="StyleUnderline"/>
        </w:rPr>
        <w:t xml:space="preserve"> sought to withdraw his guilty plea, arguing</w:t>
      </w:r>
      <w:r>
        <w:rPr>
          <w:rStyle w:val="StyleUnderline"/>
        </w:rPr>
        <w:t xml:space="preserve"> </w:t>
      </w:r>
      <w:r w:rsidRPr="00A153C2">
        <w:rPr>
          <w:rStyle w:val="StyleUnderline"/>
        </w:rPr>
        <w:t xml:space="preserve">that failure to inform him about mandatory sex offender registration based on his conviction </w:t>
      </w:r>
      <w:r w:rsidRPr="00806DB1">
        <w:rPr>
          <w:sz w:val="16"/>
        </w:rPr>
        <w:t xml:space="preserve">violated his due process rights.97 </w:t>
      </w:r>
      <w:r w:rsidRPr="00A153C2">
        <w:rPr>
          <w:rStyle w:val="StyleUnderline"/>
        </w:rPr>
        <w:t xml:space="preserve">The court agreed that “the consequence, </w:t>
      </w:r>
      <w:r w:rsidRPr="00A153C2">
        <w:rPr>
          <w:rStyle w:val="Emphasis"/>
        </w:rPr>
        <w:t>registration as a sex</w:t>
      </w:r>
      <w:r>
        <w:rPr>
          <w:rStyle w:val="Emphasis"/>
        </w:rPr>
        <w:t xml:space="preserve"> </w:t>
      </w:r>
      <w:r w:rsidRPr="00A153C2">
        <w:rPr>
          <w:rStyle w:val="Emphasis"/>
        </w:rPr>
        <w:t>offender, is definite</w:t>
      </w:r>
      <w:r w:rsidRPr="00806DB1">
        <w:rPr>
          <w:sz w:val="16"/>
        </w:rPr>
        <w:t xml:space="preserve">. It is also completely automatic; if </w:t>
      </w:r>
      <w:r w:rsidRPr="00A153C2">
        <w:rPr>
          <w:rStyle w:val="StyleUnderline"/>
        </w:rPr>
        <w:t>a defendant pleads to an enumerated offense, he must register; there</w:t>
      </w:r>
      <w:r>
        <w:rPr>
          <w:rStyle w:val="StyleUnderline"/>
        </w:rPr>
        <w:t xml:space="preserve"> </w:t>
      </w:r>
      <w:r w:rsidRPr="00A153C2">
        <w:rPr>
          <w:rStyle w:val="StyleUnderline"/>
        </w:rPr>
        <w:t xml:space="preserve">are </w:t>
      </w:r>
      <w:r w:rsidRPr="00A153C2">
        <w:rPr>
          <w:rStyle w:val="Emphasis"/>
        </w:rPr>
        <w:t>no exceptions, no wiggle room, no conditions which relieve</w:t>
      </w:r>
      <w:r>
        <w:rPr>
          <w:rStyle w:val="Emphasis"/>
        </w:rPr>
        <w:t xml:space="preserve"> </w:t>
      </w:r>
      <w:r w:rsidRPr="00A153C2">
        <w:rPr>
          <w:rStyle w:val="Emphasis"/>
        </w:rPr>
        <w:t>him of that obligation</w:t>
      </w:r>
      <w:r w:rsidRPr="00806DB1">
        <w:rPr>
          <w:sz w:val="16"/>
        </w:rPr>
        <w:t xml:space="preserve">.”98 </w:t>
      </w:r>
      <w:r w:rsidRPr="00A153C2">
        <w:rPr>
          <w:rStyle w:val="StyleUnderline"/>
        </w:rPr>
        <w:t xml:space="preserve">But it denied </w:t>
      </w:r>
      <w:proofErr w:type="spellStart"/>
      <w:r w:rsidRPr="00A153C2">
        <w:rPr>
          <w:rStyle w:val="StyleUnderline"/>
        </w:rPr>
        <w:t>Mitschke’s</w:t>
      </w:r>
      <w:proofErr w:type="spellEnd"/>
      <w:r w:rsidRPr="00A153C2">
        <w:rPr>
          <w:rStyle w:val="StyleUnderline"/>
        </w:rPr>
        <w:t xml:space="preserve"> claim, finding that</w:t>
      </w:r>
      <w:r w:rsidRPr="00806DB1">
        <w:rPr>
          <w:sz w:val="16"/>
        </w:rPr>
        <w:t xml:space="preserve"> </w:t>
      </w:r>
      <w:r w:rsidRPr="00A153C2">
        <w:rPr>
          <w:rStyle w:val="Emphasis"/>
        </w:rPr>
        <w:t>not all direct consequences merit constitutionally</w:t>
      </w:r>
      <w:r>
        <w:rPr>
          <w:rStyle w:val="Emphasis"/>
        </w:rPr>
        <w:t xml:space="preserve"> </w:t>
      </w:r>
      <w:r w:rsidRPr="00A153C2">
        <w:rPr>
          <w:rStyle w:val="Emphasis"/>
        </w:rPr>
        <w:t>mandated warnings</w:t>
      </w:r>
      <w:r w:rsidRPr="00806DB1">
        <w:rPr>
          <w:sz w:val="16"/>
        </w:rPr>
        <w:t xml:space="preserve">.99 The court stated that “[a] statute that can fairly be characterized as remedial, both in its purpose and implementing provisions, does not constitute punishment even though its remedial provisions have some inevitable deterrent </w:t>
      </w:r>
      <w:proofErr w:type="spellStart"/>
      <w:r w:rsidRPr="00806DB1">
        <w:rPr>
          <w:sz w:val="16"/>
        </w:rPr>
        <w:t>affect</w:t>
      </w:r>
      <w:proofErr w:type="spellEnd"/>
      <w:r w:rsidRPr="00806DB1">
        <w:rPr>
          <w:sz w:val="16"/>
        </w:rPr>
        <w:t xml:space="preserve">, and even though it may indirectly and adversely affect, potentially severely, some of those subject to its provisions.”100 Under this definition, </w:t>
      </w:r>
      <w:r w:rsidRPr="00A153C2">
        <w:rPr>
          <w:rStyle w:val="StyleUnderline"/>
        </w:rPr>
        <w:t xml:space="preserve">sex offender registration was </w:t>
      </w:r>
      <w:r w:rsidRPr="00A153C2">
        <w:rPr>
          <w:rStyle w:val="Emphasis"/>
        </w:rPr>
        <w:t>nonpunitive and thus</w:t>
      </w:r>
      <w:r>
        <w:rPr>
          <w:rStyle w:val="Emphasis"/>
        </w:rPr>
        <w:t xml:space="preserve"> </w:t>
      </w:r>
      <w:r w:rsidRPr="00A153C2">
        <w:rPr>
          <w:rStyle w:val="Emphasis"/>
        </w:rPr>
        <w:t>no warnings were required.</w:t>
      </w:r>
      <w:r>
        <w:rPr>
          <w:rStyle w:val="Emphasis"/>
        </w:rPr>
        <w:t xml:space="preserve"> </w:t>
      </w:r>
      <w:r w:rsidRPr="00806DB1">
        <w:rPr>
          <w:sz w:val="16"/>
        </w:rPr>
        <w:t>iii. “Control and Responsibility” Immigration law reforms of the mid-1990s took almost all discretion away from immigration authorities to grant relief from deportation for large classes of criminal convictions.101 Since that time</w:t>
      </w:r>
      <w:r w:rsidRPr="00A153C2">
        <w:rPr>
          <w:rStyle w:val="StyleUnderline"/>
        </w:rPr>
        <w:t xml:space="preserve">, a number of defendants have argued that deportation based on these convictions is now an automatic, definite consequence that requires </w:t>
      </w:r>
      <w:proofErr w:type="spellStart"/>
      <w:r w:rsidRPr="00A153C2">
        <w:rPr>
          <w:rStyle w:val="StyleUnderline"/>
        </w:rPr>
        <w:t>preplea</w:t>
      </w:r>
      <w:proofErr w:type="spellEnd"/>
      <w:r w:rsidRPr="00A153C2">
        <w:rPr>
          <w:rStyle w:val="StyleUnderline"/>
        </w:rPr>
        <w:t xml:space="preserve"> warnings</w:t>
      </w:r>
      <w:r w:rsidRPr="00806DB1">
        <w:rPr>
          <w:sz w:val="16"/>
        </w:rPr>
        <w:t>. A number of courts have rejected such claims by relying on yet a third way to draw the line between consequences that require or do not require warnings, namely, by privileging consequences that are under the “control and responsibility” of the sentencing court. Abdel-Karim El-</w:t>
      </w:r>
      <w:proofErr w:type="spellStart"/>
      <w:r w:rsidRPr="00806DB1">
        <w:rPr>
          <w:sz w:val="16"/>
        </w:rPr>
        <w:t>Nobani</w:t>
      </w:r>
      <w:proofErr w:type="spellEnd"/>
      <w:r w:rsidRPr="00806DB1">
        <w:rPr>
          <w:sz w:val="16"/>
        </w:rPr>
        <w:t xml:space="preserve"> was a lawful permanent resident of the United States.102 Shortly after </w:t>
      </w:r>
      <w:r w:rsidRPr="00A153C2">
        <w:rPr>
          <w:rStyle w:val="StyleUnderline"/>
        </w:rPr>
        <w:t>El-</w:t>
      </w:r>
      <w:proofErr w:type="spellStart"/>
      <w:r w:rsidRPr="00A153C2">
        <w:rPr>
          <w:rStyle w:val="StyleUnderline"/>
        </w:rPr>
        <w:t>Nobani</w:t>
      </w:r>
      <w:proofErr w:type="spellEnd"/>
      <w:r w:rsidRPr="00A153C2">
        <w:rPr>
          <w:rStyle w:val="StyleUnderline"/>
        </w:rPr>
        <w:t xml:space="preserve"> pleaded guilty</w:t>
      </w:r>
      <w:r>
        <w:rPr>
          <w:rStyle w:val="StyleUnderline"/>
        </w:rPr>
        <w:t xml:space="preserve"> </w:t>
      </w:r>
      <w:r w:rsidRPr="00A153C2">
        <w:rPr>
          <w:rStyle w:val="StyleUnderline"/>
        </w:rPr>
        <w:t>to conspiracy to traffic food stamps and alien harboring, the</w:t>
      </w:r>
      <w:r>
        <w:rPr>
          <w:rStyle w:val="StyleUnderline"/>
        </w:rPr>
        <w:t xml:space="preserve"> </w:t>
      </w:r>
      <w:r w:rsidRPr="00A153C2">
        <w:rPr>
          <w:rStyle w:val="StyleUnderline"/>
        </w:rPr>
        <w:t>Immigration and Naturalization Service began deportation</w:t>
      </w:r>
      <w:r>
        <w:rPr>
          <w:rStyle w:val="StyleUnderline"/>
        </w:rPr>
        <w:t xml:space="preserve"> </w:t>
      </w:r>
      <w:r w:rsidRPr="00A153C2">
        <w:rPr>
          <w:rStyle w:val="StyleUnderline"/>
        </w:rPr>
        <w:t>proceedings against him</w:t>
      </w:r>
      <w:r w:rsidRPr="00806DB1">
        <w:rPr>
          <w:sz w:val="16"/>
        </w:rPr>
        <w:t>.103 In seeking to withdraw his guilty plea, El-</w:t>
      </w:r>
      <w:proofErr w:type="spellStart"/>
      <w:r w:rsidRPr="00806DB1">
        <w:rPr>
          <w:sz w:val="16"/>
        </w:rPr>
        <w:t>Nobani</w:t>
      </w:r>
      <w:proofErr w:type="spellEnd"/>
      <w:r w:rsidRPr="00806DB1">
        <w:rPr>
          <w:sz w:val="16"/>
        </w:rPr>
        <w:t xml:space="preserve"> argued that he had not been warned about the deportation consequences of that plea. </w:t>
      </w:r>
      <w:r w:rsidRPr="00A153C2">
        <w:rPr>
          <w:rStyle w:val="StyleUnderline"/>
        </w:rPr>
        <w:t>Although the Sixth Circuit ruled against El-</w:t>
      </w:r>
      <w:proofErr w:type="spellStart"/>
      <w:r w:rsidRPr="00A153C2">
        <w:rPr>
          <w:rStyle w:val="StyleUnderline"/>
        </w:rPr>
        <w:t>Nobani</w:t>
      </w:r>
      <w:proofErr w:type="spellEnd"/>
      <w:r w:rsidRPr="00A153C2">
        <w:rPr>
          <w:rStyle w:val="StyleUnderline"/>
        </w:rPr>
        <w:t xml:space="preserve"> on procedural grounds, it went on</w:t>
      </w:r>
      <w:r>
        <w:rPr>
          <w:rStyle w:val="StyleUnderline"/>
        </w:rPr>
        <w:t xml:space="preserve"> </w:t>
      </w:r>
      <w:r w:rsidRPr="00A153C2">
        <w:rPr>
          <w:rStyle w:val="StyleUnderline"/>
        </w:rPr>
        <w:t>to state that “the automatic nature of the deportation proceeding does not necessarily make deportation a direct consequence</w:t>
      </w:r>
      <w:r>
        <w:rPr>
          <w:rStyle w:val="StyleUnderline"/>
        </w:rPr>
        <w:t xml:space="preserve"> </w:t>
      </w:r>
      <w:r w:rsidRPr="00A153C2">
        <w:rPr>
          <w:rStyle w:val="StyleUnderline"/>
        </w:rPr>
        <w:t>of the guilty plea.</w:t>
      </w:r>
      <w:r w:rsidRPr="00806DB1">
        <w:rPr>
          <w:sz w:val="16"/>
        </w:rPr>
        <w:t xml:space="preserve"> A collateral consequence is one that remains beyond the control and responsibility of the district court in which that conviction was entered.”104 Although this definition quite neatly allows for denial of claims of due process violations for failure to warn about </w:t>
      </w:r>
      <w:proofErr w:type="spellStart"/>
      <w:r w:rsidRPr="00806DB1">
        <w:rPr>
          <w:sz w:val="16"/>
        </w:rPr>
        <w:t>immi</w:t>
      </w:r>
      <w:proofErr w:type="spellEnd"/>
      <w:r w:rsidRPr="00806DB1">
        <w:rPr>
          <w:sz w:val="16"/>
        </w:rPr>
        <w:t xml:space="preserve"> </w:t>
      </w:r>
      <w:proofErr w:type="spellStart"/>
      <w:r w:rsidRPr="00806DB1">
        <w:rPr>
          <w:sz w:val="16"/>
        </w:rPr>
        <w:t>gration</w:t>
      </w:r>
      <w:proofErr w:type="spellEnd"/>
      <w:r w:rsidRPr="00806DB1">
        <w:rPr>
          <w:sz w:val="16"/>
        </w:rPr>
        <w:t xml:space="preserve"> consequences, and </w:t>
      </w:r>
      <w:r w:rsidRPr="00A153C2">
        <w:rPr>
          <w:rStyle w:val="StyleUnderline"/>
        </w:rPr>
        <w:t>some courts may in fact have chosen</w:t>
      </w:r>
      <w:r>
        <w:rPr>
          <w:rStyle w:val="StyleUnderline"/>
        </w:rPr>
        <w:t xml:space="preserve"> </w:t>
      </w:r>
      <w:r w:rsidRPr="00A153C2">
        <w:rPr>
          <w:rStyle w:val="StyleUnderline"/>
        </w:rPr>
        <w:t xml:space="preserve">it rather than </w:t>
      </w:r>
      <w:proofErr w:type="spellStart"/>
      <w:r w:rsidRPr="00A153C2">
        <w:rPr>
          <w:rStyle w:val="StyleUnderline"/>
        </w:rPr>
        <w:t>Cuthrell</w:t>
      </w:r>
      <w:proofErr w:type="spellEnd"/>
      <w:r w:rsidRPr="00A153C2">
        <w:rPr>
          <w:rStyle w:val="StyleUnderline"/>
        </w:rPr>
        <w:t xml:space="preserve"> for precisely this purpose, the “control</w:t>
      </w:r>
      <w:r>
        <w:rPr>
          <w:rStyle w:val="StyleUnderline"/>
        </w:rPr>
        <w:t xml:space="preserve"> </w:t>
      </w:r>
      <w:r w:rsidRPr="00A153C2">
        <w:rPr>
          <w:rStyle w:val="StyleUnderline"/>
        </w:rPr>
        <w:t>and responsibility” language predates the 1996 immigration</w:t>
      </w:r>
      <w:r>
        <w:rPr>
          <w:rStyle w:val="StyleUnderline"/>
        </w:rPr>
        <w:t xml:space="preserve"> </w:t>
      </w:r>
      <w:r w:rsidRPr="00A153C2">
        <w:rPr>
          <w:rStyle w:val="StyleUnderline"/>
        </w:rPr>
        <w:t>law amendments</w:t>
      </w:r>
      <w:r w:rsidRPr="00806DB1">
        <w:rPr>
          <w:sz w:val="16"/>
        </w:rPr>
        <w:t>. As early as 1974, the Second Circuit used similar language in denying a deportation-based plea withdrawal request, finding that “[d]</w:t>
      </w:r>
      <w:proofErr w:type="spellStart"/>
      <w:r w:rsidRPr="00806DB1">
        <w:rPr>
          <w:sz w:val="16"/>
        </w:rPr>
        <w:t>eportation</w:t>
      </w:r>
      <w:proofErr w:type="spellEnd"/>
      <w:r w:rsidRPr="00806DB1">
        <w:rPr>
          <w:sz w:val="16"/>
        </w:rPr>
        <w:t xml:space="preserve"> . . . was not the sentence of the court which accepted the plea but of another agency over which the trial judge has no control and for which he has no responsibility.”105 The court further explained </w:t>
      </w:r>
      <w:r w:rsidRPr="00A153C2">
        <w:rPr>
          <w:rStyle w:val="StyleUnderline"/>
        </w:rPr>
        <w:t>that the</w:t>
      </w:r>
      <w:r>
        <w:rPr>
          <w:rStyle w:val="StyleUnderline"/>
        </w:rPr>
        <w:t xml:space="preserve"> </w:t>
      </w:r>
      <w:r w:rsidRPr="00A153C2">
        <w:rPr>
          <w:rStyle w:val="StyleUnderline"/>
        </w:rPr>
        <w:t>direct-collateral distinction does not depend “upon the degree of</w:t>
      </w:r>
      <w:r>
        <w:rPr>
          <w:rStyle w:val="StyleUnderline"/>
        </w:rPr>
        <w:t xml:space="preserve"> </w:t>
      </w:r>
      <w:r w:rsidRPr="00A153C2">
        <w:rPr>
          <w:rStyle w:val="StyleUnderline"/>
        </w:rPr>
        <w:t>certainty with which the sanction will be visited upon the defendant</w:t>
      </w:r>
      <w:r w:rsidRPr="00806DB1">
        <w:rPr>
          <w:sz w:val="16"/>
        </w:rPr>
        <w:t xml:space="preserve">.” </w:t>
      </w:r>
      <w:r w:rsidRPr="00A153C2">
        <w:rPr>
          <w:rStyle w:val="StyleUnderline"/>
        </w:rPr>
        <w:t>Instead, the trial judge “must assure himself only</w:t>
      </w:r>
      <w:r>
        <w:rPr>
          <w:rStyle w:val="StyleUnderline"/>
        </w:rPr>
        <w:t xml:space="preserve"> </w:t>
      </w:r>
      <w:r w:rsidRPr="00A153C2">
        <w:rPr>
          <w:rStyle w:val="StyleUnderline"/>
        </w:rPr>
        <w:t xml:space="preserve">that the </w:t>
      </w:r>
      <w:r w:rsidRPr="00A153C2">
        <w:rPr>
          <w:rStyle w:val="Emphasis"/>
        </w:rPr>
        <w:t>punishment that he is meting out is understood.”106</w:t>
      </w:r>
    </w:p>
    <w:p w14:paraId="1CEE214B" w14:textId="767FF06B" w:rsidR="00CC009B" w:rsidRDefault="00CC009B" w:rsidP="00F35A86">
      <w:pPr>
        <w:rPr>
          <w:rStyle w:val="Emphasis"/>
        </w:rPr>
      </w:pPr>
    </w:p>
    <w:p w14:paraId="25371F3A" w14:textId="7C74D804" w:rsidR="00CC009B" w:rsidRDefault="00CC009B" w:rsidP="00CC009B">
      <w:pPr>
        <w:pStyle w:val="Heading3"/>
      </w:pPr>
      <w:r>
        <w:t>2AC – UQ – Activism Now</w:t>
      </w:r>
    </w:p>
    <w:p w14:paraId="0AB905C5" w14:textId="771EFDFA" w:rsidR="00CC009B" w:rsidRDefault="00CC009B" w:rsidP="00CC009B"/>
    <w:p w14:paraId="2289F631" w14:textId="77777777" w:rsidR="00CC009B" w:rsidRDefault="00CC009B" w:rsidP="00CC009B">
      <w:pPr>
        <w:pStyle w:val="Heading4"/>
      </w:pPr>
      <w:r>
        <w:t>Collateral consequences have inspired mass judicial activism in federal courts---thumps any DAs</w:t>
      </w:r>
    </w:p>
    <w:p w14:paraId="21B6751E" w14:textId="77777777" w:rsidR="00CC009B" w:rsidRPr="0085244A" w:rsidRDefault="00CC009B" w:rsidP="00CC009B">
      <w:r>
        <w:rPr>
          <w:rStyle w:val="Style13ptBold"/>
        </w:rPr>
        <w:t xml:space="preserve">Roth 18 </w:t>
      </w:r>
      <w:r w:rsidRPr="0085244A">
        <w:t>(Jessica Roth is a Professor of Law at Cardozo School of Law, where she is the co-director of the Jacob Burns Center for Ethics in the Practice of Law</w:t>
      </w:r>
      <w:r>
        <w:t>, 1/16/18, “</w:t>
      </w:r>
      <w:r w:rsidRPr="0085244A">
        <w:t>THE "NEW" DISTRICT COURT ACTIVISM IN CRIMINAL JUSTICE REFORM</w:t>
      </w:r>
      <w:r>
        <w:t>”, p. 205-209)</w:t>
      </w:r>
      <w:proofErr w:type="spellStart"/>
      <w:r>
        <w:t>kiihnl</w:t>
      </w:r>
      <w:proofErr w:type="spellEnd"/>
    </w:p>
    <w:p w14:paraId="6FB7C607" w14:textId="77777777" w:rsidR="00CC009B" w:rsidRPr="005434C0" w:rsidRDefault="00CC009B" w:rsidP="00CC009B">
      <w:pPr>
        <w:rPr>
          <w:sz w:val="16"/>
          <w:szCs w:val="16"/>
        </w:rPr>
      </w:pPr>
      <w:r w:rsidRPr="005434C0">
        <w:rPr>
          <w:sz w:val="16"/>
          <w:szCs w:val="16"/>
        </w:rPr>
        <w:t>4. Collateral Consequences of Convictions</w:t>
      </w:r>
    </w:p>
    <w:p w14:paraId="7834FB57" w14:textId="77777777" w:rsidR="00CC009B" w:rsidRPr="005434C0" w:rsidRDefault="00CC009B" w:rsidP="00CC009B">
      <w:pPr>
        <w:rPr>
          <w:sz w:val="16"/>
          <w:szCs w:val="16"/>
        </w:rPr>
      </w:pPr>
      <w:r w:rsidRPr="005434C0">
        <w:rPr>
          <w:sz w:val="16"/>
          <w:szCs w:val="16"/>
        </w:rPr>
        <w:t xml:space="preserve"> In addition to excessive incarceration, </w:t>
      </w:r>
      <w:r w:rsidRPr="00B10D8D">
        <w:rPr>
          <w:b/>
          <w:bCs/>
          <w:u w:val="single"/>
        </w:rPr>
        <w:t>t</w:t>
      </w:r>
      <w:r w:rsidRPr="005434C0">
        <w:rPr>
          <w:b/>
          <w:bCs/>
          <w:u w:val="single"/>
        </w:rPr>
        <w:t>he "new" judicial activists have brought attention to the consequences of criminal convictions</w:t>
      </w:r>
      <w:r w:rsidRPr="00BE2F0E">
        <w:rPr>
          <w:b/>
          <w:bCs/>
          <w:u w:val="single"/>
        </w:rPr>
        <w:t xml:space="preserve"> for the ability of previously convicted persons to obtain employment, housing, education, and otherwise participate fully in society</w:t>
      </w:r>
      <w:r w:rsidRPr="005434C0">
        <w:rPr>
          <w:sz w:val="16"/>
          <w:szCs w:val="16"/>
        </w:rPr>
        <w:t xml:space="preserve">. Most of these consequences are imposed by state, not federal, law, but they apply equally to those convicted of offenses in federal court. Laws imposing such restrictions have existed for centuries.  </w:t>
      </w:r>
      <w:r w:rsidRPr="005434C0">
        <w:rPr>
          <w:sz w:val="16"/>
          <w:szCs w:val="16"/>
        </w:rPr>
        <w:footnoteReference w:customMarkFollows="1" w:id="226"/>
        <w:t xml:space="preserve">74 Many people are familiar with some of their harshest manifestations, e.g., precluding convicted felons who are United States citizens from voting, or providing grounds for deportation of non-citizens. </w:t>
      </w:r>
      <w:r w:rsidRPr="005434C0">
        <w:rPr>
          <w:b/>
          <w:bCs/>
          <w:u w:val="single"/>
        </w:rPr>
        <w:t>Such laws have proliferated in the economic, educational, and social spheres</w:t>
      </w:r>
      <w:r w:rsidRPr="00BE2F0E">
        <w:rPr>
          <w:b/>
          <w:bCs/>
          <w:u w:val="single"/>
        </w:rPr>
        <w:t xml:space="preserve"> </w:t>
      </w:r>
      <w:r w:rsidRPr="00062CA3">
        <w:rPr>
          <w:sz w:val="16"/>
          <w:szCs w:val="16"/>
        </w:rPr>
        <w:t>as well, precluding individuals convicted of a crime from being eligible for a variety of professional licenses, excluding them from housing and related benefits, and from educational opportunities</w:t>
      </w:r>
      <w:r w:rsidRPr="005434C0">
        <w:rPr>
          <w:sz w:val="16"/>
          <w:szCs w:val="16"/>
        </w:rPr>
        <w:t xml:space="preserve">.  </w:t>
      </w:r>
      <w:r w:rsidRPr="005434C0">
        <w:rPr>
          <w:sz w:val="16"/>
          <w:szCs w:val="16"/>
        </w:rPr>
        <w:footnoteReference w:customMarkFollows="1" w:id="227"/>
        <w:t xml:space="preserve">75 Previously relegated to the corridors of defense and immigration attorneys' offices, these collateral consequences have emerged in recent years into public consciousness through popular books like Michelle Alexander's </w:t>
      </w:r>
      <w:proofErr w:type="gramStart"/>
      <w:r w:rsidRPr="005434C0">
        <w:rPr>
          <w:sz w:val="16"/>
          <w:szCs w:val="16"/>
        </w:rPr>
        <w:t>The</w:t>
      </w:r>
      <w:proofErr w:type="gramEnd"/>
      <w:r w:rsidRPr="005434C0">
        <w:rPr>
          <w:sz w:val="16"/>
          <w:szCs w:val="16"/>
        </w:rPr>
        <w:t xml:space="preserve"> New Jim Crow: Mass Incarceration in the Age of Colorblindness.  </w:t>
      </w:r>
      <w:r w:rsidRPr="005434C0">
        <w:rPr>
          <w:sz w:val="16"/>
          <w:szCs w:val="16"/>
        </w:rPr>
        <w:footnoteReference w:customMarkFollows="1" w:id="228"/>
        <w:t>76</w:t>
      </w:r>
    </w:p>
    <w:p w14:paraId="239B421A" w14:textId="77777777" w:rsidR="00CC009B" w:rsidRPr="00062CA3" w:rsidRDefault="00CC009B" w:rsidP="00CC009B">
      <w:pPr>
        <w:rPr>
          <w:sz w:val="16"/>
          <w:szCs w:val="16"/>
        </w:rPr>
      </w:pPr>
      <w:r w:rsidRPr="005434C0">
        <w:rPr>
          <w:b/>
          <w:bCs/>
          <w:u w:val="single"/>
        </w:rPr>
        <w:t>For decades, federal criminal law was officially blind to these real-life consequences</w:t>
      </w:r>
      <w:r w:rsidRPr="00BE2F0E">
        <w:rPr>
          <w:b/>
          <w:bCs/>
          <w:u w:val="single"/>
        </w:rPr>
        <w:t>, deeming them "non-punishment</w:t>
      </w:r>
      <w:r w:rsidRPr="005434C0">
        <w:rPr>
          <w:sz w:val="16"/>
          <w:szCs w:val="16"/>
        </w:rPr>
        <w:t xml:space="preserve">."  </w:t>
      </w:r>
      <w:r w:rsidRPr="005434C0">
        <w:rPr>
          <w:sz w:val="16"/>
          <w:szCs w:val="16"/>
        </w:rPr>
        <w:footnoteReference w:customMarkFollows="1" w:id="229"/>
        <w:t xml:space="preserve">77 Thus, they were considered irrelevant at sentencing, to the adequacy of defense representation, and to the voluntariness of a guilty plea.  </w:t>
      </w:r>
      <w:r w:rsidRPr="005434C0">
        <w:rPr>
          <w:sz w:val="16"/>
          <w:szCs w:val="16"/>
        </w:rPr>
        <w:footnoteReference w:customMarkFollows="1" w:id="230"/>
        <w:t xml:space="preserve">78 </w:t>
      </w:r>
      <w:r w:rsidRPr="00062CA3">
        <w:rPr>
          <w:sz w:val="16"/>
          <w:szCs w:val="16"/>
        </w:rPr>
        <w:t>That changed in 2010 when the Supreme Court held in Padilla v. Kentucky that defense counsel's failure to advise a client of the deportation consequences of a conviction constituted constitutionally incompetent representation</w:t>
      </w:r>
      <w:r w:rsidRPr="005434C0">
        <w:rPr>
          <w:sz w:val="16"/>
          <w:szCs w:val="16"/>
        </w:rPr>
        <w:t xml:space="preserve">.  </w:t>
      </w:r>
      <w:r w:rsidRPr="005434C0">
        <w:rPr>
          <w:sz w:val="16"/>
          <w:szCs w:val="16"/>
        </w:rPr>
        <w:footnoteReference w:customMarkFollows="1" w:id="231"/>
        <w:t xml:space="preserve">79 And while the Supreme Court in Padilla  [*296]  took pains to distinguish deportation from other collateral consequences - holding that deportation is "uniquely difficult to classify as either a direct or a collateral consequence" because of "its close connection to the criminal process"  </w:t>
      </w:r>
      <w:r w:rsidRPr="005434C0">
        <w:rPr>
          <w:sz w:val="16"/>
          <w:szCs w:val="16"/>
        </w:rPr>
        <w:footnoteReference w:customMarkFollows="1" w:id="232"/>
        <w:t xml:space="preserve">80 - </w:t>
      </w:r>
      <w:r w:rsidRPr="005434C0">
        <w:rPr>
          <w:b/>
          <w:bCs/>
          <w:u w:val="single"/>
        </w:rPr>
        <w:t>lower courts</w:t>
      </w:r>
      <w:r w:rsidRPr="00BE2F0E">
        <w:rPr>
          <w:b/>
          <w:bCs/>
          <w:u w:val="single"/>
        </w:rPr>
        <w:t xml:space="preserve">, especially in the wake of Booker, </w:t>
      </w:r>
      <w:r w:rsidRPr="005434C0">
        <w:rPr>
          <w:b/>
          <w:bCs/>
          <w:u w:val="single"/>
        </w:rPr>
        <w:t>have held that other collateral consequences may be considered at sentencing</w:t>
      </w:r>
      <w:r w:rsidRPr="00062CA3">
        <w:rPr>
          <w:sz w:val="16"/>
          <w:szCs w:val="16"/>
        </w:rPr>
        <w:t xml:space="preserve">.  </w:t>
      </w:r>
      <w:r w:rsidRPr="00062CA3">
        <w:rPr>
          <w:sz w:val="16"/>
          <w:szCs w:val="16"/>
        </w:rPr>
        <w:footnoteReference w:customMarkFollows="1" w:id="233"/>
        <w:t>81</w:t>
      </w:r>
    </w:p>
    <w:p w14:paraId="16439EEA" w14:textId="77777777" w:rsidR="00CC009B" w:rsidRPr="005434C0" w:rsidRDefault="00CC009B" w:rsidP="00CC009B">
      <w:pPr>
        <w:rPr>
          <w:sz w:val="16"/>
          <w:szCs w:val="16"/>
        </w:rPr>
      </w:pPr>
      <w:r w:rsidRPr="005434C0">
        <w:rPr>
          <w:sz w:val="16"/>
          <w:szCs w:val="16"/>
        </w:rPr>
        <w:t>Like the campaign against mass incarceration</w:t>
      </w:r>
      <w:r w:rsidRPr="00062CA3">
        <w:t xml:space="preserve">, </w:t>
      </w:r>
      <w:r w:rsidRPr="00062CA3">
        <w:rPr>
          <w:b/>
          <w:bCs/>
          <w:u w:val="single"/>
        </w:rPr>
        <w:t>the "new" activist campaign against collateral consequences has played out in extrajudicial statements</w:t>
      </w:r>
      <w:r w:rsidRPr="00BE2F0E">
        <w:rPr>
          <w:b/>
          <w:bCs/>
          <w:u w:val="single"/>
        </w:rPr>
        <w:t xml:space="preserve"> </w:t>
      </w:r>
      <w:r w:rsidRPr="0027047A">
        <w:rPr>
          <w:b/>
          <w:bCs/>
          <w:u w:val="single"/>
        </w:rPr>
        <w:t>as well as</w:t>
      </w:r>
      <w:r w:rsidRPr="00BE2F0E">
        <w:rPr>
          <w:b/>
          <w:bCs/>
          <w:u w:val="single"/>
        </w:rPr>
        <w:t xml:space="preserve"> the pages of judicial </w:t>
      </w:r>
      <w:r w:rsidRPr="0027047A">
        <w:rPr>
          <w:b/>
          <w:bCs/>
          <w:u w:val="single"/>
        </w:rPr>
        <w:t>opinions</w:t>
      </w:r>
      <w:r w:rsidRPr="005434C0">
        <w:rPr>
          <w:sz w:val="16"/>
          <w:szCs w:val="16"/>
        </w:rPr>
        <w:t xml:space="preserve">. For example, starting at least in 2011, Judge Lynn Adelman of Wisconsin has, through panel discussions and writings, publicly called for the reexamination of collateral consequences.  </w:t>
      </w:r>
      <w:r w:rsidRPr="005434C0">
        <w:rPr>
          <w:sz w:val="16"/>
          <w:szCs w:val="16"/>
        </w:rPr>
        <w:footnoteReference w:customMarkFollows="1" w:id="234"/>
        <w:t xml:space="preserve">82 And in 2015 and 2016, Judges Gleeson and Block of the Eastern District of New York devoted considerable space in their judicial opinions to the issue, starting with a pair of cases authored by Judge Gleeson captioned Doe v. United States.  </w:t>
      </w:r>
      <w:r w:rsidRPr="005434C0">
        <w:rPr>
          <w:sz w:val="16"/>
          <w:szCs w:val="16"/>
        </w:rPr>
        <w:footnoteReference w:customMarkFollows="1" w:id="235"/>
        <w:t>83</w:t>
      </w:r>
    </w:p>
    <w:p w14:paraId="3B3424B7" w14:textId="77777777" w:rsidR="00CC009B" w:rsidRPr="005434C0" w:rsidRDefault="00CC009B" w:rsidP="00CC009B">
      <w:pPr>
        <w:rPr>
          <w:sz w:val="16"/>
          <w:szCs w:val="16"/>
        </w:rPr>
      </w:pPr>
      <w:r w:rsidRPr="005434C0">
        <w:rPr>
          <w:sz w:val="16"/>
          <w:szCs w:val="16"/>
        </w:rPr>
        <w:t xml:space="preserve">In the Doe cases, Judge </w:t>
      </w:r>
      <w:r w:rsidRPr="00BE2F0E">
        <w:rPr>
          <w:b/>
          <w:bCs/>
          <w:u w:val="single"/>
        </w:rPr>
        <w:t xml:space="preserve">Gleeson explored the role that federal district judges could play in ameliorating collateral consequences for individuals convicted in their courts. Like many other "new" activist opinions, these Doe opinions extensively survey the social science literature on the effect of felony </w:t>
      </w:r>
      <w:proofErr w:type="gramStart"/>
      <w:r w:rsidRPr="00BE2F0E">
        <w:rPr>
          <w:b/>
          <w:bCs/>
          <w:u w:val="single"/>
        </w:rPr>
        <w:t>convictions</w:t>
      </w:r>
      <w:r w:rsidRPr="00062CA3">
        <w:t xml:space="preserve">  </w:t>
      </w:r>
      <w:r w:rsidRPr="005434C0">
        <w:rPr>
          <w:sz w:val="16"/>
          <w:szCs w:val="16"/>
        </w:rPr>
        <w:footnoteReference w:customMarkFollows="1" w:id="236"/>
        <w:t>84</w:t>
      </w:r>
      <w:proofErr w:type="gramEnd"/>
      <w:r w:rsidRPr="005434C0">
        <w:rPr>
          <w:sz w:val="16"/>
          <w:szCs w:val="16"/>
        </w:rPr>
        <w:t xml:space="preserve"> and the status of various reform efforts around the country.  </w:t>
      </w:r>
      <w:r w:rsidRPr="005434C0">
        <w:rPr>
          <w:sz w:val="16"/>
          <w:szCs w:val="16"/>
        </w:rPr>
        <w:footnoteReference w:customMarkFollows="1" w:id="237"/>
        <w:t xml:space="preserve">85 They also explicitly invite a broader conversation - among other </w:t>
      </w:r>
      <w:proofErr w:type="gramStart"/>
      <w:r w:rsidRPr="005434C0">
        <w:rPr>
          <w:sz w:val="16"/>
          <w:szCs w:val="16"/>
        </w:rPr>
        <w:t xml:space="preserve">judges,  </w:t>
      </w:r>
      <w:r w:rsidRPr="005434C0">
        <w:rPr>
          <w:sz w:val="16"/>
          <w:szCs w:val="16"/>
        </w:rPr>
        <w:footnoteReference w:customMarkFollows="1" w:id="238"/>
        <w:t>86</w:t>
      </w:r>
      <w:proofErr w:type="gramEnd"/>
      <w:r w:rsidRPr="005434C0">
        <w:rPr>
          <w:sz w:val="16"/>
          <w:szCs w:val="16"/>
        </w:rPr>
        <w:t xml:space="preserve"> the Executive  [*297]  Branch,  </w:t>
      </w:r>
      <w:r w:rsidRPr="005434C0">
        <w:rPr>
          <w:sz w:val="16"/>
          <w:szCs w:val="16"/>
        </w:rPr>
        <w:footnoteReference w:customMarkFollows="1" w:id="239"/>
        <w:t xml:space="preserve">87 legislators,  </w:t>
      </w:r>
      <w:r w:rsidRPr="005434C0">
        <w:rPr>
          <w:sz w:val="16"/>
          <w:szCs w:val="16"/>
        </w:rPr>
        <w:footnoteReference w:customMarkFollows="1" w:id="240"/>
        <w:t xml:space="preserve">88 and the public  </w:t>
      </w:r>
      <w:r w:rsidRPr="005434C0">
        <w:rPr>
          <w:sz w:val="16"/>
          <w:szCs w:val="16"/>
        </w:rPr>
        <w:footnoteReference w:customMarkFollows="1" w:id="241"/>
        <w:t>89 - about policies affecting the re-entry into society of individuals with criminal convictions.</w:t>
      </w:r>
    </w:p>
    <w:p w14:paraId="5A7152AD" w14:textId="77777777" w:rsidR="00CC009B" w:rsidRPr="005434C0" w:rsidRDefault="00CC009B" w:rsidP="00CC009B">
      <w:pPr>
        <w:rPr>
          <w:sz w:val="16"/>
          <w:szCs w:val="16"/>
        </w:rPr>
      </w:pPr>
      <w:r w:rsidRPr="005434C0">
        <w:rPr>
          <w:sz w:val="16"/>
          <w:szCs w:val="16"/>
        </w:rPr>
        <w:t xml:space="preserve">In the first Doe case, Judge Gleeson tried to persuade the United States Attorney to agree to the expungement of the defendant's conviction.  </w:t>
      </w:r>
      <w:r w:rsidRPr="005434C0">
        <w:rPr>
          <w:sz w:val="16"/>
          <w:szCs w:val="16"/>
        </w:rPr>
        <w:footnoteReference w:customMarkFollows="1" w:id="242"/>
        <w:t xml:space="preserve">90 When the United States Attorney refused, Judge Gleeson expunged it anyway on the grounds that it created an extraordinary hardship to her ability to obtain employment.  </w:t>
      </w:r>
      <w:r w:rsidRPr="005434C0">
        <w:rPr>
          <w:sz w:val="16"/>
          <w:szCs w:val="16"/>
        </w:rPr>
        <w:footnoteReference w:customMarkFollows="1" w:id="243"/>
        <w:t xml:space="preserve">91 In the second Doe case, Judge Gleeson found the applicant's hardship insufficient to warrant expungement but nevertheless issued a federal "certificate of rehabilitation," modeled on similar certificates available under New York law, to make it easier for the defendant to demonstrate to future employers that she was a worthy candidate - a certificate that he persuaded the Chief Probation Officer of the Eastern District of New York to co-sign.  </w:t>
      </w:r>
      <w:r w:rsidRPr="005434C0">
        <w:rPr>
          <w:sz w:val="16"/>
          <w:szCs w:val="16"/>
        </w:rPr>
        <w:footnoteReference w:customMarkFollows="1" w:id="244"/>
        <w:t>92</w:t>
      </w:r>
    </w:p>
    <w:p w14:paraId="487D9AA7" w14:textId="77777777" w:rsidR="00CC009B" w:rsidRPr="005434C0" w:rsidRDefault="00CC009B" w:rsidP="00CC009B">
      <w:pPr>
        <w:rPr>
          <w:sz w:val="16"/>
          <w:szCs w:val="16"/>
        </w:rPr>
      </w:pPr>
      <w:r w:rsidRPr="005434C0">
        <w:rPr>
          <w:sz w:val="16"/>
          <w:szCs w:val="16"/>
        </w:rPr>
        <w:t xml:space="preserve">The Second Circuit reversed the first Doe decision, finding that Judge Gleeson did not have jurisdiction to consider the application for expungement,  </w:t>
      </w:r>
      <w:r w:rsidRPr="005434C0">
        <w:rPr>
          <w:sz w:val="16"/>
          <w:szCs w:val="16"/>
        </w:rPr>
        <w:footnoteReference w:customMarkFollows="1" w:id="245"/>
        <w:t xml:space="preserve">93 a holding that precluded (as least in the Second Circuit) district courts from entertaining any future applications for expungement or certificates of rehabilitation. But the Doe opinions have had a lasting effect anyway, even beyond their contribution to the overall policy debate. Other </w:t>
      </w:r>
      <w:r w:rsidRPr="005434C0">
        <w:rPr>
          <w:b/>
          <w:bCs/>
          <w:u w:val="single"/>
        </w:rPr>
        <w:t xml:space="preserve">district court judges have started to discuss collateral consequences in their </w:t>
      </w:r>
      <w:proofErr w:type="gramStart"/>
      <w:r w:rsidRPr="005434C0">
        <w:rPr>
          <w:b/>
          <w:bCs/>
          <w:u w:val="single"/>
        </w:rPr>
        <w:t>opinions</w:t>
      </w:r>
      <w:r w:rsidRPr="005434C0">
        <w:rPr>
          <w:sz w:val="16"/>
          <w:szCs w:val="16"/>
        </w:rPr>
        <w:t xml:space="preserve">, </w:t>
      </w:r>
      <w:r w:rsidRPr="0085244A">
        <w:t xml:space="preserve"> </w:t>
      </w:r>
      <w:r w:rsidRPr="005434C0">
        <w:rPr>
          <w:sz w:val="16"/>
          <w:szCs w:val="16"/>
        </w:rPr>
        <w:footnoteReference w:customMarkFollows="1" w:id="246"/>
        <w:t>94</w:t>
      </w:r>
      <w:proofErr w:type="gramEnd"/>
      <w:r w:rsidRPr="005434C0">
        <w:rPr>
          <w:sz w:val="16"/>
          <w:szCs w:val="16"/>
        </w:rPr>
        <w:t xml:space="preserve"> and  [*298]  two judges on the Second Circuit, in reversing Judge Gleeson's order, expressed sympathy for the issue he had identified.  </w:t>
      </w:r>
      <w:r w:rsidRPr="005434C0">
        <w:rPr>
          <w:sz w:val="16"/>
          <w:szCs w:val="16"/>
        </w:rPr>
        <w:footnoteReference w:customMarkFollows="1" w:id="247"/>
        <w:t xml:space="preserve">95 For example, they noted that Congress might do well to consider providing federal courts with jurisdiction to expunge the convictions of those, like Doe, who "want and deserve to have their criminal convictions expunged after a period of successful rehabilitation."  </w:t>
      </w:r>
      <w:r w:rsidRPr="005434C0">
        <w:rPr>
          <w:sz w:val="16"/>
          <w:szCs w:val="16"/>
        </w:rPr>
        <w:footnoteReference w:customMarkFollows="1" w:id="248"/>
        <w:t>96</w:t>
      </w:r>
    </w:p>
    <w:p w14:paraId="15A2D069" w14:textId="77777777" w:rsidR="00CC009B" w:rsidRDefault="00CC009B" w:rsidP="00CC009B">
      <w:pPr>
        <w:rPr>
          <w:sz w:val="16"/>
          <w:szCs w:val="16"/>
        </w:rPr>
      </w:pPr>
      <w:r w:rsidRPr="005434C0">
        <w:rPr>
          <w:sz w:val="16"/>
          <w:szCs w:val="16"/>
        </w:rPr>
        <w:t xml:space="preserve">In May 2016, Senior District Judge Frederic Block of the Eastern District of New York took up Judge Gleeson's campaign against collateral consequences in United States v. </w:t>
      </w:r>
      <w:proofErr w:type="spellStart"/>
      <w:r w:rsidRPr="005434C0">
        <w:rPr>
          <w:sz w:val="16"/>
          <w:szCs w:val="16"/>
        </w:rPr>
        <w:t>Nesbeth</w:t>
      </w:r>
      <w:proofErr w:type="spellEnd"/>
      <w:r w:rsidRPr="005434C0">
        <w:rPr>
          <w:sz w:val="16"/>
          <w:szCs w:val="16"/>
        </w:rPr>
        <w:t xml:space="preserve">.  </w:t>
      </w:r>
      <w:r w:rsidRPr="005434C0">
        <w:rPr>
          <w:sz w:val="16"/>
          <w:szCs w:val="16"/>
        </w:rPr>
        <w:footnoteReference w:customMarkFollows="1" w:id="249"/>
        <w:t xml:space="preserve">97 </w:t>
      </w:r>
      <w:proofErr w:type="spellStart"/>
      <w:r w:rsidRPr="005434C0">
        <w:rPr>
          <w:b/>
          <w:bCs/>
          <w:u w:val="single"/>
        </w:rPr>
        <w:t>Nesbeth</w:t>
      </w:r>
      <w:proofErr w:type="spellEnd"/>
      <w:r w:rsidRPr="005434C0">
        <w:rPr>
          <w:sz w:val="16"/>
          <w:szCs w:val="16"/>
          <w:u w:val="single"/>
        </w:rPr>
        <w:t xml:space="preserve"> </w:t>
      </w:r>
      <w:r w:rsidRPr="005434C0">
        <w:rPr>
          <w:sz w:val="16"/>
          <w:szCs w:val="16"/>
        </w:rPr>
        <w:t xml:space="preserve">did not involve expungement, but instead the extent to which a judge could take collateral consequences into account at sentencing. First, the judge, </w:t>
      </w:r>
      <w:proofErr w:type="spellStart"/>
      <w:r w:rsidRPr="005434C0">
        <w:rPr>
          <w:sz w:val="16"/>
          <w:szCs w:val="16"/>
        </w:rPr>
        <w:t>sua</w:t>
      </w:r>
      <w:proofErr w:type="spellEnd"/>
      <w:r w:rsidRPr="005434C0">
        <w:rPr>
          <w:sz w:val="16"/>
          <w:szCs w:val="16"/>
        </w:rPr>
        <w:t xml:space="preserve"> sponte, </w:t>
      </w:r>
      <w:r w:rsidRPr="00BE2F0E">
        <w:rPr>
          <w:b/>
          <w:bCs/>
          <w:u w:val="single"/>
        </w:rPr>
        <w:t>asked the Probation Office and the parties to address the collateral consequences the defendant was likely to face due to her drug conviction</w:t>
      </w:r>
      <w:r w:rsidRPr="005434C0">
        <w:rPr>
          <w:sz w:val="16"/>
          <w:szCs w:val="16"/>
        </w:rPr>
        <w:t xml:space="preserve">.  </w:t>
      </w:r>
      <w:r w:rsidRPr="005434C0">
        <w:rPr>
          <w:sz w:val="16"/>
          <w:szCs w:val="16"/>
        </w:rPr>
        <w:footnoteReference w:customMarkFollows="1" w:id="250"/>
        <w:t xml:space="preserve">98 </w:t>
      </w:r>
      <w:r w:rsidRPr="00BE2F0E">
        <w:rPr>
          <w:b/>
          <w:bCs/>
          <w:u w:val="single"/>
        </w:rPr>
        <w:t xml:space="preserve">The judge then </w:t>
      </w:r>
      <w:r w:rsidRPr="005434C0">
        <w:rPr>
          <w:b/>
          <w:bCs/>
          <w:u w:val="single"/>
        </w:rPr>
        <w:t>held that these consequences</w:t>
      </w:r>
      <w:r w:rsidRPr="00062CA3">
        <w:rPr>
          <w:sz w:val="16"/>
          <w:szCs w:val="16"/>
        </w:rPr>
        <w:t>, which included the inability to pursue a teaching career and accomplish the defendant's goal of becoming a school principal,</w:t>
      </w:r>
      <w:r w:rsidRPr="00BE2F0E">
        <w:rPr>
          <w:b/>
          <w:bCs/>
          <w:u w:val="single"/>
        </w:rPr>
        <w:t xml:space="preserve"> </w:t>
      </w:r>
      <w:r w:rsidRPr="005434C0">
        <w:rPr>
          <w:b/>
          <w:bCs/>
          <w:u w:val="single"/>
        </w:rPr>
        <w:t>justified a sentence of probation</w:t>
      </w:r>
      <w:r w:rsidRPr="005434C0">
        <w:rPr>
          <w:sz w:val="16"/>
          <w:szCs w:val="16"/>
        </w:rPr>
        <w:t xml:space="preserve">.  </w:t>
      </w:r>
      <w:r w:rsidRPr="005434C0">
        <w:rPr>
          <w:sz w:val="16"/>
          <w:szCs w:val="16"/>
        </w:rPr>
        <w:footnoteReference w:customMarkFollows="1" w:id="251"/>
        <w:t xml:space="preserve">99 Written in the "new" activist style, the opinion traces the history and contemporary landscape of laws imposing collateral consequences, the practical effect of such laws on those subject to </w:t>
      </w:r>
      <w:proofErr w:type="gramStart"/>
      <w:r w:rsidRPr="005434C0">
        <w:rPr>
          <w:sz w:val="16"/>
          <w:szCs w:val="16"/>
        </w:rPr>
        <w:t xml:space="preserve">them,  </w:t>
      </w:r>
      <w:r w:rsidRPr="005434C0">
        <w:rPr>
          <w:sz w:val="16"/>
          <w:szCs w:val="16"/>
        </w:rPr>
        <w:footnoteReference w:customMarkFollows="1" w:id="252"/>
        <w:t>100</w:t>
      </w:r>
      <w:proofErr w:type="gramEnd"/>
      <w:r w:rsidRPr="005434C0">
        <w:rPr>
          <w:sz w:val="16"/>
          <w:szCs w:val="16"/>
        </w:rPr>
        <w:t xml:space="preserve"> and the status of modern reform efforts.  </w:t>
      </w:r>
      <w:r w:rsidRPr="005434C0">
        <w:rPr>
          <w:sz w:val="16"/>
          <w:szCs w:val="16"/>
        </w:rPr>
        <w:footnoteReference w:customMarkFollows="1" w:id="253"/>
        <w:t xml:space="preserve">101 Finally, it nudges numerous other actors in the criminal justice system to take action - e.g., calling for legislators around the country to take a "hard look"  </w:t>
      </w:r>
      <w:r w:rsidRPr="005434C0">
        <w:rPr>
          <w:sz w:val="16"/>
          <w:szCs w:val="16"/>
        </w:rPr>
        <w:footnoteReference w:customMarkFollows="1" w:id="254"/>
        <w:t xml:space="preserve">102 at laws imposing collateral consequences; observing that defense counsel and prosecutors  [*299]  may be derelict in their professional duties if they do not pay greater attention to collateral consequences when advising clients and the court in future sentencing proceedings;  </w:t>
      </w:r>
      <w:r w:rsidRPr="005434C0">
        <w:rPr>
          <w:sz w:val="16"/>
          <w:szCs w:val="16"/>
        </w:rPr>
        <w:footnoteReference w:customMarkFollows="1" w:id="255"/>
        <w:t xml:space="preserve">103 and </w:t>
      </w:r>
      <w:r w:rsidRPr="00BE2F0E">
        <w:rPr>
          <w:b/>
          <w:bCs/>
          <w:u w:val="single"/>
        </w:rPr>
        <w:t>suggesting that the Court's Probation Department should prepare a collateral consequences analysis in all future pre-sentence reports.</w:t>
      </w:r>
      <w:r w:rsidRPr="005434C0">
        <w:rPr>
          <w:sz w:val="16"/>
          <w:szCs w:val="16"/>
        </w:rPr>
        <w:t xml:space="preserve">  </w:t>
      </w:r>
      <w:r w:rsidRPr="005434C0">
        <w:rPr>
          <w:sz w:val="16"/>
          <w:szCs w:val="16"/>
        </w:rPr>
        <w:footnoteReference w:customMarkFollows="1" w:id="256"/>
        <w:t>104</w:t>
      </w:r>
    </w:p>
    <w:p w14:paraId="7B024E7C" w14:textId="77777777" w:rsidR="00CC009B" w:rsidRPr="00CC009B" w:rsidRDefault="00CC009B" w:rsidP="00CC009B"/>
    <w:p w14:paraId="31D40862" w14:textId="77777777" w:rsidR="00F35A86" w:rsidRDefault="00F35A86" w:rsidP="00F35A86">
      <w:pPr>
        <w:pStyle w:val="Heading3"/>
      </w:pPr>
      <w:r>
        <w:t>2AC – LT/UQ – New Precedent</w:t>
      </w:r>
    </w:p>
    <w:p w14:paraId="2E52671A" w14:textId="77777777" w:rsidR="00F35A86" w:rsidRPr="00961212" w:rsidRDefault="00F35A86" w:rsidP="00F35A86">
      <w:pPr>
        <w:pStyle w:val="Heading4"/>
      </w:pPr>
      <w:r>
        <w:t xml:space="preserve">Vague statutes on collateral consequence </w:t>
      </w:r>
      <w:r w:rsidRPr="00961212">
        <w:t>undermine</w:t>
      </w:r>
      <w:r>
        <w:t xml:space="preserve"> </w:t>
      </w:r>
      <w:r w:rsidRPr="00961212">
        <w:rPr>
          <w:u w:val="single"/>
        </w:rPr>
        <w:t>court legit</w:t>
      </w:r>
      <w:r>
        <w:rPr>
          <w:u w:val="single"/>
        </w:rPr>
        <w:t>i</w:t>
      </w:r>
      <w:r w:rsidRPr="00961212">
        <w:rPr>
          <w:u w:val="single"/>
        </w:rPr>
        <w:t>macy</w:t>
      </w:r>
      <w:r>
        <w:t xml:space="preserve"> and leave </w:t>
      </w:r>
      <w:r w:rsidRPr="00961212">
        <w:rPr>
          <w:u w:val="single"/>
        </w:rPr>
        <w:t>room for interpretation</w:t>
      </w:r>
      <w:r>
        <w:t xml:space="preserve"> BUT the plan’s precedent provides </w:t>
      </w:r>
      <w:r>
        <w:rPr>
          <w:u w:val="single"/>
        </w:rPr>
        <w:t>clarity</w:t>
      </w:r>
    </w:p>
    <w:p w14:paraId="2A4A1F92" w14:textId="77777777" w:rsidR="00F35A86" w:rsidRDefault="00F35A86" w:rsidP="00F35A86">
      <w:r>
        <w:t>--at: uniqueness – Padilla, Frye move some forward</w:t>
      </w:r>
    </w:p>
    <w:p w14:paraId="78A9F6AF" w14:textId="77777777" w:rsidR="00F35A86" w:rsidRDefault="00F35A86" w:rsidP="00F35A86">
      <w:r>
        <w:t>--at: structural inherency – still room to wiggle – Brady proved uncertainty</w:t>
      </w:r>
    </w:p>
    <w:p w14:paraId="2B697ED4" w14:textId="77777777" w:rsidR="00F35A86" w:rsidRDefault="00F35A86" w:rsidP="00F35A86">
      <w:r>
        <w:t>--l/t – plan creates new statute</w:t>
      </w:r>
    </w:p>
    <w:p w14:paraId="09334A2F" w14:textId="0D0CB60D" w:rsidR="00F35A86" w:rsidRPr="00961212" w:rsidRDefault="00F35A86" w:rsidP="00F35A86">
      <w:r w:rsidRPr="00961212">
        <w:rPr>
          <w:rStyle w:val="Style13ptBold"/>
        </w:rPr>
        <w:t>Murray ’15</w:t>
      </w:r>
      <w:r>
        <w:t xml:space="preserve"> (Brian M.; Abraham Freedman Fellow and Lecturer-in-Law, Temple University, Beasley School of Law; J.D.; 2015; “BEYOND THE RIGHT TO COUNSEL: INCREASING NOTICE OF COLLATERAL CONSEQUENCES”; </w:t>
      </w:r>
      <w:hyperlink r:id="rId61" w:history="1">
        <w:r w:rsidRPr="00D2075E">
          <w:rPr>
            <w:rStyle w:val="Hyperlink"/>
          </w:rPr>
          <w:t>http://lawreview.richmond.edu/files/2015/08/Murray-494.pdf</w:t>
        </w:r>
      </w:hyperlink>
      <w:r>
        <w:t xml:space="preserve">; </w:t>
      </w:r>
      <w:r>
        <w:rPr>
          <w:i/>
        </w:rPr>
        <w:t>Richmond Law Review</w:t>
      </w:r>
      <w:r>
        <w:t xml:space="preserve">; accessed: 06/21/2020; </w:t>
      </w:r>
      <w:proofErr w:type="spellStart"/>
      <w:r>
        <w:t>MohulA</w:t>
      </w:r>
      <w:proofErr w:type="spellEnd"/>
      <w:r>
        <w:t>)</w:t>
      </w:r>
    </w:p>
    <w:p w14:paraId="0FB1A546" w14:textId="11A4F1FA" w:rsidR="00F35A86" w:rsidRDefault="00F35A86" w:rsidP="00F35A86">
      <w:pPr>
        <w:rPr>
          <w:rStyle w:val="StyleUnderline"/>
        </w:rPr>
      </w:pPr>
      <w:r w:rsidRPr="00806DB1">
        <w:rPr>
          <w:sz w:val="16"/>
        </w:rPr>
        <w:t xml:space="preserve">Under current constitutional law, </w:t>
      </w:r>
      <w:r w:rsidRPr="00E21321">
        <w:rPr>
          <w:rStyle w:val="StyleUnderline"/>
        </w:rPr>
        <w:t>advice about collateral consequences, from the court or counsel, is generally unnecessary for a plea to be valid</w:t>
      </w:r>
      <w:r w:rsidRPr="00806DB1">
        <w:rPr>
          <w:sz w:val="16"/>
        </w:rPr>
        <w:t xml:space="preserve">. </w:t>
      </w:r>
      <w:r w:rsidRPr="00E21321">
        <w:rPr>
          <w:rStyle w:val="Emphasis"/>
        </w:rPr>
        <w:t>This rule stems from Brady</w:t>
      </w:r>
      <w:r w:rsidRPr="00806DB1">
        <w:rPr>
          <w:sz w:val="16"/>
        </w:rPr>
        <w:t xml:space="preserve">, which considers pleas to be legitimate </w:t>
      </w:r>
      <w:r w:rsidRPr="00E21321">
        <w:rPr>
          <w:rStyle w:val="StyleUnderline"/>
        </w:rPr>
        <w:t>if ―one [is] fully aware of the direct consequences, including the actual value of any commitments made to him by the court, prosecutor, or his own counsel</w:t>
      </w:r>
      <w:r w:rsidRPr="00806DB1">
        <w:rPr>
          <w:sz w:val="16"/>
        </w:rPr>
        <w:t xml:space="preserve">.‖ 130 Several lower courts have used this language to deny claims that unawareness of serious collateral consequences should negate a plea.131 </w:t>
      </w:r>
      <w:r w:rsidRPr="00961212">
        <w:rPr>
          <w:rStyle w:val="StyleUnderline"/>
        </w:rPr>
        <w:t xml:space="preserve">This remains common despite the fact that the reference to direct consequences followed the Court‘s explication of the voluntariness inquiry, a fact often </w:t>
      </w:r>
      <w:r w:rsidRPr="00961212">
        <w:rPr>
          <w:rStyle w:val="Emphasis"/>
        </w:rPr>
        <w:t>ignored by courts interpreting the holding of Brady</w:t>
      </w:r>
      <w:r w:rsidRPr="00806DB1">
        <w:rPr>
          <w:sz w:val="16"/>
        </w:rPr>
        <w:t xml:space="preserve">. 132 Yet, despite being dicta, </w:t>
      </w:r>
      <w:r w:rsidRPr="00961212">
        <w:rPr>
          <w:rStyle w:val="StyleUnderline"/>
        </w:rPr>
        <w:t xml:space="preserve">the </w:t>
      </w:r>
      <w:proofErr w:type="gramStart"/>
      <w:r w:rsidRPr="00961212">
        <w:rPr>
          <w:rStyle w:val="StyleUnderline"/>
        </w:rPr>
        <w:t>Court‘</w:t>
      </w:r>
      <w:proofErr w:type="gramEnd"/>
      <w:r w:rsidRPr="00961212">
        <w:rPr>
          <w:rStyle w:val="StyleUnderline"/>
        </w:rPr>
        <w:t xml:space="preserve">s statements have led to the development of an entire body of </w:t>
      </w:r>
      <w:r w:rsidRPr="00961212">
        <w:rPr>
          <w:rStyle w:val="Emphasis"/>
        </w:rPr>
        <w:t>case law dividing collateral and direct consequences</w:t>
      </w:r>
      <w:r w:rsidRPr="00806DB1">
        <w:rPr>
          <w:sz w:val="16"/>
        </w:rPr>
        <w:t xml:space="preserve">. As a result, </w:t>
      </w:r>
      <w:r w:rsidRPr="00961212">
        <w:rPr>
          <w:rStyle w:val="StyleUnderline"/>
        </w:rPr>
        <w:t>most courts do not require advice to the defendant, by the court, about anything but direct consequences</w:t>
      </w:r>
      <w:r w:rsidRPr="00806DB1">
        <w:rPr>
          <w:sz w:val="16"/>
        </w:rPr>
        <w:t xml:space="preserve">.133 </w:t>
      </w:r>
      <w:r w:rsidRPr="00961212">
        <w:rPr>
          <w:rStyle w:val="StyleUnderline"/>
        </w:rPr>
        <w:t xml:space="preserve">This rule holds despite the </w:t>
      </w:r>
      <w:r w:rsidRPr="00961212">
        <w:rPr>
          <w:rStyle w:val="Emphasis"/>
        </w:rPr>
        <w:t>difficulty in deciphering the difference between an automatic collateral consequence and a direct consequence</w:t>
      </w:r>
      <w:r w:rsidRPr="00961212">
        <w:rPr>
          <w:rStyle w:val="StyleUnderline"/>
        </w:rPr>
        <w:t xml:space="preserve"> that is not incarceration</w:t>
      </w:r>
      <w:r w:rsidRPr="00806DB1">
        <w:rPr>
          <w:sz w:val="16"/>
        </w:rPr>
        <w:t xml:space="preserve">, such as a fine. 134 </w:t>
      </w:r>
      <w:r w:rsidRPr="00961212">
        <w:rPr>
          <w:rStyle w:val="Emphasis"/>
        </w:rPr>
        <w:t>Despite no constitutional requirement of notice in this area</w:t>
      </w:r>
      <w:r w:rsidRPr="00806DB1">
        <w:rPr>
          <w:sz w:val="16"/>
        </w:rPr>
        <w:t xml:space="preserve">, </w:t>
      </w:r>
      <w:r w:rsidRPr="00961212">
        <w:rPr>
          <w:rStyle w:val="StyleUnderline"/>
        </w:rPr>
        <w:t>more than half of the states have adopted statutes or rules that require courts to notify defendants of deportation consequences</w:t>
      </w:r>
      <w:r w:rsidRPr="00806DB1">
        <w:rPr>
          <w:sz w:val="16"/>
        </w:rPr>
        <w:t xml:space="preserve">. Advocates for expanding constitutional doctrine to include collateral consequences received a small boost with the Supreme </w:t>
      </w:r>
      <w:proofErr w:type="gramStart"/>
      <w:r w:rsidRPr="00806DB1">
        <w:rPr>
          <w:sz w:val="16"/>
        </w:rPr>
        <w:t>Court‘</w:t>
      </w:r>
      <w:proofErr w:type="gramEnd"/>
      <w:r w:rsidRPr="00806DB1">
        <w:rPr>
          <w:sz w:val="16"/>
        </w:rPr>
        <w:t xml:space="preserve">s recent decisions in Frye and Padilla. Prior to Padilla, advice about collateral consequences from an attorney was unnecessary for effective assistance of counsel in all contexts.136 </w:t>
      </w:r>
      <w:r w:rsidRPr="00961212">
        <w:rPr>
          <w:rStyle w:val="StyleUnderline"/>
        </w:rPr>
        <w:t>Padilla‘s holding changed the rule for deportation and its logic arguably could be applied to other indirect consequences</w:t>
      </w:r>
      <w:r w:rsidRPr="00806DB1">
        <w:rPr>
          <w:sz w:val="16"/>
        </w:rPr>
        <w:t xml:space="preserve">.137 </w:t>
      </w:r>
      <w:r w:rsidRPr="00961212">
        <w:rPr>
          <w:rStyle w:val="StyleUnderline"/>
        </w:rPr>
        <w:t>Frye also was decided in the context of effectiveness of counsel at the time of plea-bargaining</w:t>
      </w:r>
      <w:r w:rsidRPr="00806DB1">
        <w:rPr>
          <w:sz w:val="16"/>
        </w:rPr>
        <w:t xml:space="preserve">.138 Again, while they do not directly implicate the voluntary, knowing, and intelligent standard of Brady and its progeny, </w:t>
      </w:r>
      <w:r w:rsidRPr="00961212">
        <w:rPr>
          <w:rStyle w:val="Emphasis"/>
        </w:rPr>
        <w:t>both cases suggest the importance of awareness of collateral consequences in the criminal system</w:t>
      </w:r>
      <w:r w:rsidRPr="00806DB1">
        <w:rPr>
          <w:sz w:val="16"/>
        </w:rPr>
        <w:t xml:space="preserve">. </w:t>
      </w:r>
      <w:r w:rsidRPr="00961212">
        <w:rPr>
          <w:rStyle w:val="StyleUnderline"/>
        </w:rPr>
        <w:t>But the effect of those decisions is arguably minimal because they occurred in the Sixth Amendment context</w:t>
      </w:r>
      <w:r w:rsidRPr="00806DB1">
        <w:rPr>
          <w:sz w:val="16"/>
        </w:rPr>
        <w:t xml:space="preserve"> and </w:t>
      </w:r>
      <w:r w:rsidRPr="00961212">
        <w:rPr>
          <w:rStyle w:val="StyleUnderline"/>
        </w:rPr>
        <w:t>the standards mentioned above refer to notice from courts under the Fifth Amendment.</w:t>
      </w:r>
    </w:p>
    <w:p w14:paraId="415F95A7" w14:textId="70C6D690" w:rsidR="001463A1" w:rsidRDefault="001463A1" w:rsidP="001463A1">
      <w:pPr>
        <w:pStyle w:val="Heading4"/>
      </w:pPr>
      <w:r>
        <w:t xml:space="preserve">circuit splits ensure confusion in the </w:t>
      </w:r>
      <w:proofErr w:type="spellStart"/>
      <w:r>
        <w:t>squo</w:t>
      </w:r>
      <w:proofErr w:type="spellEnd"/>
      <w:r>
        <w:t xml:space="preserve">- the </w:t>
      </w:r>
      <w:proofErr w:type="spellStart"/>
      <w:r>
        <w:t>aff</w:t>
      </w:r>
      <w:proofErr w:type="spellEnd"/>
      <w:r>
        <w:t xml:space="preserve"> is the only way to reverse confusion and ensure equitable sentencing</w:t>
      </w:r>
    </w:p>
    <w:p w14:paraId="17223452" w14:textId="77777777" w:rsidR="001463A1" w:rsidRPr="001463A1" w:rsidRDefault="001463A1" w:rsidP="001463A1"/>
    <w:p w14:paraId="0AFCF61F" w14:textId="77777777" w:rsidR="001463A1" w:rsidRPr="00FD5DD1" w:rsidRDefault="001463A1" w:rsidP="001463A1">
      <w:pPr>
        <w:rPr>
          <w:sz w:val="20"/>
          <w:szCs w:val="20"/>
        </w:rPr>
      </w:pPr>
      <w:proofErr w:type="spellStart"/>
      <w:r w:rsidRPr="005665AD">
        <w:rPr>
          <w:rStyle w:val="Style13ptBold"/>
        </w:rPr>
        <w:t>Macdowell</w:t>
      </w:r>
      <w:proofErr w:type="spellEnd"/>
      <w:r w:rsidRPr="005665AD">
        <w:rPr>
          <w:rStyle w:val="Style13ptBold"/>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62"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7FE3BF4F" w14:textId="3065C067" w:rsidR="001463A1" w:rsidRDefault="001463A1" w:rsidP="00F35A86">
      <w:pPr>
        <w:rPr>
          <w:sz w:val="14"/>
        </w:rPr>
      </w:pPr>
      <w:r w:rsidRPr="0066471A">
        <w:rPr>
          <w:sz w:val="14"/>
        </w:rPr>
        <w:t xml:space="preserve"> </w:t>
      </w:r>
      <w:r w:rsidRPr="00F02723">
        <w:rPr>
          <w:b/>
          <w:bCs/>
          <w:u w:val="single"/>
        </w:rPr>
        <w:t>Conventional criminal sentences include only the direct punishments for a crime</w:t>
      </w:r>
      <w:r w:rsidRPr="0066471A">
        <w:rPr>
          <w:sz w:val="14"/>
        </w:rPr>
        <w:t xml:space="preserve">.          2These direct forms of punishment </w:t>
      </w:r>
      <w:r w:rsidRPr="00F02723">
        <w:rPr>
          <w:b/>
          <w:bCs/>
          <w:u w:val="single"/>
        </w:rPr>
        <w:t>include incarceration, fines, and community supervision</w:t>
      </w:r>
      <w:r w:rsidRPr="0066471A">
        <w:rPr>
          <w:sz w:val="14"/>
        </w:rPr>
        <w:t>.          3While these may be the first aspects of a criminal sentence that come to mind</w:t>
      </w:r>
      <w:r w:rsidRPr="00F02723">
        <w:rPr>
          <w:b/>
          <w:bCs/>
          <w:u w:val="single"/>
        </w:rPr>
        <w:t>, they are not the sole forms of punishment imposed</w:t>
      </w:r>
      <w:r w:rsidRPr="0066471A">
        <w:rPr>
          <w:sz w:val="14"/>
        </w:rPr>
        <w:t xml:space="preserve">. In addition to these direct forms of punishment, </w:t>
      </w:r>
      <w:r w:rsidRPr="00F02723">
        <w:rPr>
          <w:b/>
          <w:bCs/>
          <w:u w:val="single"/>
        </w:rPr>
        <w:t>many indirect effects, or collateral consequences,</w:t>
      </w:r>
      <w:r w:rsidRPr="0066471A">
        <w:rPr>
          <w:sz w:val="14"/>
        </w:rPr>
        <w:t xml:space="preserve"> can </w:t>
      </w:r>
      <w:r w:rsidRPr="00F02723">
        <w:rPr>
          <w:b/>
          <w:bCs/>
          <w:u w:val="single"/>
        </w:rPr>
        <w:t>arise</w:t>
      </w:r>
      <w:r w:rsidRPr="0066471A">
        <w:rPr>
          <w:sz w:val="14"/>
        </w:rPr>
        <w:t xml:space="preserve">. </w:t>
      </w:r>
      <w:r w:rsidRPr="00F02723">
        <w:rPr>
          <w:b/>
          <w:bCs/>
          <w:highlight w:val="green"/>
          <w:u w:val="single"/>
        </w:rPr>
        <w:t>Federal circuits are split on how to address collateral consequences</w:t>
      </w:r>
      <w:r w:rsidRPr="00F02723">
        <w:rPr>
          <w:b/>
          <w:bCs/>
          <w:u w:val="single"/>
        </w:rPr>
        <w:t xml:space="preserve"> </w:t>
      </w:r>
      <w:r w:rsidRPr="00F02723">
        <w:rPr>
          <w:b/>
          <w:bCs/>
          <w:highlight w:val="green"/>
          <w:u w:val="single"/>
        </w:rPr>
        <w:t>in sentencing</w:t>
      </w:r>
      <w:r w:rsidRPr="00F02723">
        <w:rPr>
          <w:b/>
          <w:bCs/>
          <w:u w:val="single"/>
        </w:rPr>
        <w:t>,</w:t>
      </w:r>
      <w:r w:rsidRPr="0066471A">
        <w:rPr>
          <w:sz w:val="14"/>
        </w:rPr>
        <w:t xml:space="preserve"> </w:t>
      </w:r>
      <w:r w:rsidRPr="00F02723">
        <w:rPr>
          <w:rStyle w:val="StyleUnderline"/>
        </w:rPr>
        <w:t>and the Supreme Court has yet to opine on the matter</w:t>
      </w:r>
      <w:r w:rsidRPr="0066471A">
        <w:rPr>
          <w:sz w:val="14"/>
        </w:rPr>
        <w:t xml:space="preserve">. </w:t>
      </w:r>
      <w:r w:rsidRPr="00F02723">
        <w:rPr>
          <w:sz w:val="14"/>
          <w:highlight w:val="green"/>
        </w:rPr>
        <w:t>4</w:t>
      </w:r>
      <w:r w:rsidRPr="00F02723">
        <w:rPr>
          <w:b/>
          <w:bCs/>
          <w:highlight w:val="green"/>
          <w:u w:val="single"/>
        </w:rPr>
        <w:t>Some federal circuits consider</w:t>
      </w:r>
      <w:r w:rsidRPr="0066471A">
        <w:rPr>
          <w:sz w:val="14"/>
        </w:rPr>
        <w:t xml:space="preserve"> external factors in sentencing, including </w:t>
      </w:r>
      <w:r w:rsidRPr="00F02723">
        <w:rPr>
          <w:b/>
          <w:bCs/>
          <w:highlight w:val="green"/>
          <w:u w:val="single"/>
        </w:rPr>
        <w:t>collateral consequences</w:t>
      </w:r>
      <w:r w:rsidRPr="0066471A">
        <w:rPr>
          <w:sz w:val="14"/>
        </w:rPr>
        <w:t xml:space="preserve">, while </w:t>
      </w:r>
      <w:r w:rsidRPr="00F02723">
        <w:rPr>
          <w:b/>
          <w:bCs/>
          <w:highlight w:val="green"/>
          <w:u w:val="single"/>
        </w:rPr>
        <w:t>others do not</w:t>
      </w:r>
      <w:r w:rsidRPr="0066471A">
        <w:rPr>
          <w:sz w:val="14"/>
        </w:rPr>
        <w:t xml:space="preserve">. 5The </w:t>
      </w:r>
      <w:r w:rsidRPr="00F02723">
        <w:rPr>
          <w:b/>
          <w:bCs/>
          <w:u w:val="single"/>
        </w:rPr>
        <w:t>circuits that consider these consequences</w:t>
      </w:r>
      <w:r w:rsidRPr="0066471A">
        <w:rPr>
          <w:sz w:val="14"/>
        </w:rPr>
        <w:t xml:space="preserve"> of imposing criminal sentences deviate from the advisory Federal Sentencing Guidelines ("the Sentencing Guidelines") and </w:t>
      </w:r>
      <w:r w:rsidRPr="00F02723">
        <w:rPr>
          <w:b/>
          <w:bCs/>
          <w:u w:val="single"/>
        </w:rPr>
        <w:t>may impose lesser sentences than the crime may ordinarily warrant</w:t>
      </w:r>
      <w:r w:rsidRPr="0066471A">
        <w:rPr>
          <w:sz w:val="14"/>
        </w:rPr>
        <w:t xml:space="preserve">. 6Conversely, </w:t>
      </w:r>
      <w:r w:rsidRPr="00F02723">
        <w:rPr>
          <w:b/>
          <w:bCs/>
          <w:u w:val="single"/>
        </w:rPr>
        <w:t>other jurisdictions that ignore the consequences of the sentences may be imposing sentences that over-punish offenders</w:t>
      </w:r>
      <w:r w:rsidRPr="0066471A">
        <w:rPr>
          <w:sz w:val="14"/>
        </w:rPr>
        <w:t xml:space="preserve">. </w:t>
      </w:r>
      <w:r w:rsidRPr="00F02723">
        <w:rPr>
          <w:rStyle w:val="StyleUnderline"/>
          <w:highlight w:val="green"/>
        </w:rPr>
        <w:t xml:space="preserve">This </w:t>
      </w:r>
      <w:r w:rsidRPr="00F02723">
        <w:rPr>
          <w:b/>
          <w:bCs/>
          <w:highlight w:val="green"/>
          <w:u w:val="single"/>
        </w:rPr>
        <w:t xml:space="preserve">discrepancy </w:t>
      </w:r>
      <w:r w:rsidRPr="008A41E5">
        <w:rPr>
          <w:b/>
          <w:bCs/>
          <w:u w:val="single"/>
        </w:rPr>
        <w:t>in the treatment of collateral consequences</w:t>
      </w:r>
      <w:r w:rsidRPr="0066471A">
        <w:rPr>
          <w:sz w:val="14"/>
        </w:rPr>
        <w:t xml:space="preserve"> for sentencing purposes </w:t>
      </w:r>
      <w:r w:rsidRPr="00F02723">
        <w:rPr>
          <w:b/>
          <w:bCs/>
          <w:highlight w:val="green"/>
          <w:u w:val="single"/>
        </w:rPr>
        <w:t>likely leads to a violation</w:t>
      </w:r>
      <w:r w:rsidRPr="0066471A">
        <w:rPr>
          <w:sz w:val="14"/>
        </w:rPr>
        <w:t xml:space="preserve"> [*810] </w:t>
      </w:r>
      <w:r w:rsidRPr="00F02723">
        <w:rPr>
          <w:b/>
          <w:bCs/>
          <w:highlight w:val="green"/>
          <w:u w:val="single"/>
        </w:rPr>
        <w:t xml:space="preserve">of horizontal equity and can result in </w:t>
      </w:r>
      <w:r w:rsidRPr="008A41E5">
        <w:rPr>
          <w:rStyle w:val="Emphasis"/>
          <w:highlight w:val="green"/>
        </w:rPr>
        <w:t>disparate sentencing impacts</w:t>
      </w:r>
      <w:r w:rsidRPr="00F02723">
        <w:rPr>
          <w:b/>
          <w:bCs/>
          <w:highlight w:val="green"/>
          <w:u w:val="single"/>
        </w:rPr>
        <w:t xml:space="preserve"> on two otherwise similarly situated criminal defendants</w:t>
      </w:r>
      <w:r w:rsidRPr="0066471A">
        <w:rPr>
          <w:sz w:val="14"/>
        </w:rPr>
        <w:t xml:space="preserve">. One of these collateral consequences is the inability to obtain employment following completion of the sentence. 7Possessing a criminal record makes individuals 50% less likely to receive a callback interview or job offer. 8Additionally, unemployed former convicts are much more likely to recidivate. 9This increased chance of recidivism can impose a greater burden on our justice system, our economy, and our society. Should the justice system permit additional impediments to ex-convicts in obtaining employment? </w:t>
      </w:r>
    </w:p>
    <w:p w14:paraId="4A92EA50" w14:textId="39DBA624" w:rsidR="00FE6ED8" w:rsidRDefault="00FE6ED8" w:rsidP="00F35A86">
      <w:pPr>
        <w:rPr>
          <w:sz w:val="14"/>
        </w:rPr>
      </w:pPr>
    </w:p>
    <w:p w14:paraId="3A817FA8" w14:textId="445533CB" w:rsidR="00FE6ED8" w:rsidRDefault="00FE6ED8" w:rsidP="00962C6B">
      <w:pPr>
        <w:pStyle w:val="Heading3"/>
      </w:pPr>
      <w:r>
        <w:t xml:space="preserve">2AC </w:t>
      </w:r>
      <w:r w:rsidR="00962C6B">
        <w:t xml:space="preserve">– </w:t>
      </w:r>
      <w:r>
        <w:t>Circuit Splits LT</w:t>
      </w:r>
    </w:p>
    <w:p w14:paraId="399F29FA" w14:textId="77777777" w:rsidR="005841D3" w:rsidRDefault="005841D3" w:rsidP="005841D3">
      <w:pPr>
        <w:pStyle w:val="Heading4"/>
      </w:pPr>
    </w:p>
    <w:p w14:paraId="3EFDA7F5" w14:textId="73A26F92" w:rsidR="005841D3" w:rsidRDefault="005841D3" w:rsidP="005841D3">
      <w:pPr>
        <w:pStyle w:val="Heading4"/>
      </w:pPr>
      <w:r>
        <w:t xml:space="preserve">Failure to resolve causes confusion and circuit-shopping, increases litigation and guts legitimacy </w:t>
      </w:r>
    </w:p>
    <w:p w14:paraId="242145A9" w14:textId="77777777" w:rsidR="005841D3" w:rsidRDefault="005841D3" w:rsidP="005841D3"/>
    <w:p w14:paraId="2B7A2E33" w14:textId="77777777" w:rsidR="005841D3" w:rsidRDefault="005841D3" w:rsidP="005841D3">
      <w:pPr>
        <w:rPr>
          <w:rStyle w:val="Style13ptBold"/>
        </w:rPr>
      </w:pPr>
      <w:proofErr w:type="spellStart"/>
      <w:r>
        <w:rPr>
          <w:rStyle w:val="Style13ptBold"/>
        </w:rPr>
        <w:t>Beim</w:t>
      </w:r>
      <w:proofErr w:type="spellEnd"/>
      <w:r>
        <w:rPr>
          <w:rStyle w:val="Style13ptBold"/>
        </w:rPr>
        <w:t xml:space="preserve"> ‘18</w:t>
      </w:r>
    </w:p>
    <w:p w14:paraId="094B3126" w14:textId="77777777" w:rsidR="005841D3" w:rsidRPr="00C601BE" w:rsidRDefault="005841D3" w:rsidP="005841D3">
      <w:r w:rsidRPr="00C601BE">
        <w:t xml:space="preserve">(Deborah </w:t>
      </w:r>
      <w:proofErr w:type="spellStart"/>
      <w:r w:rsidRPr="00C601BE">
        <w:t>Beim</w:t>
      </w:r>
      <w:proofErr w:type="spellEnd"/>
      <w:r w:rsidRPr="00C601BE">
        <w:t xml:space="preserve"> and Kelly Rader</w:t>
      </w:r>
      <w:r w:rsidRPr="00C601BE">
        <w:rPr>
          <w:rFonts w:ascii="Cambria Math" w:hAnsi="Cambria Math" w:cs="Cambria Math"/>
        </w:rPr>
        <w:t>∗</w:t>
      </w:r>
      <w:r w:rsidRPr="00C601BE">
        <w:t xml:space="preserve"> Department of Political Science Yale </w:t>
      </w:r>
      <w:proofErr w:type="spellStart"/>
      <w:r w:rsidRPr="00C601BE">
        <w:t>University“Legal</w:t>
      </w:r>
      <w:proofErr w:type="spellEnd"/>
      <w:r w:rsidRPr="00C601BE">
        <w:t xml:space="preserve"> Uniformity in American Courts,” </w:t>
      </w:r>
      <w:proofErr w:type="spellStart"/>
      <w:r w:rsidRPr="00C601BE">
        <w:t>pg</w:t>
      </w:r>
      <w:proofErr w:type="spellEnd"/>
      <w:r w:rsidRPr="00C601BE">
        <w:t xml:space="preserve"> online @ </w:t>
      </w:r>
      <w:hyperlink r:id="rId63" w:history="1">
        <w:r w:rsidRPr="00C601BE">
          <w:rPr>
            <w:rStyle w:val="Hyperlink"/>
          </w:rPr>
          <w:t>https://sites.lsa.umich.edu/dbeim/wp-content/uploads/sites/739/2019/08/Legal-Uniformity-1o1gyn6.pdf</w:t>
        </w:r>
      </w:hyperlink>
      <w:r w:rsidRPr="00C601BE">
        <w:t xml:space="preserve"> //um-</w:t>
      </w:r>
      <w:proofErr w:type="spellStart"/>
      <w:r w:rsidRPr="00C601BE">
        <w:t>ef</w:t>
      </w:r>
      <w:proofErr w:type="spellEnd"/>
      <w:r w:rsidRPr="00C601BE">
        <w:t>)</w:t>
      </w:r>
    </w:p>
    <w:p w14:paraId="24A93162" w14:textId="77777777" w:rsidR="005841D3" w:rsidRPr="005841D3" w:rsidRDefault="005841D3" w:rsidP="005841D3">
      <w:pPr>
        <w:rPr>
          <w:sz w:val="12"/>
        </w:rPr>
      </w:pPr>
      <w:r w:rsidRPr="005841D3">
        <w:rPr>
          <w:sz w:val="12"/>
        </w:rPr>
        <w:t xml:space="preserve">The Courts of Appeals decide over 50,000 cases every year (Administrative Office of the United States Courts 2015). When deciding cases within its own jurisdiction, a </w:t>
      </w:r>
      <w:r w:rsidRPr="00C601BE">
        <w:rPr>
          <w:rStyle w:val="StyleUnderline"/>
        </w:rPr>
        <w:t>circuit</w:t>
      </w:r>
      <w:r>
        <w:rPr>
          <w:rStyle w:val="StyleUnderline"/>
        </w:rPr>
        <w:t xml:space="preserve"> </w:t>
      </w:r>
      <w:r w:rsidRPr="00C601BE">
        <w:rPr>
          <w:rStyle w:val="StyleUnderline"/>
        </w:rPr>
        <w:t>court is not obligated to follow any other circuit’s precedent</w:t>
      </w:r>
      <w:r w:rsidRPr="005841D3">
        <w:rPr>
          <w:sz w:val="12"/>
        </w:rPr>
        <w:t xml:space="preserve">. When a circuit declines to follow other circuits’ decisions, it creates a circuit split—disagreement about federal law that means similarly-situated litigants are treated differently in different parts of the country. Such splits occur in diverse areas of constitutional and </w:t>
      </w:r>
      <w:proofErr w:type="spellStart"/>
      <w:r w:rsidRPr="005841D3">
        <w:rPr>
          <w:sz w:val="12"/>
        </w:rPr>
        <w:t>statutatory</w:t>
      </w:r>
      <w:proofErr w:type="spellEnd"/>
      <w:r w:rsidRPr="005841D3">
        <w:rPr>
          <w:sz w:val="12"/>
        </w:rPr>
        <w:t xml:space="preserve"> law. For example, there was an </w:t>
      </w:r>
      <w:proofErr w:type="spellStart"/>
      <w:r w:rsidRPr="005841D3">
        <w:rPr>
          <w:sz w:val="12"/>
        </w:rPr>
        <w:t>intercircuit</w:t>
      </w:r>
      <w:proofErr w:type="spellEnd"/>
      <w:r w:rsidRPr="005841D3">
        <w:rPr>
          <w:sz w:val="12"/>
        </w:rPr>
        <w:t xml:space="preserve"> split on the constitutionality of gay marriage bans (resolved by the Supreme Court in Obergefell v. Hodges 135 S. Ct. 2017), an </w:t>
      </w:r>
      <w:proofErr w:type="spellStart"/>
      <w:r w:rsidRPr="005841D3">
        <w:rPr>
          <w:sz w:val="12"/>
        </w:rPr>
        <w:t>intercircuit</w:t>
      </w:r>
      <w:proofErr w:type="spellEnd"/>
      <w:r w:rsidRPr="005841D3">
        <w:rPr>
          <w:sz w:val="12"/>
        </w:rPr>
        <w:t xml:space="preserve"> split on whether Sarbanes-Oxley applies retroactively (currently unresolved), and numerous </w:t>
      </w:r>
      <w:proofErr w:type="spellStart"/>
      <w:r w:rsidRPr="005841D3">
        <w:rPr>
          <w:sz w:val="12"/>
        </w:rPr>
        <w:t>intercircuit</w:t>
      </w:r>
      <w:proofErr w:type="spellEnd"/>
      <w:r w:rsidRPr="005841D3">
        <w:rPr>
          <w:sz w:val="12"/>
        </w:rPr>
        <w:t xml:space="preserve"> splits interpreting Booker ’s (125 S. Ct. 738) implications for sentencing (some resolved and some ongoing). </w:t>
      </w:r>
      <w:proofErr w:type="spellStart"/>
      <w:r w:rsidRPr="00C601BE">
        <w:rPr>
          <w:rStyle w:val="StyleUnderline"/>
        </w:rPr>
        <w:t>Intercircuit</w:t>
      </w:r>
      <w:proofErr w:type="spellEnd"/>
      <w:r w:rsidRPr="00C601BE">
        <w:rPr>
          <w:rStyle w:val="StyleUnderline"/>
        </w:rPr>
        <w:t xml:space="preserve"> splits are important</w:t>
      </w:r>
      <w:r w:rsidRPr="005841D3">
        <w:rPr>
          <w:sz w:val="12"/>
        </w:rPr>
        <w:t xml:space="preserve">. As we describe in this section, </w:t>
      </w:r>
      <w:r w:rsidRPr="00C601BE">
        <w:rPr>
          <w:rStyle w:val="StyleUnderline"/>
        </w:rPr>
        <w:t>they occur disproportionately in areas of the law that are actively developing or are ambiguous</w:t>
      </w:r>
      <w:r w:rsidRPr="005841D3">
        <w:rPr>
          <w:sz w:val="12"/>
        </w:rPr>
        <w:t xml:space="preserve">. They are responsible for the lion’s share of legal development in federal courts, and while (and </w:t>
      </w:r>
      <w:r w:rsidRPr="005841D3">
        <w:rPr>
          <w:rStyle w:val="StyleUnderline"/>
        </w:rPr>
        <w:t>when) they are not resolved, they harm the normative principle of</w:t>
      </w:r>
      <w:r w:rsidRPr="005841D3">
        <w:rPr>
          <w:sz w:val="12"/>
        </w:rPr>
        <w:t xml:space="preserve"> blind </w:t>
      </w:r>
      <w:r w:rsidRPr="005841D3">
        <w:rPr>
          <w:rStyle w:val="StyleUnderline"/>
        </w:rPr>
        <w:t>justice</w:t>
      </w:r>
      <w:r w:rsidRPr="005841D3">
        <w:rPr>
          <w:sz w:val="12"/>
        </w:rPr>
        <w:t xml:space="preserve">. For political scientists, they are also known as the best predictor of certiorari: cases involved in </w:t>
      </w:r>
      <w:proofErr w:type="spellStart"/>
      <w:r w:rsidRPr="005841D3">
        <w:rPr>
          <w:sz w:val="12"/>
        </w:rPr>
        <w:t>intercircuit</w:t>
      </w:r>
      <w:proofErr w:type="spellEnd"/>
      <w:r w:rsidRPr="005841D3">
        <w:rPr>
          <w:sz w:val="12"/>
        </w:rPr>
        <w:t xml:space="preserve"> splits are more likely to be reviewed by the Supreme Court than cases not involved in </w:t>
      </w:r>
      <w:proofErr w:type="spellStart"/>
      <w:r w:rsidRPr="005841D3">
        <w:rPr>
          <w:sz w:val="12"/>
        </w:rPr>
        <w:t>intercircuit</w:t>
      </w:r>
      <w:proofErr w:type="spellEnd"/>
      <w:r w:rsidRPr="005841D3">
        <w:rPr>
          <w:sz w:val="12"/>
        </w:rPr>
        <w:t xml:space="preserve"> splits. In general, judges take seriously the creation of splits. Though they are willing to depart from other circuits’ decisions—after all, circuit splits are a common phenomenon— quantitative and qualitative evidence suggests that most judges seriously consider sister circuits’ positions before making their own decisions. (For a focused study on how circuit splits develop, see Baker and </w:t>
      </w:r>
      <w:proofErr w:type="spellStart"/>
      <w:r w:rsidRPr="005841D3">
        <w:rPr>
          <w:sz w:val="12"/>
        </w:rPr>
        <w:t>Malani</w:t>
      </w:r>
      <w:proofErr w:type="spellEnd"/>
      <w:r w:rsidRPr="005841D3">
        <w:rPr>
          <w:sz w:val="12"/>
        </w:rPr>
        <w:t xml:space="preserve"> (2015).) Many judges give deference to sister circuits’ decisions (</w:t>
      </w:r>
      <w:proofErr w:type="spellStart"/>
      <w:r w:rsidRPr="005841D3">
        <w:rPr>
          <w:sz w:val="12"/>
        </w:rPr>
        <w:t>Tiberi</w:t>
      </w:r>
      <w:proofErr w:type="spellEnd"/>
      <w:r w:rsidRPr="005841D3">
        <w:rPr>
          <w:sz w:val="12"/>
        </w:rPr>
        <w:t xml:space="preserve"> 1993). Klein (2002, p. 88-90) argues that judges on the Courts of Appeals are actively attuned to the decisions in other circuits that precede them and only diverge from prior decisions when they believe there may be something wrong with the prior decisions’ reasoning. </w:t>
      </w:r>
      <w:proofErr w:type="spellStart"/>
      <w:r w:rsidRPr="005841D3">
        <w:rPr>
          <w:sz w:val="12"/>
        </w:rPr>
        <w:t>Wasby</w:t>
      </w:r>
      <w:proofErr w:type="spellEnd"/>
      <w:r w:rsidRPr="005841D3">
        <w:rPr>
          <w:sz w:val="12"/>
        </w:rPr>
        <w:t xml:space="preserve"> (2002) argues, likewise, that circuit judges consider other circuits’ decisions, are somewhat wary of creating </w:t>
      </w:r>
      <w:proofErr w:type="spellStart"/>
      <w:r w:rsidRPr="005841D3">
        <w:rPr>
          <w:sz w:val="12"/>
        </w:rPr>
        <w:t>intercircuit</w:t>
      </w:r>
      <w:proofErr w:type="spellEnd"/>
      <w:r w:rsidRPr="005841D3">
        <w:rPr>
          <w:sz w:val="12"/>
        </w:rPr>
        <w:t xml:space="preserve"> splits, and tend to join </w:t>
      </w:r>
      <w:proofErr w:type="gramStart"/>
      <w:r w:rsidRPr="005841D3">
        <w:rPr>
          <w:sz w:val="12"/>
        </w:rPr>
        <w:t>the majority of</w:t>
      </w:r>
      <w:proofErr w:type="gramEnd"/>
      <w:r w:rsidRPr="005841D3">
        <w:rPr>
          <w:sz w:val="12"/>
        </w:rPr>
        <w:t xml:space="preserve"> circuits when a split already exists. As a result, </w:t>
      </w:r>
      <w:proofErr w:type="spellStart"/>
      <w:r w:rsidRPr="005841D3">
        <w:rPr>
          <w:sz w:val="12"/>
        </w:rPr>
        <w:t>intercircuit</w:t>
      </w:r>
      <w:proofErr w:type="spellEnd"/>
      <w:r w:rsidRPr="005841D3">
        <w:rPr>
          <w:sz w:val="12"/>
        </w:rPr>
        <w:t xml:space="preserve"> splits only arise when judges find it sufficiently important to depart from the decisions of their colleagues. </w:t>
      </w:r>
      <w:proofErr w:type="spellStart"/>
      <w:r w:rsidRPr="005841D3">
        <w:rPr>
          <w:rStyle w:val="Emphasis"/>
        </w:rPr>
        <w:t>Intercircuit</w:t>
      </w:r>
      <w:proofErr w:type="spellEnd"/>
      <w:r w:rsidRPr="005841D3">
        <w:rPr>
          <w:rStyle w:val="Emphasis"/>
        </w:rPr>
        <w:t xml:space="preserve"> splits also occur only when Supreme Court precedent is sufficiently vague to tolerate ambiguity</w:t>
      </w:r>
      <w:r w:rsidRPr="005841D3">
        <w:rPr>
          <w:sz w:val="12"/>
        </w:rPr>
        <w:t xml:space="preserve">. As a result, </w:t>
      </w:r>
      <w:proofErr w:type="spellStart"/>
      <w:r w:rsidRPr="00C601BE">
        <w:rPr>
          <w:rStyle w:val="StyleUnderline"/>
        </w:rPr>
        <w:t>intercircuit</w:t>
      </w:r>
      <w:proofErr w:type="spellEnd"/>
      <w:r w:rsidRPr="00C601BE">
        <w:rPr>
          <w:rStyle w:val="StyleUnderline"/>
        </w:rPr>
        <w:t xml:space="preserve"> splits involve important legal questions that need clarification</w:t>
      </w:r>
      <w:r w:rsidRPr="005841D3">
        <w:rPr>
          <w:sz w:val="12"/>
        </w:rPr>
        <w:t xml:space="preserve">. Much of the doctrine </w:t>
      </w:r>
      <w:proofErr w:type="spellStart"/>
      <w:r w:rsidRPr="005841D3">
        <w:rPr>
          <w:sz w:val="12"/>
        </w:rPr>
        <w:t>propogated</w:t>
      </w:r>
      <w:proofErr w:type="spellEnd"/>
      <w:r w:rsidRPr="005841D3">
        <w:rPr>
          <w:sz w:val="12"/>
        </w:rPr>
        <w:t xml:space="preserve"> by the Supreme Court originates in an </w:t>
      </w:r>
      <w:proofErr w:type="spellStart"/>
      <w:r w:rsidRPr="005841D3">
        <w:rPr>
          <w:sz w:val="12"/>
        </w:rPr>
        <w:t>intercircuit</w:t>
      </w:r>
      <w:proofErr w:type="spellEnd"/>
      <w:r w:rsidRPr="005841D3">
        <w:rPr>
          <w:sz w:val="12"/>
        </w:rPr>
        <w:t xml:space="preserve"> split. </w:t>
      </w:r>
      <w:proofErr w:type="spellStart"/>
      <w:r w:rsidRPr="00C601BE">
        <w:rPr>
          <w:rStyle w:val="StyleUnderline"/>
        </w:rPr>
        <w:t>Intercircuit</w:t>
      </w:r>
      <w:proofErr w:type="spellEnd"/>
      <w:r w:rsidRPr="00C601BE">
        <w:rPr>
          <w:rStyle w:val="StyleUnderline"/>
        </w:rPr>
        <w:t xml:space="preserve"> splits allow the Supreme Court to compare doctrines before selecting one, thereby</w:t>
      </w:r>
      <w:r>
        <w:rPr>
          <w:rStyle w:val="StyleUnderline"/>
        </w:rPr>
        <w:t xml:space="preserve"> </w:t>
      </w:r>
      <w:proofErr w:type="spellStart"/>
      <w:r w:rsidRPr="00C601BE">
        <w:rPr>
          <w:rStyle w:val="StyleUnderline"/>
        </w:rPr>
        <w:t>faciliting</w:t>
      </w:r>
      <w:proofErr w:type="spellEnd"/>
      <w:r w:rsidRPr="00C601BE">
        <w:rPr>
          <w:rStyle w:val="StyleUnderline"/>
        </w:rPr>
        <w:t xml:space="preserve"> the intellectual difficulty of doctrinal development</w:t>
      </w:r>
      <w:r w:rsidRPr="005841D3">
        <w:rPr>
          <w:sz w:val="12"/>
        </w:rPr>
        <w:t xml:space="preserve"> (</w:t>
      </w:r>
      <w:proofErr w:type="spellStart"/>
      <w:r w:rsidRPr="005841D3">
        <w:rPr>
          <w:sz w:val="12"/>
        </w:rPr>
        <w:t>Beim</w:t>
      </w:r>
      <w:proofErr w:type="spellEnd"/>
      <w:r w:rsidRPr="005841D3">
        <w:rPr>
          <w:sz w:val="12"/>
        </w:rPr>
        <w:t xml:space="preserve"> 2017). Empirically, the Supreme Court is more likely to grant cert to petitions in cases involved in splits; as a result, much doctrine comes directly from the resolution of </w:t>
      </w:r>
      <w:proofErr w:type="spellStart"/>
      <w:r w:rsidRPr="005841D3">
        <w:rPr>
          <w:sz w:val="12"/>
        </w:rPr>
        <w:t>intercircuit</w:t>
      </w:r>
      <w:proofErr w:type="spellEnd"/>
      <w:r w:rsidRPr="005841D3">
        <w:rPr>
          <w:sz w:val="12"/>
        </w:rPr>
        <w:t xml:space="preserve"> splits. Part of the reason the Supreme Court resolves </w:t>
      </w:r>
      <w:proofErr w:type="spellStart"/>
      <w:r w:rsidRPr="005841D3">
        <w:rPr>
          <w:sz w:val="12"/>
        </w:rPr>
        <w:t>intercircuit</w:t>
      </w:r>
      <w:proofErr w:type="spellEnd"/>
      <w:r w:rsidRPr="005841D3">
        <w:rPr>
          <w:sz w:val="12"/>
        </w:rPr>
        <w:t xml:space="preserve"> splits is a preference for legal uniformity and a commitment to unifying doctrine across the country. Uniformity in the application of U.S. federal law by federal courts is a value as old as Federalist 80.2 In addition to harming the principle of equal treatment under the law, circuit splits have other potentially undesirable consequences. </w:t>
      </w:r>
      <w:r w:rsidRPr="00C601BE">
        <w:rPr>
          <w:rStyle w:val="StyleUnderline"/>
        </w:rPr>
        <w:t>On civil issues, they can make it difficult for businesses</w:t>
      </w:r>
      <w:r>
        <w:rPr>
          <w:rStyle w:val="StyleUnderline"/>
        </w:rPr>
        <w:t xml:space="preserve"> </w:t>
      </w:r>
      <w:r w:rsidRPr="00C601BE">
        <w:rPr>
          <w:rStyle w:val="StyleUnderline"/>
        </w:rPr>
        <w:t>to operate in multiple jurisdictions, or to make contracts that are enforceable nationwide</w:t>
      </w:r>
      <w:r w:rsidRPr="005841D3">
        <w:rPr>
          <w:sz w:val="12"/>
        </w:rPr>
        <w:t xml:space="preserve">; </w:t>
      </w:r>
      <w:r w:rsidRPr="00C601BE">
        <w:rPr>
          <w:rStyle w:val="StyleUnderline"/>
        </w:rPr>
        <w:t>on criminal issues, circuit splits can make it hard for the government to treat all violators</w:t>
      </w:r>
      <w:r>
        <w:rPr>
          <w:rStyle w:val="StyleUnderline"/>
        </w:rPr>
        <w:t xml:space="preserve"> </w:t>
      </w:r>
      <w:r w:rsidRPr="00C601BE">
        <w:rPr>
          <w:rStyle w:val="StyleUnderline"/>
        </w:rPr>
        <w:t xml:space="preserve">equally. Splits also invite circuit shopping and additional litigation, and possibly </w:t>
      </w:r>
      <w:r w:rsidRPr="00C601BE">
        <w:rPr>
          <w:rStyle w:val="Emphasis"/>
        </w:rPr>
        <w:t>cast doubt</w:t>
      </w:r>
      <w:r>
        <w:rPr>
          <w:rStyle w:val="Emphasis"/>
        </w:rPr>
        <w:t xml:space="preserve"> </w:t>
      </w:r>
      <w:r w:rsidRPr="00C601BE">
        <w:rPr>
          <w:rStyle w:val="Emphasis"/>
        </w:rPr>
        <w:t>on the legitimacy of the legal system itself</w:t>
      </w:r>
      <w:r w:rsidRPr="005841D3">
        <w:rPr>
          <w:sz w:val="12"/>
        </w:rPr>
        <w:t xml:space="preserve"> (e.g. Hellman 1985; </w:t>
      </w:r>
      <w:proofErr w:type="spellStart"/>
      <w:r w:rsidRPr="005841D3">
        <w:rPr>
          <w:sz w:val="12"/>
        </w:rPr>
        <w:t>Tiberi</w:t>
      </w:r>
      <w:proofErr w:type="spellEnd"/>
      <w:r w:rsidRPr="005841D3">
        <w:rPr>
          <w:sz w:val="12"/>
        </w:rPr>
        <w:t xml:space="preserve"> 1993). These potential negative consequences have long worried members of Congress. The Congressional Commission on Revision of the Federal Court Appellate System—informally known as the Hruska Commission—proposed the establishment of a National Court of Appeals, to sit below the Supreme Court and resolve </w:t>
      </w:r>
      <w:proofErr w:type="spellStart"/>
      <w:r w:rsidRPr="005841D3">
        <w:rPr>
          <w:sz w:val="12"/>
        </w:rPr>
        <w:t>intercircuit</w:t>
      </w:r>
      <w:proofErr w:type="spellEnd"/>
      <w:r w:rsidRPr="005841D3">
        <w:rPr>
          <w:sz w:val="12"/>
        </w:rPr>
        <w:t xml:space="preserve"> splits (Hruska 1975). Decades later, as noted above, Senator DeWine questioned then-judge Alito about </w:t>
      </w:r>
      <w:proofErr w:type="spellStart"/>
      <w:r w:rsidRPr="005841D3">
        <w:rPr>
          <w:sz w:val="12"/>
        </w:rPr>
        <w:t>intercircuit</w:t>
      </w:r>
      <w:proofErr w:type="spellEnd"/>
      <w:r w:rsidRPr="005841D3">
        <w:rPr>
          <w:sz w:val="12"/>
        </w:rPr>
        <w:t xml:space="preserve"> splits during Alito’s Supreme Court confirmation hearing. Congress’s concern about </w:t>
      </w:r>
      <w:proofErr w:type="spellStart"/>
      <w:r w:rsidRPr="005841D3">
        <w:rPr>
          <w:sz w:val="12"/>
        </w:rPr>
        <w:t>intercircuit</w:t>
      </w:r>
      <w:proofErr w:type="spellEnd"/>
      <w:r w:rsidRPr="005841D3">
        <w:rPr>
          <w:sz w:val="12"/>
        </w:rPr>
        <w:t xml:space="preserve"> splits stems from the recognition </w:t>
      </w:r>
      <w:r w:rsidRPr="00C601BE">
        <w:rPr>
          <w:rStyle w:val="Emphasis"/>
        </w:rPr>
        <w:t xml:space="preserve">that </w:t>
      </w:r>
      <w:proofErr w:type="spellStart"/>
      <w:r w:rsidRPr="00C601BE">
        <w:rPr>
          <w:rStyle w:val="Emphasis"/>
        </w:rPr>
        <w:t>intercircuit</w:t>
      </w:r>
      <w:proofErr w:type="spellEnd"/>
      <w:r w:rsidRPr="00C601BE">
        <w:rPr>
          <w:rStyle w:val="Emphasis"/>
        </w:rPr>
        <w:t xml:space="preserve"> splits are American law</w:t>
      </w:r>
      <w:r w:rsidRPr="005841D3">
        <w:rPr>
          <w:sz w:val="12"/>
        </w:rPr>
        <w:t xml:space="preserve">. Since a vast proportion of appellate rules are never reviewed by the Supreme Court, </w:t>
      </w:r>
      <w:r w:rsidRPr="00C601BE">
        <w:rPr>
          <w:rStyle w:val="StyleUnderline"/>
        </w:rPr>
        <w:t xml:space="preserve">the Courts of Appeals are final policymakers on many questions, and when splits persist, federal law is </w:t>
      </w:r>
      <w:r w:rsidRPr="00C601BE">
        <w:rPr>
          <w:rStyle w:val="Emphasis"/>
        </w:rPr>
        <w:t>nonuniform</w:t>
      </w:r>
    </w:p>
    <w:p w14:paraId="09D84762" w14:textId="77777777" w:rsidR="005841D3" w:rsidRDefault="005841D3" w:rsidP="005841D3">
      <w:pPr>
        <w:pStyle w:val="Heading4"/>
      </w:pPr>
      <w:r>
        <w:t>Predictability is key – outweighs their links</w:t>
      </w:r>
    </w:p>
    <w:p w14:paraId="493738B8" w14:textId="77777777" w:rsidR="005841D3" w:rsidRDefault="005841D3" w:rsidP="005841D3"/>
    <w:p w14:paraId="6687B492" w14:textId="77777777" w:rsidR="005841D3" w:rsidRPr="004F32BD" w:rsidRDefault="005841D3" w:rsidP="005841D3">
      <w:pPr>
        <w:rPr>
          <w:rStyle w:val="Style13ptBold"/>
        </w:rPr>
      </w:pPr>
      <w:r>
        <w:rPr>
          <w:rStyle w:val="Style13ptBold"/>
        </w:rPr>
        <w:t>Mead ‘12</w:t>
      </w:r>
    </w:p>
    <w:p w14:paraId="7F273B0C" w14:textId="77777777" w:rsidR="005841D3" w:rsidRDefault="005841D3" w:rsidP="005841D3">
      <w:r>
        <w:t xml:space="preserve">(Joseph, “STARE DECISIS IN THE INFERIOR COURTS OF THE UNITED STATES” </w:t>
      </w:r>
      <w:proofErr w:type="spellStart"/>
      <w:r>
        <w:t>pg</w:t>
      </w:r>
      <w:proofErr w:type="spellEnd"/>
      <w:r>
        <w:t xml:space="preserve"> online @ </w:t>
      </w:r>
      <w:hyperlink r:id="rId64" w:history="1">
        <w:r w:rsidRPr="00E862E5">
          <w:rPr>
            <w:rStyle w:val="Hyperlink"/>
          </w:rPr>
          <w:t>https://scholars.law.unlv.edu/cgi/viewcontent.cgi?referer=&amp;httpsredir=1&amp;article=1521&amp;context=nlj</w:t>
        </w:r>
      </w:hyperlink>
      <w:r>
        <w:t xml:space="preserve"> //um-</w:t>
      </w:r>
      <w:proofErr w:type="spellStart"/>
      <w:r>
        <w:t>ef</w:t>
      </w:r>
      <w:proofErr w:type="spellEnd"/>
      <w:r>
        <w:t>)</w:t>
      </w:r>
    </w:p>
    <w:p w14:paraId="68E3B996" w14:textId="2A1A3210" w:rsidR="00FE6ED8" w:rsidRPr="005841D3" w:rsidRDefault="005841D3" w:rsidP="00FE6ED8">
      <w:pPr>
        <w:rPr>
          <w:sz w:val="14"/>
        </w:rPr>
      </w:pPr>
      <w:r w:rsidRPr="00A32C5A">
        <w:rPr>
          <w:sz w:val="14"/>
        </w:rPr>
        <w:t xml:space="preserve">B. Why Do Courts Have Stare Decisis? “Stare decisis is a ‘principle of policy.’”32 While it may be “true that court systems need not have . . . stare decisis to function, nor indeed to function well,”33 </w:t>
      </w:r>
      <w:r w:rsidRPr="00A32C5A">
        <w:rPr>
          <w:rStyle w:val="StyleUnderline"/>
        </w:rPr>
        <w:t>federal courts have relied upon some form of stare decisis since the nation’s founding</w:t>
      </w:r>
      <w:r w:rsidRPr="00A32C5A">
        <w:rPr>
          <w:sz w:val="14"/>
        </w:rPr>
        <w:t>.34 Deference to a court’s previous decisions “reflects a policy judgment that ‘</w:t>
      </w:r>
      <w:r w:rsidRPr="00A32C5A">
        <w:rPr>
          <w:rStyle w:val="StyleUnderline"/>
        </w:rPr>
        <w:t>in most matters it is more important that the applicable rule of law be settled than that it be settled right</w:t>
      </w:r>
      <w:r w:rsidRPr="00A32C5A">
        <w:rPr>
          <w:sz w:val="14"/>
        </w:rPr>
        <w:t xml:space="preserve">.’”35 </w:t>
      </w:r>
      <w:r w:rsidRPr="00A32C5A">
        <w:rPr>
          <w:rStyle w:val="StyleUnderline"/>
        </w:rPr>
        <w:t>The Supreme Court has identified four virtues of the consistency that stare decisis brings: predictability, fairness, appearance of justice, and efficiency</w:t>
      </w:r>
      <w:r w:rsidRPr="00A32C5A">
        <w:rPr>
          <w:sz w:val="14"/>
        </w:rPr>
        <w:t xml:space="preserve">.36 Significantly, </w:t>
      </w:r>
      <w:r w:rsidRPr="00A32C5A">
        <w:rPr>
          <w:rStyle w:val="Emphasis"/>
        </w:rPr>
        <w:t>none of these depend on the precedent being “correct,”</w:t>
      </w:r>
      <w:r w:rsidRPr="00A32C5A">
        <w:rPr>
          <w:sz w:val="14"/>
        </w:rPr>
        <w:t xml:space="preserve"> however defined.37 </w:t>
      </w:r>
      <w:r w:rsidRPr="00A32C5A">
        <w:rPr>
          <w:rStyle w:val="StyleUnderline"/>
        </w:rPr>
        <w:t>Concern for predictability reflects the recognition that change in the law disturbs the foundation for countless human interactions</w:t>
      </w:r>
      <w:r w:rsidRPr="00A32C5A">
        <w:rPr>
          <w:sz w:val="14"/>
        </w:rPr>
        <w:t xml:space="preserve">. </w:t>
      </w:r>
      <w:r w:rsidRPr="00A32C5A">
        <w:rPr>
          <w:rStyle w:val="StyleUnderline"/>
        </w:rPr>
        <w:t>Without predictability, contracts and wills drafted under an old legal regime may have different meanings, or no meaning at all.38 Stable law enables the public to know and understand what their civic rights and duties are</w:t>
      </w:r>
      <w:r w:rsidRPr="00A32C5A">
        <w:rPr>
          <w:sz w:val="14"/>
        </w:rPr>
        <w:t xml:space="preserve">.39 Stare decisis provides the “moorings so that men may trade and arrange their affairs with confidence.”40 </w:t>
      </w:r>
      <w:r w:rsidRPr="00A32C5A">
        <w:rPr>
          <w:rStyle w:val="StyleUnderline"/>
        </w:rPr>
        <w:t>Predictability benefits not just the public, but lower courts as well</w:t>
      </w:r>
      <w:r w:rsidRPr="00A32C5A">
        <w:rPr>
          <w:sz w:val="14"/>
        </w:rPr>
        <w:t>.41</w:t>
      </w:r>
    </w:p>
    <w:p w14:paraId="0E83D145" w14:textId="211508C1" w:rsidR="00FE6ED8" w:rsidRDefault="00FE6ED8" w:rsidP="00FE6ED8">
      <w:pPr>
        <w:pStyle w:val="Heading4"/>
      </w:pPr>
      <w:r w:rsidRPr="00215B90">
        <w:t xml:space="preserve">current precedent is confusing and misapplied making it look like the courts have no idea what </w:t>
      </w:r>
      <w:proofErr w:type="gramStart"/>
      <w:r w:rsidRPr="00215B90">
        <w:t>they’re</w:t>
      </w:r>
      <w:proofErr w:type="gramEnd"/>
      <w:r w:rsidRPr="00215B90">
        <w:t xml:space="preserve"> doing regarding students’ rights –</w:t>
      </w:r>
      <w:r w:rsidR="005841D3">
        <w:t xml:space="preserve"> </w:t>
      </w:r>
      <w:r>
        <w:t>and it decks legitimacy</w:t>
      </w:r>
    </w:p>
    <w:p w14:paraId="7AC7E8BA" w14:textId="62381377" w:rsidR="00FE6ED8" w:rsidRDefault="00FE6ED8" w:rsidP="00FE6ED8"/>
    <w:p w14:paraId="1C4FABA7" w14:textId="5C23597F" w:rsidR="00FE6ED8" w:rsidRPr="00FE6ED8" w:rsidRDefault="00FE6ED8" w:rsidP="00FE6ED8">
      <w:pPr>
        <w:rPr>
          <w:rStyle w:val="Style13ptBold"/>
        </w:rPr>
      </w:pPr>
      <w:proofErr w:type="spellStart"/>
      <w:r w:rsidRPr="00FE6ED8">
        <w:rPr>
          <w:rStyle w:val="Style13ptBold"/>
        </w:rPr>
        <w:t>Beim</w:t>
      </w:r>
      <w:proofErr w:type="spellEnd"/>
      <w:r w:rsidRPr="00FE6ED8">
        <w:rPr>
          <w:rStyle w:val="Style13ptBold"/>
        </w:rPr>
        <w:t xml:space="preserve"> ‘15</w:t>
      </w:r>
    </w:p>
    <w:p w14:paraId="71FFEA21" w14:textId="0ACDAD89" w:rsidR="00FE6ED8" w:rsidRPr="00FE6ED8" w:rsidRDefault="00FE6ED8" w:rsidP="00FE6ED8">
      <w:r w:rsidRPr="00FE6ED8">
        <w:t xml:space="preserve">(Deborah </w:t>
      </w:r>
      <w:proofErr w:type="spellStart"/>
      <w:r w:rsidRPr="00FE6ED8">
        <w:t>Beim</w:t>
      </w:r>
      <w:proofErr w:type="spellEnd"/>
      <w:r w:rsidRPr="00FE6ED8">
        <w:t xml:space="preserve"> and Kelly Rader 15, Assistant Professor in the Political Science department at Yale University, and assistant professor in the Department of Political Science at Yale University and a resident fellow of the Institution for Social and Policy Studies and the Center for the Study of American Politics, “Evolution of Conflict in the Federal Circuit Courts”, https://law.yale.edu/system/files/documents/pdf/Intellectual_Life/EvolutionofConflict.pdf)</w:t>
      </w:r>
    </w:p>
    <w:p w14:paraId="397D1462" w14:textId="0ACF2E1E" w:rsidR="00FE6ED8" w:rsidRPr="000426EA" w:rsidRDefault="00FE6ED8" w:rsidP="00FE6ED8">
      <w:pPr>
        <w:rPr>
          <w:sz w:val="16"/>
        </w:rPr>
      </w:pPr>
      <w:r w:rsidRPr="00FE6ED8">
        <w:rPr>
          <w:rStyle w:val="StyleUnderline"/>
        </w:rPr>
        <w:t xml:space="preserve">Conflict between Courts of Appeals </w:t>
      </w:r>
      <w:r w:rsidRPr="00FE6ED8">
        <w:rPr>
          <w:rStyle w:val="Emphasis"/>
        </w:rPr>
        <w:t>is of central importance to the federal judiciary</w:t>
      </w:r>
      <w:r w:rsidRPr="00FE6ED8">
        <w:rPr>
          <w:rStyle w:val="StyleUnderline"/>
        </w:rPr>
        <w:t>. When circuits split, federal law is applied differently in different parts of the country.</w:t>
      </w:r>
      <w:r w:rsidRPr="00FE6ED8">
        <w:rPr>
          <w:sz w:val="16"/>
        </w:rPr>
        <w:t xml:space="preserve"> As an empirical matter, the existence of a circuit split is one of the best predictors of Supreme Court review. However, despite its importance, scant empirical evidence exists outside of this fact. How many circuit splits go unresolved altogether? Of those that are resolved, for how long do they persist before they are resolved? Past attempts to answer questions about conflicts in the lower courts have been limited by data availability. Those that have studied conflict holistically, considering all those cases that </w:t>
      </w:r>
      <w:proofErr w:type="gramStart"/>
      <w:r w:rsidRPr="00FE6ED8">
        <w:rPr>
          <w:sz w:val="16"/>
        </w:rPr>
        <w:t>are in conflict with</w:t>
      </w:r>
      <w:proofErr w:type="gramEnd"/>
      <w:r w:rsidRPr="00FE6ED8">
        <w:rPr>
          <w:sz w:val="16"/>
        </w:rPr>
        <w:t xml:space="preserve"> each other, have used only resolved conflicts—which are likely systematically different from those the Court chooses not to resolve. Those studies that have considered the effect of conflict on cert grants by studying both reviewed and unreviewed cases, have considered each cert decision independently rather than seeking to understand how conflicts change and when they are resolved. Additionally, even outside the study of conflict, there is </w:t>
      </w:r>
      <w:proofErr w:type="gramStart"/>
      <w:r w:rsidRPr="00FE6ED8">
        <w:rPr>
          <w:sz w:val="16"/>
        </w:rPr>
        <w:t>very little</w:t>
      </w:r>
      <w:proofErr w:type="gramEnd"/>
      <w:r w:rsidRPr="00FE6ED8">
        <w:rPr>
          <w:sz w:val="16"/>
        </w:rPr>
        <w:t xml:space="preserve"> quantitative research on the decision to petition for certiorari. In order to answer these questions, we compiled an original dataset that comprises a sample of conflicts between Courts of Appeals that existed between 2005 and 2013, which includes both conflicts the Supreme Court resolved and conflicts it has not yet resolved. We thus provide the first look at the universe of existing conflicts. This allows us to explain how long conflicts typically last before they are resolved, how many conflicts go unresolved altogether, and how the evolution of a conflict in the lower courts affects the likelihood the Supreme Court grants cert. It also offers the most comprehensive picture to date of cross-circuit litigant strategy, understanding how conflicts evolve and how litigants manipulate that evolution. In this paper, we present our data and begin to investigate the lifecycle of an </w:t>
      </w:r>
      <w:proofErr w:type="spellStart"/>
      <w:r w:rsidRPr="00FE6ED8">
        <w:rPr>
          <w:sz w:val="16"/>
        </w:rPr>
        <w:t>intercircuit</w:t>
      </w:r>
      <w:proofErr w:type="spellEnd"/>
      <w:r w:rsidRPr="00FE6ED8">
        <w:rPr>
          <w:sz w:val="16"/>
        </w:rPr>
        <w:t xml:space="preserve"> conflict. 1 1 </w:t>
      </w:r>
      <w:proofErr w:type="spellStart"/>
      <w:r w:rsidRPr="00FE6ED8">
        <w:rPr>
          <w:sz w:val="16"/>
        </w:rPr>
        <w:t>Intercircuit</w:t>
      </w:r>
      <w:proofErr w:type="spellEnd"/>
      <w:r w:rsidRPr="00FE6ED8">
        <w:rPr>
          <w:sz w:val="16"/>
        </w:rPr>
        <w:t xml:space="preserve"> Conflict Federal Courts of Appeals decide over 50,000 cases every year (Administrative Office of the United States Courts 2015). In disposing of cases within its own jurisdiction, a given circuit court is not obligated to follow precedent that is binding in any other circuit. When a circuit declines to follow other circuits’ decisions, it creates a circuit split or conflict, under which </w:t>
      </w:r>
      <w:proofErr w:type="gramStart"/>
      <w:r w:rsidRPr="00FE6ED8">
        <w:rPr>
          <w:sz w:val="16"/>
        </w:rPr>
        <w:t>similarly-situated</w:t>
      </w:r>
      <w:proofErr w:type="gramEnd"/>
      <w:r w:rsidRPr="00FE6ED8">
        <w:rPr>
          <w:sz w:val="16"/>
        </w:rPr>
        <w:t xml:space="preserve"> litigants are treated differently in different circuits. </w:t>
      </w:r>
      <w:r w:rsidRPr="00FE6ED8">
        <w:rPr>
          <w:rStyle w:val="StyleUnderline"/>
        </w:rPr>
        <w:t xml:space="preserve">Uniformity in the application of federal law by federal courts is a value as old as Federalist 80. In addition to harming this principle, circuit splits have other potentially undesirable consequences: they make it difficult for lawyers to advise their clients, </w:t>
      </w:r>
      <w:r w:rsidRPr="00FE6ED8">
        <w:rPr>
          <w:rStyle w:val="Emphasis"/>
        </w:rPr>
        <w:t>invite additional litigation</w:t>
      </w:r>
      <w:r w:rsidRPr="00FE6ED8">
        <w:rPr>
          <w:rStyle w:val="StyleUnderline"/>
        </w:rPr>
        <w:t xml:space="preserve">, circumscribe potentially legal conduct, </w:t>
      </w:r>
      <w:r w:rsidRPr="00FE6ED8">
        <w:rPr>
          <w:rStyle w:val="Emphasis"/>
        </w:rPr>
        <w:t>and</w:t>
      </w:r>
      <w:r w:rsidRPr="00FE6ED8">
        <w:rPr>
          <w:rStyle w:val="StyleUnderline"/>
        </w:rPr>
        <w:t xml:space="preserve"> possibly </w:t>
      </w:r>
      <w:r w:rsidRPr="00FE6ED8">
        <w:rPr>
          <w:rStyle w:val="Emphasis"/>
        </w:rPr>
        <w:t>cast doubt on the legitimacy of the legal system</w:t>
      </w:r>
      <w:r w:rsidRPr="00FE6ED8">
        <w:rPr>
          <w:rStyle w:val="StyleUnderline"/>
        </w:rPr>
        <w:t xml:space="preserve"> itself</w:t>
      </w:r>
      <w:r w:rsidRPr="00FE6ED8">
        <w:rPr>
          <w:sz w:val="16"/>
        </w:rPr>
        <w:t xml:space="preserve"> (e.g., Hellman 1985, </w:t>
      </w:r>
      <w:proofErr w:type="spellStart"/>
      <w:r w:rsidRPr="00FE6ED8">
        <w:rPr>
          <w:sz w:val="16"/>
        </w:rPr>
        <w:t>Tiberi</w:t>
      </w:r>
      <w:proofErr w:type="spellEnd"/>
      <w:r w:rsidRPr="00FE6ED8">
        <w:rPr>
          <w:sz w:val="16"/>
        </w:rPr>
        <w:t xml:space="preserve"> 1993).</w:t>
      </w:r>
    </w:p>
    <w:p w14:paraId="4FE26811" w14:textId="3FA3AE44" w:rsidR="00631590" w:rsidRDefault="00631590" w:rsidP="00631590">
      <w:pPr>
        <w:pStyle w:val="Heading4"/>
      </w:pPr>
      <w:r>
        <w:t>SC job is to resolve splits --- its key to its legitimacy --- failure undercuts its credibility and leaves confusion and disagreement</w:t>
      </w:r>
    </w:p>
    <w:p w14:paraId="05614185" w14:textId="203B2962" w:rsidR="00631590" w:rsidRDefault="00631590" w:rsidP="00631590"/>
    <w:p w14:paraId="18AF5378" w14:textId="52045927" w:rsidR="00631590" w:rsidRDefault="00631590" w:rsidP="00631590">
      <w:pPr>
        <w:rPr>
          <w:rStyle w:val="Style13ptBold"/>
        </w:rPr>
      </w:pPr>
      <w:r>
        <w:rPr>
          <w:rStyle w:val="Style13ptBold"/>
        </w:rPr>
        <w:t>Bernick ‘15</w:t>
      </w:r>
    </w:p>
    <w:p w14:paraId="0BDD0D01" w14:textId="4427CA7E" w:rsidR="00631590" w:rsidRPr="00631590" w:rsidRDefault="00631590" w:rsidP="00631590">
      <w:r w:rsidRPr="00631590">
        <w:t xml:space="preserve">(Evan, “The Circuit Splits Are Out There—and the Court Should Resolve Them,” </w:t>
      </w:r>
      <w:proofErr w:type="spellStart"/>
      <w:r w:rsidRPr="00631590">
        <w:t>pg</w:t>
      </w:r>
      <w:proofErr w:type="spellEnd"/>
      <w:r w:rsidRPr="00631590">
        <w:t xml:space="preserve"> online @ </w:t>
      </w:r>
      <w:hyperlink r:id="rId65" w:history="1">
        <w:r w:rsidRPr="00631590">
          <w:rPr>
            <w:rStyle w:val="Hyperlink"/>
          </w:rPr>
          <w:t>https://fedsoc.org/commentary/publications/the-circuit-splits-are-out-there-and-the-court-should-resolve-them</w:t>
        </w:r>
      </w:hyperlink>
      <w:r w:rsidRPr="00631590">
        <w:t xml:space="preserve"> //um-</w:t>
      </w:r>
      <w:proofErr w:type="spellStart"/>
      <w:r w:rsidRPr="00631590">
        <w:t>ef</w:t>
      </w:r>
      <w:proofErr w:type="spellEnd"/>
      <w:r w:rsidRPr="00631590">
        <w:t>)</w:t>
      </w:r>
    </w:p>
    <w:p w14:paraId="541F3997" w14:textId="4F53533A" w:rsidR="00631590" w:rsidRPr="005841D3" w:rsidRDefault="00631590" w:rsidP="00631590">
      <w:pPr>
        <w:rPr>
          <w:sz w:val="10"/>
        </w:rPr>
      </w:pPr>
      <w:r w:rsidRPr="005841D3">
        <w:rPr>
          <w:sz w:val="10"/>
        </w:rPr>
        <w:t xml:space="preserve">Under the circumstances, Chief Justice John </w:t>
      </w:r>
      <w:r w:rsidRPr="00C601BE">
        <w:rPr>
          <w:rStyle w:val="StyleUnderline"/>
        </w:rPr>
        <w:t>Roberts</w:t>
      </w:r>
      <w:r w:rsidRPr="005841D3">
        <w:rPr>
          <w:sz w:val="10"/>
        </w:rPr>
        <w:t xml:space="preserve"> appeared to be in excellent spirits. On June 29, 2012, the morning after he announced a badly fractured decision upholding the Affordable Care Act’s individual mandate,1 the Chief Justice gave a talk at the District of Columbia Circuit judicial conference in which he covered various Court-related topics and took questions from the audience.2 When asked about the fact that the number of cases argued before the Supreme Court has continued to decline even as the number of petitions for writs of certiorari has increased, Roberts responded that the Court could hear “100 cases without any stress or strain, but the cases just aren’t there.” He also </w:t>
      </w:r>
      <w:r w:rsidRPr="00C601BE">
        <w:rPr>
          <w:rStyle w:val="StyleUnderline"/>
        </w:rPr>
        <w:t>emphasized that circuit splits are far and away the most important consideration in deciding whether to grant cert petitions</w:t>
      </w:r>
      <w:r w:rsidRPr="005841D3">
        <w:rPr>
          <w:sz w:val="10"/>
        </w:rPr>
        <w:t>.</w:t>
      </w:r>
      <w:r w:rsidR="00C601BE" w:rsidRPr="005841D3">
        <w:rPr>
          <w:sz w:val="10"/>
        </w:rPr>
        <w:t xml:space="preserve"> </w:t>
      </w:r>
      <w:r w:rsidRPr="005841D3">
        <w:rPr>
          <w:sz w:val="10"/>
        </w:rPr>
        <w:t xml:space="preserve">Three years later, the number of argued cases remains low in comparison with the Court’s peak years. </w:t>
      </w:r>
      <w:r w:rsidRPr="00C601BE">
        <w:rPr>
          <w:rStyle w:val="StyleUnderline"/>
        </w:rPr>
        <w:t>In the early 1980s, the Supreme Court decided more than 150 cases per year. In its 2014-2015 term, the Court decided 76, continuing a trend that has long been under observation</w:t>
      </w:r>
      <w:r w:rsidRPr="005841D3">
        <w:rPr>
          <w:sz w:val="10"/>
        </w:rPr>
        <w:t xml:space="preserve">.3 In 2009, the Supreme Court advocacy clinic at Yale Law School held a conference to explore the recent </w:t>
      </w:r>
      <w:r w:rsidRPr="00C601BE">
        <w:rPr>
          <w:rStyle w:val="Emphasis"/>
        </w:rPr>
        <w:t>docket shrinkage</w:t>
      </w:r>
      <w:r w:rsidRPr="005841D3">
        <w:rPr>
          <w:sz w:val="10"/>
        </w:rPr>
        <w:t>. Professors and practitioners advanced various theories, but as Adam Liptak of the New York Times reported, “there emerged nothing like a definitive answer.”4</w:t>
      </w:r>
      <w:r w:rsidR="00C601BE" w:rsidRPr="005841D3">
        <w:rPr>
          <w:sz w:val="10"/>
        </w:rPr>
        <w:t xml:space="preserve"> </w:t>
      </w:r>
      <w:r w:rsidRPr="005841D3">
        <w:rPr>
          <w:sz w:val="10"/>
        </w:rPr>
        <w:t xml:space="preserve">And yet, </w:t>
      </w:r>
      <w:r w:rsidRPr="00C601BE">
        <w:rPr>
          <w:rStyle w:val="StyleUnderline"/>
        </w:rPr>
        <w:t>there are a number of glaring</w:t>
      </w:r>
      <w:r w:rsidRPr="005841D3">
        <w:rPr>
          <w:sz w:val="10"/>
        </w:rPr>
        <w:t xml:space="preserve"> (and judicially acknowledged) </w:t>
      </w:r>
      <w:r w:rsidRPr="00C601BE">
        <w:rPr>
          <w:rStyle w:val="StyleUnderline"/>
        </w:rPr>
        <w:t>circuit splits with wide-ranging effects that stand in need of resolution</w:t>
      </w:r>
      <w:r w:rsidRPr="005841D3">
        <w:rPr>
          <w:sz w:val="10"/>
        </w:rPr>
        <w:t xml:space="preserve">. If the Court is indeed capable of hearing these cases “without any stress or strain,” we need to seek to understand why it has not done so. As indicated by the partial survey below, the cases are there, and </w:t>
      </w:r>
      <w:r w:rsidRPr="00C601BE">
        <w:rPr>
          <w:rStyle w:val="Emphasis"/>
        </w:rPr>
        <w:t>the Court should hear them</w:t>
      </w:r>
      <w:r w:rsidRPr="005841D3">
        <w:rPr>
          <w:sz w:val="10"/>
        </w:rPr>
        <w:t>.5</w:t>
      </w:r>
      <w:r w:rsidR="005841D3" w:rsidRPr="005841D3">
        <w:rPr>
          <w:sz w:val="10"/>
        </w:rPr>
        <w:t xml:space="preserve"> </w:t>
      </w:r>
      <w:r w:rsidRPr="005841D3">
        <w:rPr>
          <w:sz w:val="10"/>
        </w:rPr>
        <w:t>The Court’s own Rule 10 sets out the considerations governing review on certiorari. The rule instructs that among “the reasons the Court considers” in deciding whether to grant or deny certiorari are whether a lower court of last resort (a federal court of appeals or a state court of last resort) (1) “has entered a decision in conflict with” another such court on “an important federal question”; (2) “has so far departed from the accepted and usual course of judicial proceedings, or sanctioned such a departure by a lower court, as to call for an exercise of this Court’s supervisory power”; (3) “has decided an important question of federal law that has not been, but should be, settled by this Court”; or (4) “has decided an important federal question in a way that conflicts with relevant decisions of this Court.”6 There has been a great deal of research devoted to the question of which of these reasons is most influential, and the presence (or absence) of a circuit split has long been identified as a paramount consideration.7 In this regard, the Chief Justice’s focus on circuit splits was confirmatory rather than revelatory.</w:t>
      </w:r>
      <w:r w:rsidR="005841D3" w:rsidRPr="005841D3">
        <w:rPr>
          <w:sz w:val="10"/>
        </w:rPr>
        <w:t xml:space="preserve"> </w:t>
      </w:r>
      <w:r w:rsidRPr="005841D3">
        <w:rPr>
          <w:sz w:val="10"/>
        </w:rPr>
        <w:t>To hear Roberts tell it, the reason the Court’s docket has shrunk so dramatically is not lack of capacity. His remarks suggest that the Court could and would hear more if it were presented with consequential circuit splits in need of resolution. Is it true that such splits “just aren’t there”?</w:t>
      </w:r>
      <w:r w:rsidR="005841D3" w:rsidRPr="005841D3">
        <w:rPr>
          <w:sz w:val="10"/>
        </w:rPr>
        <w:t xml:space="preserve"> </w:t>
      </w:r>
      <w:r w:rsidRPr="005841D3">
        <w:rPr>
          <w:sz w:val="10"/>
        </w:rPr>
        <w:t xml:space="preserve">Earlier this year, the Institute for Justice sought review of a First Amendment challenge to a New Orleans law that made it illegal to give a paid tour of the city without first passing a history test and obtaining a license from the government. This law was upheld by the Fifth Circuit in Kagan v. City of New Orleans, which found that it did not restrict the tour guides’ speech at all and thus applied the rational basis test rather than heightened scrutiny.8 Subsequently, the D.C. Circuit in Edwards v. District of Columbia reached precisely the opposite conclusion about a nearly identical law and struck it down.9 In Edwards, the court reasoned that a law which makes it illegal to speak about points of interest or the history of the city does, in fact, restrict speech and thus merits heightened scrutiny. In reaching this conclusion, Judge Janice Rogers Brown, writing for the panel, pointedly acknowledged and declined to follow Kagan.10 The Fifth Circuit denied a petition for rehearing </w:t>
      </w:r>
      <w:proofErr w:type="spellStart"/>
      <w:r w:rsidRPr="005841D3">
        <w:rPr>
          <w:sz w:val="10"/>
        </w:rPr>
        <w:t>en</w:t>
      </w:r>
      <w:proofErr w:type="spellEnd"/>
      <w:r w:rsidRPr="005841D3">
        <w:rPr>
          <w:sz w:val="10"/>
        </w:rPr>
        <w:t xml:space="preserve"> banc following the decision in Edwards.</w:t>
      </w:r>
      <w:r w:rsidR="005841D3" w:rsidRPr="005841D3">
        <w:rPr>
          <w:sz w:val="10"/>
        </w:rPr>
        <w:t xml:space="preserve"> </w:t>
      </w:r>
      <w:r w:rsidRPr="005841D3">
        <w:rPr>
          <w:sz w:val="10"/>
        </w:rPr>
        <w:t>The split over whether occupational speech is in fact speech entitled to meaningful constitutional protection affects, not only tour guides, but everyone who speaks for a living—from comedians to consultants to interior designers to therapists.11 As we move from an industrial to an information economy, more and more and more Americans will earn their livings in occupations that consist primarily in speaking.12 And yet, on February 23rd, the Supreme Court denied certiorari in Kagan, taking a pass on the question of whether the government can effectively deny them the ability to do so.</w:t>
      </w:r>
      <w:r w:rsidR="005841D3" w:rsidRPr="005841D3">
        <w:rPr>
          <w:sz w:val="10"/>
        </w:rPr>
        <w:t xml:space="preserve"> </w:t>
      </w:r>
      <w:r w:rsidRPr="005841D3">
        <w:rPr>
          <w:sz w:val="10"/>
        </w:rPr>
        <w:t>Yet another example: In Powers v. Harris, the Tenth Circuit concluded that a state could impose irrelevant credentialing requirements on casket retailers for the sole purpose of protecting state-licensed funeral directors from competition.13 Thanks to the so-called14 rational basis test, the Supreme Court and lower courts have generally turned a blind eye to blatant examples of protectionism. But the Court has always required a “fig leaf” of legitimacy—some assertion, however implausible, of a public-spirited end, like the protection of public health and safety.15</w:t>
      </w:r>
      <w:r w:rsidR="005841D3" w:rsidRPr="005841D3">
        <w:rPr>
          <w:sz w:val="10"/>
        </w:rPr>
        <w:t xml:space="preserve"> </w:t>
      </w:r>
      <w:r w:rsidRPr="005841D3">
        <w:rPr>
          <w:sz w:val="10"/>
        </w:rPr>
        <w:t xml:space="preserve">In Powers, however, the Tenth Circuit welcomed a wolf that came as a wolf, holding that economic protectionism—apart from even a disingenuous public goal—constituted a legitimate government interest.16 In </w:t>
      </w:r>
      <w:proofErr w:type="spellStart"/>
      <w:r w:rsidRPr="005841D3">
        <w:rPr>
          <w:sz w:val="10"/>
        </w:rPr>
        <w:t>Craigmiles</w:t>
      </w:r>
      <w:proofErr w:type="spellEnd"/>
      <w:r w:rsidRPr="005841D3">
        <w:rPr>
          <w:sz w:val="10"/>
        </w:rPr>
        <w:t xml:space="preserve"> v. Giles, the Sixth Circuit reached the opposite conclusion, holding that economic protectionism, standing alone, is not a legitimate government interest.17 More recently, in St. Joseph Abbey v. </w:t>
      </w:r>
      <w:proofErr w:type="spellStart"/>
      <w:r w:rsidRPr="005841D3">
        <w:rPr>
          <w:sz w:val="10"/>
        </w:rPr>
        <w:t>Castille</w:t>
      </w:r>
      <w:proofErr w:type="spellEnd"/>
      <w:r w:rsidRPr="005841D3">
        <w:rPr>
          <w:sz w:val="10"/>
        </w:rPr>
        <w:t xml:space="preserve">, the Fifth Circuit followed </w:t>
      </w:r>
      <w:proofErr w:type="spellStart"/>
      <w:r w:rsidRPr="005841D3">
        <w:rPr>
          <w:sz w:val="10"/>
        </w:rPr>
        <w:t>Craigmiles</w:t>
      </w:r>
      <w:proofErr w:type="spellEnd"/>
      <w:r w:rsidRPr="005841D3">
        <w:rPr>
          <w:sz w:val="10"/>
        </w:rPr>
        <w:t>, holding that mere economic protection of a particular industry is not a legitimate governmental purpose, but rather a “naked transfer of wealth.”18 This is another circuit split, and it touches on an issue of fundamental importance to ordinary Americans across the nation—whether their right to earn an honest living can be extinguished on the basis of a naked governmental preference for entrenched incumbents whose lobbying power they cannot match.19 And, again, the Supreme Court took a pass.20</w:t>
      </w:r>
      <w:r w:rsidR="005841D3" w:rsidRPr="005841D3">
        <w:rPr>
          <w:sz w:val="10"/>
        </w:rPr>
        <w:t xml:space="preserve"> </w:t>
      </w:r>
      <w:r w:rsidRPr="005841D3">
        <w:rPr>
          <w:sz w:val="10"/>
        </w:rPr>
        <w:t xml:space="preserve">The circuits also remain divided over how to evaluate laws that burden interstate commerce. So long as the laws do not overtly discriminate between interstate and intrastate commerce, courts apply the test set forth in Pike v. Bruce Church, which asks whether the burden imposed on interstate commerce is “clearly excessive in relation to putative local benefits.”21 The test contains an inherent tension—together, the terms “clearly” and “excessive” imply an evidence-based, quantitative analysis, whereas the word “putative”22 connotes supposition. The (predictable) result is that two directly conflicting lines of authority have emerged. The Second, Third, Eighth, and Tenth Circuits require proof that purported local benefits are both genuine and “credibly advanced.”23 By contrast, the First, Fifth, Ninth, and District of Columbia Circuits require only the assertion of a local benefit by the state, however incredible.24 The Supreme Court made plain in Kassel v. Consol. Freightways Corp. that “(t)he incantation of a purpose to promote the public health or safety does not insulate a state law from Commerce Clause attack.”25 In Kassel, the Court concluded that, while the state law restricting the length of tractor trailers was designed to benefit Iowa residents, it burdened interstate traffic too much and was therefore unconstitutional; in reaching that conclusion, the Court carefully scrutinized the evidence in the record.26 And yet no less than four circuits have held that a bare assertion is sufficient to establish a local benefit. In declining to grant certiorari on this question in Brown v. </w:t>
      </w:r>
      <w:proofErr w:type="spellStart"/>
      <w:r w:rsidRPr="005841D3">
        <w:rPr>
          <w:sz w:val="10"/>
        </w:rPr>
        <w:t>Hovatter</w:t>
      </w:r>
      <w:proofErr w:type="spellEnd"/>
      <w:r w:rsidRPr="005841D3">
        <w:rPr>
          <w:sz w:val="10"/>
        </w:rPr>
        <w:t>, a case involving funeral home regulations, the Court missed an opportunity to resolve this simple but fundamental conflict between multiple circuits—one that threatens to balkanize the unified national market that the Commerce Clause is designed to protect.27</w:t>
      </w:r>
      <w:r w:rsidR="005841D3" w:rsidRPr="005841D3">
        <w:rPr>
          <w:sz w:val="10"/>
        </w:rPr>
        <w:t xml:space="preserve"> </w:t>
      </w:r>
      <w:r w:rsidRPr="005841D3">
        <w:rPr>
          <w:sz w:val="10"/>
        </w:rPr>
        <w:t xml:space="preserve">Further, despite having heard over 150 rational basis cases since formalizing the test in United States v. </w:t>
      </w:r>
      <w:proofErr w:type="spellStart"/>
      <w:r w:rsidRPr="005841D3">
        <w:rPr>
          <w:sz w:val="10"/>
        </w:rPr>
        <w:t>Carolene</w:t>
      </w:r>
      <w:proofErr w:type="spellEnd"/>
      <w:r w:rsidRPr="005841D3">
        <w:rPr>
          <w:sz w:val="10"/>
        </w:rPr>
        <w:t xml:space="preserve"> Products in 1938, the Supreme Court has yet to decisively answer the question of whether a statute that is rational when passed can be challenged as irrational at a later date if circumstances change. In </w:t>
      </w:r>
      <w:proofErr w:type="spellStart"/>
      <w:r w:rsidRPr="005841D3">
        <w:rPr>
          <w:sz w:val="10"/>
        </w:rPr>
        <w:t>Carolene</w:t>
      </w:r>
      <w:proofErr w:type="spellEnd"/>
      <w:r w:rsidRPr="005841D3">
        <w:rPr>
          <w:sz w:val="10"/>
        </w:rPr>
        <w:t xml:space="preserve"> Products, the Court unambiguously stated that “the constitutionality of a statute predicated upon the existence of a particular state of facts may be challenged by showing to the Court that those facts have ceased to exist.”28 But the Supreme Court has not consistently affirmed that the rationality of the government’s actions must be determined on the basis of presently existing facts in rational basis cases—indeed, it has implied that they do not. In FCC v. Beach Communications, for instance, the Court stated that “legislative choice is not subject to courtroom fact-finding” and that legislation should be upheld if any “conceivable state of facts” could justify it.29 Lower courts are understandably confused—some circuits continue to follow the changed-circumstances doctrine articulated in </w:t>
      </w:r>
      <w:proofErr w:type="spellStart"/>
      <w:r w:rsidRPr="005841D3">
        <w:rPr>
          <w:sz w:val="10"/>
        </w:rPr>
        <w:t>Carolene</w:t>
      </w:r>
      <w:proofErr w:type="spellEnd"/>
      <w:r w:rsidRPr="005841D3">
        <w:rPr>
          <w:sz w:val="10"/>
        </w:rPr>
        <w:t xml:space="preserve"> Products,30 while others look solely at whether the statute could be thought rational when it was passed.31 If the rational basis test—the default rule in constitutional cases—is to be a meaningful test, the Court must clarify that facts matter in every constitutional case. Yet last year the Court declined to review Heffner v. Murphy, a decision in which the Third Circuit upheld archaic laws that force funeral directors to (among other things) spend tens of thousands of dollars building useless “preparation rooms” because those laws could have been thought rational in 1952.32</w:t>
      </w:r>
      <w:r w:rsidR="005841D3" w:rsidRPr="005841D3">
        <w:rPr>
          <w:sz w:val="10"/>
        </w:rPr>
        <w:t xml:space="preserve"> </w:t>
      </w:r>
      <w:r w:rsidRPr="005841D3">
        <w:rPr>
          <w:sz w:val="10"/>
        </w:rPr>
        <w:t>There are also several unresolved splits regarding the Second Amendment, including splits over whether the Second Amendment guarantees the right to carry a handgun outside the home;33 whether states need to offer evidence in support of laws burdening the right to bear arms;34 and whether consumers have standing to challenge federal restrictions on gun sales.35 In McDonald v. Chicago, the Court affirmed that the Second Amendment protects a personal right to bear arms, and that that right is not a “second-class right,” but is rather “among those fundamental rights necessary to our system of ordered liberty.”36 Law-abiding citizens seeking to exercise that right deserve better than this state of uncertainty.</w:t>
      </w:r>
      <w:r w:rsidR="005841D3" w:rsidRPr="005841D3">
        <w:rPr>
          <w:sz w:val="10"/>
        </w:rPr>
        <w:t xml:space="preserve"> </w:t>
      </w:r>
      <w:r w:rsidRPr="005841D3">
        <w:rPr>
          <w:sz w:val="10"/>
        </w:rPr>
        <w:t>There is also a fundamental disagreement over how carefully trial judges, acting in their capacity as “gatekeepers,” should scrutinize expert testimony before admitting it. Federal Rule of Evidence 702 requires that judges determine both that the expert relied upon “reliable principles and methods” and that “the expert reliably applied the relevant principles and methods to the facts of the case.” In Daubert v. Merrell Dow Pharmaceuticals (1993), the Supreme Court made plain that, as part of their gatekeeping function, judges must ensure that expert testimony “both rests on a reliable foundation and is relevant to the task at hand.”37 But the Seventh, Eighth, and Ninth Circuits have adopted the view that faults in an expert’s methodology generally go to the weight of the expert’s opinions, not their admissibility—thus delegating the gatekeeping function to the jury.38 In contrast, the Second, Third, Sixth, and Tenth Circuits have adopted the bright-line rule that “any step that renders the analysis unreliable under the Daubert factors renders the expert’s testimony inadmissible, whether the step completely changes a reliable methodology or merely misstates that methodology.”39 This circuit split has resulted in the lack of any uniform rule when it comes to scrutinizing expert testimony in federal courts.</w:t>
      </w:r>
      <w:r w:rsidR="005841D3" w:rsidRPr="005841D3">
        <w:rPr>
          <w:sz w:val="10"/>
        </w:rPr>
        <w:t xml:space="preserve"> </w:t>
      </w:r>
      <w:r w:rsidRPr="005841D3">
        <w:rPr>
          <w:sz w:val="10"/>
        </w:rPr>
        <w:t xml:space="preserve">These are not obscure </w:t>
      </w:r>
      <w:r w:rsidRPr="005841D3">
        <w:rPr>
          <w:rStyle w:val="StyleUnderline"/>
        </w:rPr>
        <w:t>circuit splits</w:t>
      </w:r>
      <w:r w:rsidRPr="005841D3">
        <w:rPr>
          <w:sz w:val="10"/>
        </w:rPr>
        <w:t xml:space="preserve"> of interest only to constitutional law aficionados. They </w:t>
      </w:r>
      <w:r w:rsidRPr="005841D3">
        <w:rPr>
          <w:rStyle w:val="StyleUnderline"/>
        </w:rPr>
        <w:t>leave the rights of millions hanging in the balance</w:t>
      </w:r>
      <w:r w:rsidRPr="005841D3">
        <w:rPr>
          <w:sz w:val="10"/>
        </w:rPr>
        <w:t xml:space="preserve">. Questions about whether naked wealth transfers merit more than a judicial rubber stamp or whether the price of pursuing a vocation is the abandonment of one’s right to speak freely are pressing and fundamental, and certainly worthy of the attention of a Court that (to hear the Chief Justice tell it) could easily hear some thirty additional cases. </w:t>
      </w:r>
      <w:r w:rsidRPr="005841D3">
        <w:rPr>
          <w:rStyle w:val="StyleUnderline"/>
        </w:rPr>
        <w:t xml:space="preserve">While it is true that some issues benefit from percolating in the lower courts before the Supreme Court wades in, that is an insufficient explanation for the Supreme Court’s refusal to resolve consequential issues </w:t>
      </w:r>
      <w:r w:rsidRPr="005841D3">
        <w:rPr>
          <w:sz w:val="10"/>
        </w:rPr>
        <w:t>that have</w:t>
      </w:r>
      <w:r w:rsidRPr="005841D3">
        <w:rPr>
          <w:rStyle w:val="StyleUnderline"/>
        </w:rPr>
        <w:t xml:space="preserve"> long</w:t>
      </w:r>
      <w:r w:rsidRPr="005841D3">
        <w:rPr>
          <w:sz w:val="10"/>
        </w:rPr>
        <w:t xml:space="preserve"> been</w:t>
      </w:r>
      <w:r w:rsidRPr="005841D3">
        <w:rPr>
          <w:rStyle w:val="StyleUnderline"/>
        </w:rPr>
        <w:t xml:space="preserve"> ripe for review</w:t>
      </w:r>
      <w:r w:rsidRPr="005841D3">
        <w:rPr>
          <w:sz w:val="10"/>
        </w:rPr>
        <w:t>. After years of fruitless efforts to solve the mystery of docket decline, it is time to subject the Court’s inaction to exacting scrutiny.</w:t>
      </w:r>
    </w:p>
    <w:p w14:paraId="7008E4B7" w14:textId="77777777" w:rsidR="00631590" w:rsidRPr="00631590" w:rsidRDefault="00631590" w:rsidP="00631590"/>
    <w:p w14:paraId="26ADD797" w14:textId="77777777" w:rsidR="00C601BE" w:rsidRDefault="00C601BE" w:rsidP="00F35A86">
      <w:pPr>
        <w:rPr>
          <w:sz w:val="14"/>
        </w:rPr>
      </w:pPr>
    </w:p>
    <w:p w14:paraId="3BC1B6DA" w14:textId="7F0213A9" w:rsidR="00FE6ED8" w:rsidRPr="00FE6ED8" w:rsidRDefault="00FE6ED8" w:rsidP="00962C6B">
      <w:pPr>
        <w:pStyle w:val="Heading3"/>
      </w:pPr>
      <w:r w:rsidRPr="00FE6ED8">
        <w:t xml:space="preserve">2AC </w:t>
      </w:r>
      <w:r w:rsidR="00962C6B">
        <w:t xml:space="preserve">– </w:t>
      </w:r>
      <w:r w:rsidRPr="00FE6ED8">
        <w:t xml:space="preserve">Ct. </w:t>
      </w:r>
      <w:proofErr w:type="spellStart"/>
      <w:r w:rsidRPr="00FE6ED8">
        <w:t>Ptix</w:t>
      </w:r>
      <w:proofErr w:type="spellEnd"/>
      <w:r w:rsidRPr="00FE6ED8">
        <w:t xml:space="preserve"> </w:t>
      </w:r>
      <w:r>
        <w:t>LT – WW</w:t>
      </w:r>
    </w:p>
    <w:p w14:paraId="15B84C97" w14:textId="77777777" w:rsidR="005C1979" w:rsidRDefault="005C1979" w:rsidP="005C1979">
      <w:pPr>
        <w:pStyle w:val="Heading4"/>
      </w:pPr>
      <w:r>
        <w:t xml:space="preserve">Rulings are </w:t>
      </w:r>
      <w:r w:rsidRPr="00757B5B">
        <w:rPr>
          <w:u w:val="single"/>
        </w:rPr>
        <w:t>winners-win</w:t>
      </w:r>
      <w:r>
        <w:t xml:space="preserve"> and PC </w:t>
      </w:r>
      <w:proofErr w:type="gramStart"/>
      <w:r w:rsidRPr="00757B5B">
        <w:rPr>
          <w:u w:val="single"/>
        </w:rPr>
        <w:t>doesn’t</w:t>
      </w:r>
      <w:proofErr w:type="gramEnd"/>
      <w:r w:rsidRPr="00757B5B">
        <w:rPr>
          <w:u w:val="single"/>
        </w:rPr>
        <w:t xml:space="preserve"> exist</w:t>
      </w:r>
      <w:r>
        <w:t xml:space="preserve">. </w:t>
      </w:r>
    </w:p>
    <w:p w14:paraId="32042790" w14:textId="77777777" w:rsidR="005C1979" w:rsidRDefault="005C1979" w:rsidP="005C1979">
      <w:pPr>
        <w:rPr>
          <w:rStyle w:val="Style13ptBold"/>
        </w:rPr>
      </w:pPr>
    </w:p>
    <w:p w14:paraId="675036D2" w14:textId="0B5409AF" w:rsidR="005C1979" w:rsidRDefault="005C1979" w:rsidP="005C1979">
      <w:pPr>
        <w:rPr>
          <w:rStyle w:val="Style13ptBold"/>
        </w:rPr>
      </w:pPr>
      <w:r>
        <w:rPr>
          <w:rStyle w:val="Style13ptBold"/>
        </w:rPr>
        <w:t xml:space="preserve">Law ‘9 </w:t>
      </w:r>
    </w:p>
    <w:p w14:paraId="5A5EE8C3" w14:textId="42F42E90" w:rsidR="005C1979" w:rsidRPr="00B346BD" w:rsidRDefault="005C1979" w:rsidP="005C1979">
      <w:pPr>
        <w:rPr>
          <w:szCs w:val="16"/>
        </w:rPr>
      </w:pPr>
      <w:r w:rsidRPr="00B346BD">
        <w:rPr>
          <w:szCs w:val="16"/>
        </w:rPr>
        <w:t>(David; March 2009; Professor of Law and Political Science at Washington University; Georgetown Law Journal, Vol. 97 “A Theory of Judicial Power and Judicial Review,”</w:t>
      </w:r>
      <w:r>
        <w:rPr>
          <w:szCs w:val="16"/>
        </w:rPr>
        <w:t xml:space="preserve"> //um-</w:t>
      </w:r>
      <w:proofErr w:type="spellStart"/>
      <w:r>
        <w:rPr>
          <w:szCs w:val="16"/>
        </w:rPr>
        <w:t>ef</w:t>
      </w:r>
      <w:proofErr w:type="spellEnd"/>
      <w:r>
        <w:rPr>
          <w:szCs w:val="16"/>
        </w:rPr>
        <w:t>)</w:t>
      </w:r>
    </w:p>
    <w:p w14:paraId="06146B9E" w14:textId="77777777" w:rsidR="005C1979" w:rsidRDefault="005C1979" w:rsidP="005C1979">
      <w:r w:rsidRPr="005C1979">
        <w:t xml:space="preserve">Part IV of </w:t>
      </w:r>
      <w:r w:rsidRPr="005C1979">
        <w:rPr>
          <w:b/>
          <w:bCs/>
          <w:u w:val="single"/>
        </w:rPr>
        <w:t>this</w:t>
      </w:r>
      <w:r w:rsidRPr="005C1979">
        <w:t xml:space="preserve"> Article </w:t>
      </w:r>
      <w:r w:rsidRPr="005C1979">
        <w:rPr>
          <w:b/>
          <w:bCs/>
          <w:u w:val="single"/>
        </w:rPr>
        <w:t xml:space="preserve">discusses a </w:t>
      </w:r>
      <w:r w:rsidRPr="005C1979">
        <w:rPr>
          <w:b/>
          <w:u w:val="single"/>
        </w:rPr>
        <w:t>counterintuitive implication</w:t>
      </w:r>
      <w:r w:rsidRPr="005C1979">
        <w:rPr>
          <w:b/>
          <w:bCs/>
          <w:u w:val="single"/>
        </w:rPr>
        <w:t xml:space="preserve"> of</w:t>
      </w:r>
      <w:r w:rsidRPr="005C1979">
        <w:t xml:space="preserve"> a coordination-based account of </w:t>
      </w:r>
      <w:r w:rsidRPr="005C1979">
        <w:rPr>
          <w:b/>
          <w:bCs/>
          <w:u w:val="single"/>
        </w:rPr>
        <w:t>judicial power. Conventional wisdom suggests</w:t>
      </w:r>
      <w:r w:rsidRPr="005C1979">
        <w:t xml:space="preserve"> that </w:t>
      </w:r>
      <w:r w:rsidRPr="005C1979">
        <w:rPr>
          <w:b/>
          <w:bCs/>
          <w:u w:val="single"/>
        </w:rPr>
        <w:t>courts secure compliance</w:t>
      </w:r>
      <w:r w:rsidRPr="005C1979">
        <w:t xml:space="preserve"> with their decisions </w:t>
      </w:r>
      <w:r w:rsidRPr="005C1979">
        <w:rPr>
          <w:b/>
          <w:bCs/>
          <w:u w:val="single"/>
        </w:rPr>
        <w:t>by drawing upon their store of legitimacy, which is undermined by decisions that are</w:t>
      </w:r>
      <w:r w:rsidRPr="005C1979">
        <w:t xml:space="preserve"> unpopular, </w:t>
      </w:r>
      <w:r w:rsidRPr="005C1979">
        <w:rPr>
          <w:b/>
          <w:bCs/>
          <w:u w:val="single"/>
        </w:rPr>
        <w:t>controversial</w:t>
      </w:r>
      <w:r w:rsidRPr="005C1979">
        <w:t xml:space="preserve">, or lack intellectual integrity. n25 Part IV argues that </w:t>
      </w:r>
      <w:r w:rsidRPr="005C1979">
        <w:rPr>
          <w:b/>
          <w:bCs/>
          <w:u w:val="single"/>
        </w:rPr>
        <w:t xml:space="preserve">precisely the </w:t>
      </w:r>
      <w:r w:rsidRPr="005C1979">
        <w:rPr>
          <w:b/>
          <w:u w:val="single"/>
        </w:rPr>
        <w:t>opposite is true</w:t>
      </w:r>
      <w:r w:rsidRPr="005C1979">
        <w:rPr>
          <w:b/>
          <w:bCs/>
          <w:u w:val="single"/>
        </w:rPr>
        <w:t>: an unpopular</w:t>
      </w:r>
      <w:r w:rsidRPr="005C1979">
        <w:t xml:space="preserve"> or unpersuasive </w:t>
      </w:r>
      <w:r w:rsidRPr="005C1979">
        <w:rPr>
          <w:b/>
          <w:bCs/>
          <w:u w:val="single"/>
        </w:rPr>
        <w:t>decision can</w:t>
      </w:r>
      <w:r w:rsidRPr="005C1979">
        <w:t xml:space="preserve">, in fact, </w:t>
      </w:r>
      <w:r w:rsidRPr="005C1979">
        <w:rPr>
          <w:b/>
          <w:u w:val="single"/>
        </w:rPr>
        <w:t>enhance a court's power</w:t>
      </w:r>
      <w:r w:rsidRPr="005C1979">
        <w:rPr>
          <w:b/>
          <w:bCs/>
          <w:u w:val="single"/>
        </w:rPr>
        <w:t xml:space="preserve"> in future cases</w:t>
      </w:r>
      <w:r w:rsidRPr="005C1979">
        <w:t xml:space="preserve">, </w:t>
      </w:r>
      <w:proofErr w:type="gramStart"/>
      <w:r w:rsidRPr="005C1979">
        <w:t>as long as</w:t>
      </w:r>
      <w:proofErr w:type="gramEnd"/>
      <w:r w:rsidRPr="005C1979">
        <w:t xml:space="preserve"> it is obeyed. Widespread </w:t>
      </w:r>
      <w:r w:rsidRPr="005C1979">
        <w:rPr>
          <w:b/>
          <w:bCs/>
          <w:u w:val="single"/>
        </w:rPr>
        <w:t>compliance with a decision that is controversial</w:t>
      </w:r>
      <w:r w:rsidRPr="005C1979">
        <w:t xml:space="preserve">, unpopular, or unpersuasive </w:t>
      </w:r>
      <w:r w:rsidRPr="005C1979">
        <w:rPr>
          <w:b/>
          <w:bCs/>
          <w:u w:val="single"/>
        </w:rPr>
        <w:t>serves only to strengthen the</w:t>
      </w:r>
      <w:r w:rsidRPr="005C1979">
        <w:t xml:space="preserve"> widely held </w:t>
      </w:r>
      <w:r w:rsidRPr="005C1979">
        <w:rPr>
          <w:b/>
          <w:bCs/>
          <w:u w:val="single"/>
        </w:rPr>
        <w:t>expectation that others comply with judicial decisions. This</w:t>
      </w:r>
      <w:r w:rsidRPr="005C1979">
        <w:t xml:space="preserve"> expectation, in turn, </w:t>
      </w:r>
      <w:r w:rsidRPr="005C1979">
        <w:rPr>
          <w:b/>
          <w:bCs/>
          <w:u w:val="single"/>
        </w:rPr>
        <w:t xml:space="preserve">is </w:t>
      </w:r>
      <w:r w:rsidRPr="005C1979">
        <w:rPr>
          <w:b/>
          <w:u w:val="single"/>
        </w:rPr>
        <w:t>self-fulfilling</w:t>
      </w:r>
      <w:r w:rsidRPr="005C1979">
        <w:rPr>
          <w:b/>
          <w:bCs/>
          <w:u w:val="single"/>
        </w:rPr>
        <w:t>: those who expect others to comply</w:t>
      </w:r>
      <w:r w:rsidRPr="005C1979">
        <w:t xml:space="preserve"> with a court's decisions </w:t>
      </w:r>
      <w:r w:rsidRPr="005C1979">
        <w:rPr>
          <w:b/>
          <w:bCs/>
          <w:u w:val="single"/>
        </w:rPr>
        <w:t>will find it</w:t>
      </w:r>
      <w:r w:rsidRPr="005C1979">
        <w:t xml:space="preserve"> strategically </w:t>
      </w:r>
      <w:r w:rsidRPr="005C1979">
        <w:rPr>
          <w:b/>
          <w:bCs/>
          <w:u w:val="single"/>
        </w:rPr>
        <w:t>prudent to comply themselves, and the aggregate result will</w:t>
      </w:r>
      <w:r w:rsidRPr="005C1979">
        <w:t xml:space="preserve">, in fact, </w:t>
      </w:r>
      <w:r w:rsidRPr="005C1979">
        <w:rPr>
          <w:b/>
          <w:bCs/>
          <w:u w:val="single"/>
        </w:rPr>
        <w:t xml:space="preserve">be </w:t>
      </w:r>
      <w:r w:rsidRPr="005C1979">
        <w:rPr>
          <w:b/>
          <w:u w:val="single"/>
        </w:rPr>
        <w:t>widespread compliance</w:t>
      </w:r>
      <w:r w:rsidRPr="005C1979">
        <w:t>. Part IV illustrates these strategic insights--and the Supreme Court's apparent grasp of them--by contrasting [*734] Bush v. Gore n26 with Brown v. Board of Education n27 and Cooper v. Aaron. n28</w:t>
      </w:r>
    </w:p>
    <w:p w14:paraId="48523B43" w14:textId="77777777" w:rsidR="005C1979" w:rsidRDefault="005C1979" w:rsidP="00F35A86">
      <w:pPr>
        <w:rPr>
          <w:rStyle w:val="StyleUnderline"/>
        </w:rPr>
      </w:pPr>
    </w:p>
    <w:p w14:paraId="3314D5EC" w14:textId="77777777" w:rsidR="001463A1" w:rsidRPr="00961212" w:rsidRDefault="001463A1" w:rsidP="00F35A86">
      <w:pPr>
        <w:rPr>
          <w:rStyle w:val="StyleUnderline"/>
        </w:rPr>
      </w:pPr>
    </w:p>
    <w:p w14:paraId="30DF6346" w14:textId="1A90AD71" w:rsidR="00A43C3D" w:rsidRDefault="00A43C3D" w:rsidP="00A43C3D">
      <w:pPr>
        <w:pStyle w:val="Heading3"/>
      </w:pPr>
      <w:r>
        <w:t>2AC – Thumper – Padilla</w:t>
      </w:r>
    </w:p>
    <w:p w14:paraId="3B5A7ED3" w14:textId="77777777" w:rsidR="00F26F5D" w:rsidRPr="00F26F5D" w:rsidRDefault="00F26F5D" w:rsidP="00F26F5D"/>
    <w:p w14:paraId="04F033BF" w14:textId="77777777" w:rsidR="00A43C3D" w:rsidRDefault="00A43C3D" w:rsidP="00A43C3D">
      <w:pPr>
        <w:pStyle w:val="Heading4"/>
      </w:pPr>
      <w:r w:rsidRPr="00E21321">
        <w:rPr>
          <w:u w:val="single"/>
        </w:rPr>
        <w:t>SCOTUS decisions</w:t>
      </w:r>
      <w:r>
        <w:t xml:space="preserve"> prove action on </w:t>
      </w:r>
      <w:r w:rsidRPr="00E21321">
        <w:t>collateral consequence</w:t>
      </w:r>
      <w:r>
        <w:t xml:space="preserve"> – </w:t>
      </w:r>
      <w:r w:rsidRPr="00E21321">
        <w:rPr>
          <w:u w:val="single"/>
        </w:rPr>
        <w:t>Frye</w:t>
      </w:r>
      <w:r>
        <w:t xml:space="preserve"> and </w:t>
      </w:r>
      <w:r w:rsidRPr="00E21321">
        <w:rPr>
          <w:u w:val="single"/>
        </w:rPr>
        <w:t>Padilla</w:t>
      </w:r>
      <w:r>
        <w:t xml:space="preserve"> deck uniqueness </w:t>
      </w:r>
    </w:p>
    <w:p w14:paraId="0DFDEC86" w14:textId="77777777" w:rsidR="00A43C3D" w:rsidRPr="00961212" w:rsidRDefault="00A43C3D" w:rsidP="00A43C3D">
      <w:r w:rsidRPr="00961212">
        <w:rPr>
          <w:rStyle w:val="Style13ptBold"/>
        </w:rPr>
        <w:t>Murray ’15</w:t>
      </w:r>
      <w:r>
        <w:t xml:space="preserve"> (Brian M.; Abraham Freedman Fellow and Lecturer-in-Law, Temple University, Beasley School of Law; J.D.; 2015; “BEYOND THE RIGHT TO COUNSEL: INCREASING NOTICE OF COLLATERAL CONSEQUENCES”; </w:t>
      </w:r>
      <w:hyperlink r:id="rId66" w:history="1">
        <w:r w:rsidRPr="00D2075E">
          <w:rPr>
            <w:rStyle w:val="Hyperlink"/>
          </w:rPr>
          <w:t>http://lawreview.richmond.edu/files/2015/08/Murray-494.pdf</w:t>
        </w:r>
      </w:hyperlink>
      <w:r>
        <w:t xml:space="preserve">; </w:t>
      </w:r>
      <w:r>
        <w:rPr>
          <w:i/>
        </w:rPr>
        <w:t>Richmond Law Review</w:t>
      </w:r>
      <w:r>
        <w:t xml:space="preserve">; accessed: 06/21/2020; </w:t>
      </w:r>
      <w:proofErr w:type="spellStart"/>
      <w:r>
        <w:t>MohulA</w:t>
      </w:r>
      <w:proofErr w:type="spellEnd"/>
      <w:r>
        <w:t>)</w:t>
      </w:r>
    </w:p>
    <w:p w14:paraId="71A28F15" w14:textId="3DCB4467" w:rsidR="00F26F5D" w:rsidRDefault="00A43C3D" w:rsidP="00A43C3D">
      <w:pPr>
        <w:rPr>
          <w:sz w:val="16"/>
        </w:rPr>
      </w:pPr>
      <w:r w:rsidRPr="00E21321">
        <w:rPr>
          <w:rStyle w:val="StyleUnderline"/>
        </w:rPr>
        <w:t xml:space="preserve">The Supreme Court‘s recent decisions in </w:t>
      </w:r>
      <w:r w:rsidRPr="00E21321">
        <w:rPr>
          <w:rStyle w:val="Emphasis"/>
        </w:rPr>
        <w:t>Missouri v. Frye15</w:t>
      </w:r>
      <w:r w:rsidRPr="00E21321">
        <w:rPr>
          <w:rStyle w:val="StyleUnderline"/>
        </w:rPr>
        <w:t xml:space="preserve"> and </w:t>
      </w:r>
      <w:r w:rsidRPr="00E21321">
        <w:rPr>
          <w:rStyle w:val="Emphasis"/>
        </w:rPr>
        <w:t>Padilla v. Kentucky</w:t>
      </w:r>
      <w:r w:rsidRPr="00E21321">
        <w:rPr>
          <w:rStyle w:val="StyleUnderline"/>
        </w:rPr>
        <w:t xml:space="preserve">, 16 while failing to usher a sea change in </w:t>
      </w:r>
      <w:proofErr w:type="spellStart"/>
      <w:r w:rsidRPr="00E21321">
        <w:rPr>
          <w:rStyle w:val="StyleUnderline"/>
        </w:rPr>
        <w:t>rightto</w:t>
      </w:r>
      <w:proofErr w:type="spellEnd"/>
      <w:r w:rsidRPr="00E21321">
        <w:rPr>
          <w:rStyle w:val="StyleUnderline"/>
        </w:rPr>
        <w:t xml:space="preserve">-counsel jurisprudence, suggest that the </w:t>
      </w:r>
      <w:r w:rsidRPr="00E21321">
        <w:rPr>
          <w:rStyle w:val="Emphasis"/>
        </w:rPr>
        <w:t>Court is becoming more aware of the costs of a criminal conviction</w:t>
      </w:r>
      <w:r w:rsidRPr="00E21321">
        <w:rPr>
          <w:sz w:val="16"/>
        </w:rPr>
        <w:t xml:space="preserve">.17 </w:t>
      </w:r>
      <w:r w:rsidRPr="00E21321">
        <w:rPr>
          <w:rStyle w:val="StyleUnderline"/>
        </w:rPr>
        <w:t>Frye recognizes the prevalence of guilty pleas and the need for adequate representation</w:t>
      </w:r>
      <w:r w:rsidRPr="00E21321">
        <w:rPr>
          <w:sz w:val="16"/>
        </w:rPr>
        <w:t xml:space="preserve"> in the bargaining context;18 </w:t>
      </w:r>
      <w:r w:rsidRPr="00E21321">
        <w:rPr>
          <w:rStyle w:val="StyleUnderline"/>
        </w:rPr>
        <w:t>Padilla acknowledges that some collateral consequences, like deportation, are significant enough to require a warning</w:t>
      </w:r>
      <w:r w:rsidRPr="00E21321">
        <w:rPr>
          <w:sz w:val="16"/>
        </w:rPr>
        <w:t xml:space="preserve"> for a defendant‘s counsel to be considered effective.19 Perhaps most importantly, </w:t>
      </w:r>
      <w:r w:rsidRPr="00E21321">
        <w:rPr>
          <w:rStyle w:val="Emphasis"/>
        </w:rPr>
        <w:t>they solidify developing jurisprudence that recognizes the importance of notice within the criminal system, albeit through attorneys</w:t>
      </w:r>
      <w:r w:rsidRPr="00E21321">
        <w:rPr>
          <w:sz w:val="16"/>
        </w:rPr>
        <w:t>. In the wake of both decisions</w:t>
      </w:r>
      <w:r w:rsidRPr="00E21321">
        <w:rPr>
          <w:rStyle w:val="StyleUnderline"/>
        </w:rPr>
        <w:t xml:space="preserve">, many commentators have called for an </w:t>
      </w:r>
      <w:r w:rsidRPr="00E21321">
        <w:rPr>
          <w:rStyle w:val="Emphasis"/>
        </w:rPr>
        <w:t>expansion of the right to counsel</w:t>
      </w:r>
      <w:r w:rsidRPr="00E21321">
        <w:rPr>
          <w:sz w:val="16"/>
        </w:rPr>
        <w:t xml:space="preserve">, especially for defendants facing charges that do not carry the threat of incarceration, </w:t>
      </w:r>
      <w:r w:rsidRPr="00E21321">
        <w:rPr>
          <w:rStyle w:val="Emphasis"/>
        </w:rPr>
        <w:t>in order to address the myriad collateral consequences</w:t>
      </w:r>
      <w:r w:rsidRPr="00E21321">
        <w:rPr>
          <w:sz w:val="16"/>
        </w:rPr>
        <w:t xml:space="preserve"> </w:t>
      </w:r>
      <w:r w:rsidRPr="00E21321">
        <w:rPr>
          <w:rStyle w:val="StyleUnderline"/>
        </w:rPr>
        <w:t>associated with a criminal record</w:t>
      </w:r>
      <w:r w:rsidRPr="00E21321">
        <w:rPr>
          <w:sz w:val="16"/>
        </w:rPr>
        <w:t xml:space="preserve">.20 The premise of the argument is that </w:t>
      </w:r>
      <w:r w:rsidRPr="00E21321">
        <w:rPr>
          <w:rStyle w:val="StyleUnderline"/>
        </w:rPr>
        <w:t>counsel is the silver bullet necessary to craft plea deals that avoid such consequences</w:t>
      </w:r>
      <w:r w:rsidRPr="00E21321">
        <w:rPr>
          <w:sz w:val="16"/>
        </w:rPr>
        <w:t>. A defense counsel driven solution would likely mitigate the number of unknowing—and perhaps unintelligent— pleas, especially for the unrepresented, and conceivably shift the current paradigm. But is it enough? Or do the plea bargain realities of the criminal system demand something more? Furthermore, would expansion of the right to counsel continue to place too much of the burden on already overworked defense attorneys and unknowing defendants, represented or not? Are there other players within the system that can and should help?</w:t>
      </w:r>
    </w:p>
    <w:p w14:paraId="3AF14DA8" w14:textId="77777777" w:rsidR="00F26F5D" w:rsidRDefault="00F26F5D" w:rsidP="00F26F5D">
      <w:pPr>
        <w:pStyle w:val="Heading4"/>
      </w:pPr>
      <w:r>
        <w:t xml:space="preserve">And, Padilla thumps --- in the direction of the </w:t>
      </w:r>
      <w:proofErr w:type="spellStart"/>
      <w:r>
        <w:t>aff</w:t>
      </w:r>
      <w:proofErr w:type="spellEnd"/>
      <w:r>
        <w:t>, bolt from the blue, and was a major reversal</w:t>
      </w:r>
    </w:p>
    <w:p w14:paraId="563CFE39" w14:textId="77777777" w:rsidR="00F26F5D" w:rsidRDefault="00F26F5D" w:rsidP="00F26F5D"/>
    <w:p w14:paraId="7CF1A286" w14:textId="77777777" w:rsidR="00F26F5D" w:rsidRDefault="00F26F5D" w:rsidP="00F26F5D">
      <w:pPr>
        <w:rPr>
          <w:rStyle w:val="Style13ptBold"/>
        </w:rPr>
      </w:pPr>
      <w:r>
        <w:rPr>
          <w:rStyle w:val="Style13ptBold"/>
        </w:rPr>
        <w:t>Love ‘11</w:t>
      </w:r>
    </w:p>
    <w:p w14:paraId="5CF4FC5E" w14:textId="77777777" w:rsidR="00F26F5D" w:rsidRPr="002457A9" w:rsidRDefault="00F26F5D" w:rsidP="00F26F5D">
      <w:r w:rsidRPr="002457A9">
        <w:t>(Margaret Colgate Love Law Office of Margaret Love, “</w:t>
      </w:r>
      <w:proofErr w:type="spellStart"/>
      <w:r w:rsidRPr="002457A9">
        <w:t>Collater</w:t>
      </w:r>
      <w:proofErr w:type="spellEnd"/>
      <w:r w:rsidRPr="002457A9">
        <w:t xml:space="preserve"> Collateral Consequences After </w:t>
      </w:r>
      <w:proofErr w:type="spellStart"/>
      <w:r w:rsidRPr="002457A9">
        <w:t>P al</w:t>
      </w:r>
      <w:proofErr w:type="spellEnd"/>
      <w:r w:rsidRPr="002457A9">
        <w:t xml:space="preserve"> Consequences After Padilla v </w:t>
      </w:r>
      <w:proofErr w:type="spellStart"/>
      <w:r w:rsidRPr="002457A9">
        <w:t>adilla</w:t>
      </w:r>
      <w:proofErr w:type="spellEnd"/>
      <w:r w:rsidRPr="002457A9">
        <w:t xml:space="preserve"> v. Kentucky: F </w:t>
      </w:r>
      <w:proofErr w:type="spellStart"/>
      <w:r w:rsidRPr="002457A9">
        <w:t>entucky</w:t>
      </w:r>
      <w:proofErr w:type="spellEnd"/>
      <w:r w:rsidRPr="002457A9">
        <w:t>: From</w:t>
      </w:r>
    </w:p>
    <w:p w14:paraId="3D828E92" w14:textId="77777777" w:rsidR="00F26F5D" w:rsidRPr="002457A9" w:rsidRDefault="00F26F5D" w:rsidP="00F26F5D">
      <w:r w:rsidRPr="002457A9">
        <w:t xml:space="preserve">Punishment to Regulation,” </w:t>
      </w:r>
      <w:proofErr w:type="spellStart"/>
      <w:r w:rsidRPr="002457A9">
        <w:t>pg</w:t>
      </w:r>
      <w:proofErr w:type="spellEnd"/>
      <w:r w:rsidRPr="002457A9">
        <w:t xml:space="preserve"> online @ </w:t>
      </w:r>
      <w:hyperlink r:id="rId67" w:history="1">
        <w:r w:rsidRPr="002457A9">
          <w:rPr>
            <w:rStyle w:val="Hyperlink"/>
          </w:rPr>
          <w:t>https://scholarship.law.slu.edu/cgi/viewcontent.cgi?article=1132&amp;context=plr</w:t>
        </w:r>
      </w:hyperlink>
      <w:r w:rsidRPr="002457A9">
        <w:t xml:space="preserve"> //um-</w:t>
      </w:r>
      <w:proofErr w:type="spellStart"/>
      <w:r w:rsidRPr="002457A9">
        <w:t>ef</w:t>
      </w:r>
      <w:proofErr w:type="spellEnd"/>
      <w:r w:rsidRPr="002457A9">
        <w:t>)</w:t>
      </w:r>
    </w:p>
    <w:p w14:paraId="54A44A82" w14:textId="77777777" w:rsidR="00F26F5D" w:rsidRPr="00AC0559" w:rsidRDefault="00F26F5D" w:rsidP="00F26F5D">
      <w:pPr>
        <w:rPr>
          <w:sz w:val="12"/>
        </w:rPr>
      </w:pPr>
      <w:r w:rsidRPr="00AC0559">
        <w:rPr>
          <w:rStyle w:val="StyleUnderline"/>
        </w:rPr>
        <w:t>The Supreme Court’s decision in Padilla v. Kentucky</w:t>
      </w:r>
      <w:r w:rsidRPr="00AC0559">
        <w:rPr>
          <w:sz w:val="12"/>
        </w:rPr>
        <w:t xml:space="preserve">1 in March 2010 </w:t>
      </w:r>
      <w:r w:rsidRPr="00AC0559">
        <w:rPr>
          <w:rStyle w:val="StyleUnderline"/>
        </w:rPr>
        <w:t xml:space="preserve">struck even veteran Court-watchers </w:t>
      </w:r>
      <w:r w:rsidRPr="00AC0559">
        <w:rPr>
          <w:rStyle w:val="Emphasis"/>
        </w:rPr>
        <w:t>as a bolt from the blue</w:t>
      </w:r>
      <w:r w:rsidRPr="00AC0559">
        <w:rPr>
          <w:sz w:val="12"/>
        </w:rPr>
        <w:t xml:space="preserve">. In </w:t>
      </w:r>
      <w:r w:rsidRPr="00AC0559">
        <w:rPr>
          <w:rStyle w:val="StyleUnderline"/>
        </w:rPr>
        <w:t xml:space="preserve">finding that a non-citizen defendant should have been advised by his lawyer that pleading guilty to drug charges would </w:t>
      </w:r>
      <w:r w:rsidRPr="00AC0559">
        <w:rPr>
          <w:sz w:val="12"/>
        </w:rPr>
        <w:t>almost certainly</w:t>
      </w:r>
      <w:r w:rsidRPr="00AC0559">
        <w:rPr>
          <w:rStyle w:val="StyleUnderline"/>
        </w:rPr>
        <w:t xml:space="preserve"> result in his deportation</w:t>
      </w:r>
      <w:r w:rsidRPr="00AC0559">
        <w:rPr>
          <w:sz w:val="12"/>
        </w:rPr>
        <w:t xml:space="preserve">, </w:t>
      </w:r>
      <w:r w:rsidRPr="00AC0559">
        <w:rPr>
          <w:rStyle w:val="StyleUnderline"/>
        </w:rPr>
        <w:t>the Court for the first time extended the constitutional right to counsel to the substance of a guilty plea and to a consequence of conviction that is not part of the court-imposed sentence</w:t>
      </w:r>
      <w:r w:rsidRPr="00AC0559">
        <w:rPr>
          <w:sz w:val="12"/>
        </w:rPr>
        <w:t xml:space="preserve">. The concurring Justices, noting the “longstanding and unanimous position of the federal courts” that lawyers need not inform their clients about this “collateral” consequence of conviction, characterized the Court’s decision “a major upheaval in Sixth Amendment law” that “will 1. 130 S. Ct. 1473 (2010). lead </w:t>
      </w:r>
      <w:proofErr w:type="spellStart"/>
      <w:r w:rsidRPr="00AC0559">
        <w:rPr>
          <w:sz w:val="12"/>
        </w:rPr>
        <w:t>to</w:t>
      </w:r>
      <w:proofErr w:type="spellEnd"/>
      <w:r w:rsidRPr="00AC0559">
        <w:rPr>
          <w:sz w:val="12"/>
        </w:rPr>
        <w:t xml:space="preserve"> much confusion and needless litigation.”2 </w:t>
      </w:r>
      <w:r w:rsidRPr="00AC0559">
        <w:rPr>
          <w:rStyle w:val="StyleUnderline"/>
        </w:rPr>
        <w:t>The dissenters warned that</w:t>
      </w:r>
      <w:r>
        <w:rPr>
          <w:rStyle w:val="StyleUnderline"/>
        </w:rPr>
        <w:t xml:space="preserve"> </w:t>
      </w:r>
      <w:r w:rsidRPr="00AC0559">
        <w:rPr>
          <w:rStyle w:val="StyleUnderline"/>
        </w:rPr>
        <w:t>the logic—and thus the reach—of the Court’s decision could not be limited</w:t>
      </w:r>
      <w:r>
        <w:rPr>
          <w:rStyle w:val="StyleUnderline"/>
        </w:rPr>
        <w:t xml:space="preserve"> </w:t>
      </w:r>
      <w:r w:rsidRPr="00AC0559">
        <w:rPr>
          <w:rStyle w:val="StyleUnderline"/>
        </w:rPr>
        <w:t>“except by judicial caprice</w:t>
      </w:r>
      <w:r w:rsidRPr="00AC0559">
        <w:rPr>
          <w:sz w:val="12"/>
        </w:rPr>
        <w:t xml:space="preserve">.”3 In retrospect, Padilla should not have come as such a surprise in light of two modern phenomena: the dominance of guilty pleas over trials in the disposition of criminal cases, and the large and growing role of conviction in overall regulatory policy. As to the first, Padilla has been explained in terms of the perceived need to regulate “a free market that sometimes resembled a Turkish Bazaar.”4 The decision thus represents an important step toward imposing constitutional discipline on a typically hidden and frequently </w:t>
      </w:r>
      <w:proofErr w:type="spellStart"/>
      <w:r w:rsidRPr="00AC0559">
        <w:rPr>
          <w:sz w:val="12"/>
        </w:rPr>
        <w:t>onesided</w:t>
      </w:r>
      <w:proofErr w:type="spellEnd"/>
      <w:r w:rsidRPr="00AC0559">
        <w:rPr>
          <w:sz w:val="12"/>
        </w:rPr>
        <w:t xml:space="preserve"> process of negotiation that has become the norm for disposing of criminal cases.5 As to the second, </w:t>
      </w:r>
      <w:r w:rsidRPr="00DD57CA">
        <w:rPr>
          <w:rStyle w:val="StyleUnderline"/>
        </w:rPr>
        <w:t>Padilla recognizes the need to make</w:t>
      </w:r>
      <w:r>
        <w:rPr>
          <w:rStyle w:val="StyleUnderline"/>
        </w:rPr>
        <w:t xml:space="preserve"> </w:t>
      </w:r>
      <w:r w:rsidRPr="00DD57CA">
        <w:rPr>
          <w:rStyle w:val="StyleUnderline"/>
        </w:rPr>
        <w:t xml:space="preserve">participants in a criminal case aware of non-criminal </w:t>
      </w:r>
      <w:r w:rsidRPr="00AC0559">
        <w:rPr>
          <w:rStyle w:val="Emphasis"/>
        </w:rPr>
        <w:t>“collateral”</w:t>
      </w:r>
      <w:r w:rsidRPr="00AC0559">
        <w:rPr>
          <w:sz w:val="12"/>
        </w:rPr>
        <w:t xml:space="preserve">6 </w:t>
      </w:r>
      <w:r w:rsidRPr="00DD57CA">
        <w:rPr>
          <w:rStyle w:val="StyleUnderline"/>
        </w:rPr>
        <w:t>penalties</w:t>
      </w:r>
      <w:r>
        <w:rPr>
          <w:rStyle w:val="StyleUnderline"/>
        </w:rPr>
        <w:t xml:space="preserve"> </w:t>
      </w:r>
      <w:r w:rsidRPr="00AC0559">
        <w:rPr>
          <w:sz w:val="12"/>
        </w:rPr>
        <w:t xml:space="preserve">that are frequently a crime’s most serious punishment.7 </w:t>
      </w:r>
      <w:r w:rsidRPr="00DD57CA">
        <w:rPr>
          <w:rStyle w:val="StyleUnderline"/>
        </w:rPr>
        <w:t xml:space="preserve">Until Padilla, the </w:t>
      </w:r>
      <w:proofErr w:type="spellStart"/>
      <w:r w:rsidRPr="00DD57CA">
        <w:rPr>
          <w:rStyle w:val="StyleUnderline"/>
        </w:rPr>
        <w:t>socalled</w:t>
      </w:r>
      <w:proofErr w:type="spellEnd"/>
      <w:r w:rsidRPr="00DD57CA">
        <w:rPr>
          <w:rStyle w:val="StyleUnderline"/>
        </w:rPr>
        <w:t xml:space="preserve"> “collateral consequences doctrine” kept defendants considering a guilty</w:t>
      </w:r>
      <w:r>
        <w:rPr>
          <w:rStyle w:val="StyleUnderline"/>
        </w:rPr>
        <w:t xml:space="preserve"> </w:t>
      </w:r>
      <w:r w:rsidRPr="00DD57CA">
        <w:rPr>
          <w:rStyle w:val="StyleUnderline"/>
        </w:rPr>
        <w:t>plea in the dark about severe statutory or regulatory penalties</w:t>
      </w:r>
      <w:r w:rsidRPr="00AC0559">
        <w:rPr>
          <w:sz w:val="12"/>
        </w:rPr>
        <w:t xml:space="preserve"> like deportation </w:t>
      </w:r>
    </w:p>
    <w:p w14:paraId="3E90253C" w14:textId="77777777" w:rsidR="00F26F5D" w:rsidRDefault="00F26F5D" w:rsidP="00A43C3D">
      <w:pPr>
        <w:rPr>
          <w:sz w:val="16"/>
        </w:rPr>
      </w:pPr>
    </w:p>
    <w:p w14:paraId="1DB3C413" w14:textId="77777777" w:rsidR="00A43C3D" w:rsidRPr="0012468B" w:rsidRDefault="00A43C3D" w:rsidP="00A43C3D"/>
    <w:p w14:paraId="71920DCB" w14:textId="1B61232C" w:rsidR="00FE6ED8" w:rsidRDefault="00F26F5D" w:rsidP="007603D6">
      <w:pPr>
        <w:pStyle w:val="Heading3"/>
      </w:pPr>
      <w:r>
        <w:t>1AR</w:t>
      </w:r>
      <w:r w:rsidR="007603D6">
        <w:t xml:space="preserve"> –</w:t>
      </w:r>
      <w:r w:rsidR="00AC0559">
        <w:t xml:space="preserve"> </w:t>
      </w:r>
      <w:r w:rsidR="00FE6ED8">
        <w:t>Padilla</w:t>
      </w:r>
      <w:r w:rsidR="00AC0559">
        <w:t xml:space="preserve"> All-Purpose Thumper</w:t>
      </w:r>
      <w:r w:rsidR="00FE6ED8">
        <w:t xml:space="preserve"> </w:t>
      </w:r>
    </w:p>
    <w:p w14:paraId="0B28234E" w14:textId="6A38A854" w:rsidR="00FE6ED8" w:rsidRDefault="00FE6ED8" w:rsidP="00FE6ED8"/>
    <w:p w14:paraId="4F9E08A6" w14:textId="77777777" w:rsidR="00F26F5D" w:rsidRDefault="00F26F5D" w:rsidP="00F26F5D">
      <w:pPr>
        <w:pStyle w:val="Heading4"/>
      </w:pPr>
      <w:r>
        <w:t xml:space="preserve">And, it means more decisions in the direction of the </w:t>
      </w:r>
      <w:proofErr w:type="spellStart"/>
      <w:r>
        <w:t>aff</w:t>
      </w:r>
      <w:proofErr w:type="spellEnd"/>
      <w:r>
        <w:t xml:space="preserve"> are inevitable</w:t>
      </w:r>
    </w:p>
    <w:p w14:paraId="7CBEA2D1" w14:textId="77777777" w:rsidR="00F26F5D" w:rsidRDefault="00F26F5D" w:rsidP="00F26F5D"/>
    <w:p w14:paraId="387915F3" w14:textId="77777777" w:rsidR="00F26F5D" w:rsidRDefault="00F26F5D" w:rsidP="00F26F5D">
      <w:pPr>
        <w:rPr>
          <w:rStyle w:val="Style13ptBold"/>
        </w:rPr>
      </w:pPr>
      <w:r>
        <w:rPr>
          <w:rStyle w:val="Style13ptBold"/>
        </w:rPr>
        <w:t>Ewald ‘12</w:t>
      </w:r>
    </w:p>
    <w:p w14:paraId="184BE605" w14:textId="77777777" w:rsidR="00F26F5D" w:rsidRPr="0012468B" w:rsidRDefault="00F26F5D" w:rsidP="00F26F5D">
      <w:r w:rsidRPr="0012468B">
        <w:t>(Alec,</w:t>
      </w:r>
      <w:r>
        <w:t xml:space="preserve"> Associate Professor American Politics and Constitutional Law. </w:t>
      </w:r>
      <w:r w:rsidRPr="0012468B">
        <w:t>University of Vermont,</w:t>
      </w:r>
      <w:r>
        <w:t xml:space="preserve"> Current research is on the “collateral consequences” of criminal convictions </w:t>
      </w:r>
      <w:r w:rsidRPr="0012468B">
        <w:t>“Collateral Consequences</w:t>
      </w:r>
      <w:r>
        <w:t xml:space="preserve"> </w:t>
      </w:r>
      <w:r w:rsidRPr="0012468B">
        <w:t xml:space="preserve">in the American States,” </w:t>
      </w:r>
      <w:r>
        <w:t xml:space="preserve">SOCIAL SCIENCE QUARTERLY, </w:t>
      </w:r>
      <w:proofErr w:type="spellStart"/>
      <w:r w:rsidRPr="0012468B">
        <w:t>pg</w:t>
      </w:r>
      <w:proofErr w:type="spellEnd"/>
      <w:r w:rsidRPr="0012468B">
        <w:t xml:space="preserve"> online @ SSRN //um-</w:t>
      </w:r>
      <w:proofErr w:type="spellStart"/>
      <w:r w:rsidRPr="0012468B">
        <w:t>ef</w:t>
      </w:r>
      <w:proofErr w:type="spellEnd"/>
      <w:r w:rsidRPr="0012468B">
        <w:t>)</w:t>
      </w:r>
    </w:p>
    <w:p w14:paraId="1A9E8D43" w14:textId="24418E1E" w:rsidR="00F26F5D" w:rsidRPr="00F26F5D" w:rsidRDefault="00F26F5D" w:rsidP="00FE6ED8">
      <w:pPr>
        <w:rPr>
          <w:b/>
          <w:iCs/>
          <w:u w:val="single"/>
          <w:bdr w:val="single" w:sz="12" w:space="0" w:color="auto"/>
        </w:rPr>
      </w:pPr>
      <w:r>
        <w:t xml:space="preserve">Policymakers have begun to pay more attention to such polices in recent years: Congress has repeatedly held hearings on collateral consequences and their role in prisoner reentry (U.S. House of Representatives, Committee on Oversight and Government Reform, 2008; U.S. House of Representatives, Committee on the Judiciary, 2010). The ABA published a detailed, critical report on such restrictions, calling for major reforms (American Bar Association, Criminal Justice Standards Committee, 2004). The Uniform Law Commission has developed model legislation by which states might clarify and publish their policies (Uniform Law Commission, 2010). And </w:t>
      </w:r>
      <w:r w:rsidRPr="0012468B">
        <w:rPr>
          <w:rStyle w:val="StyleUnderline"/>
        </w:rPr>
        <w:t>with its 2010 Padilla v. Kentucky decision, the U.S. Supreme Court ruled that the Sixth Amendment requires defense counsel to apprise their clients of the potential deportation consequences of a criminal conviction</w:t>
      </w:r>
      <w:r w:rsidRPr="00F26F5D">
        <w:rPr>
          <w:rStyle w:val="StyleUnderline"/>
        </w:rPr>
        <w:t>, a</w:t>
      </w:r>
      <w:r>
        <w:t xml:space="preserve"> </w:t>
      </w:r>
      <w:r w:rsidRPr="0012468B">
        <w:rPr>
          <w:rStyle w:val="Emphasis"/>
        </w:rPr>
        <w:t>change with the potential to influence the legal status of other collateral consequences.</w:t>
      </w:r>
    </w:p>
    <w:p w14:paraId="27208DEA" w14:textId="77777777" w:rsidR="00925B19" w:rsidRDefault="00925B19" w:rsidP="00925B19">
      <w:pPr>
        <w:pStyle w:val="Heading4"/>
      </w:pPr>
      <w:r>
        <w:t>Padilla creating momentum in the courts now</w:t>
      </w:r>
    </w:p>
    <w:p w14:paraId="26F10C3F" w14:textId="77777777" w:rsidR="00925B19" w:rsidRDefault="00925B19" w:rsidP="00925B19"/>
    <w:p w14:paraId="086F963F" w14:textId="77777777" w:rsidR="00925B19" w:rsidRPr="00B41CE1" w:rsidRDefault="00925B19" w:rsidP="00925B19">
      <w:pPr>
        <w:rPr>
          <w:rStyle w:val="Style13ptBold"/>
        </w:rPr>
      </w:pPr>
      <w:r w:rsidRPr="00B41CE1">
        <w:rPr>
          <w:rStyle w:val="Style13ptBold"/>
        </w:rPr>
        <w:t>Ewald ‘10</w:t>
      </w:r>
    </w:p>
    <w:p w14:paraId="3BE39BB2" w14:textId="77777777" w:rsidR="00925B19" w:rsidRDefault="00925B19" w:rsidP="00925B19">
      <w:r>
        <w:t xml:space="preserve">(Alec, “Deportation, Effective Counsel, and Collateral Sanctions: Padilla v. Kentucky (2010),” THE JUSTICE SYSTEM JOURNAL, VOL. 32, NUMBER 2 (2011), </w:t>
      </w:r>
      <w:proofErr w:type="spellStart"/>
      <w:r>
        <w:t>pg</w:t>
      </w:r>
      <w:proofErr w:type="spellEnd"/>
      <w:r>
        <w:t xml:space="preserve"> Taylor and Francis //um-</w:t>
      </w:r>
      <w:proofErr w:type="spellStart"/>
      <w:r>
        <w:t>ef</w:t>
      </w:r>
      <w:proofErr w:type="spellEnd"/>
      <w:r>
        <w:t>)</w:t>
      </w:r>
    </w:p>
    <w:p w14:paraId="25D8C6F8" w14:textId="77777777" w:rsidR="00925B19" w:rsidRDefault="00925B19" w:rsidP="00925B19">
      <w:r>
        <w:t xml:space="preserve">The Retroactivity Puzzle. </w:t>
      </w:r>
      <w:r w:rsidRPr="00F26F5D">
        <w:rPr>
          <w:rStyle w:val="StyleUnderline"/>
        </w:rPr>
        <w:t xml:space="preserve">The Padilla decision has already been </w:t>
      </w:r>
      <w:r w:rsidRPr="00F26F5D">
        <w:rPr>
          <w:rStyle w:val="Emphasis"/>
        </w:rPr>
        <w:t xml:space="preserve">cited in scores of </w:t>
      </w:r>
      <w:proofErr w:type="spellStart"/>
      <w:r w:rsidRPr="00F26F5D">
        <w:rPr>
          <w:rStyle w:val="Emphasis"/>
        </w:rPr>
        <w:t>cases</w:t>
      </w:r>
      <w:proofErr w:type="spellEnd"/>
      <w:r w:rsidRPr="00F26F5D">
        <w:rPr>
          <w:rStyle w:val="StyleUnderline"/>
        </w:rPr>
        <w:t xml:space="preserve"> related to plea deals and </w:t>
      </w:r>
      <w:r w:rsidRPr="00F26F5D">
        <w:rPr>
          <w:rStyle w:val="Emphasis"/>
        </w:rPr>
        <w:t>collateral sanctions</w:t>
      </w:r>
      <w:r w:rsidRPr="00F26F5D">
        <w:rPr>
          <w:rStyle w:val="StyleUnderline"/>
        </w:rPr>
        <w:t xml:space="preserve"> in state and federal courts and is already changing the work of prosecutors, defense attorneys, and judges</w:t>
      </w:r>
      <w:r>
        <w:t xml:space="preserve">. After Padilla, some federal prosecutors have started adding language to plea agreements such as “I understand that if I plead guilty there will be immigration consequences” or “I will be required to register as a sex offender” (Atkins, 2010). The most immediate consequences of Padilla fall on defense counsel, who now must either familiarize themselves with the complexities of immigration law or hire an attorney specializing in that area. “Attorneys fear Padilla means more work,” said the headline of one legal publication, noting “mixed feelings” about the ruling among the defense bar (Lore, 2010:2). Practice advisories have been published by national and local advocacy groups (Immigrant Defense Project, 2010; National Association of Criminal Defense Lawyers and Defending Immigrants Partnership, 2010; Committee for Public Counsel Services, 2010). </w:t>
      </w:r>
      <w:r w:rsidRPr="00F26F5D">
        <w:rPr>
          <w:rStyle w:val="StyleUnderline"/>
        </w:rPr>
        <w:t>In time, Padilla may further shift the provision of public defense</w:t>
      </w:r>
      <w:r>
        <w:t xml:space="preserve"> toward larger organizations, where specialized immigration advice can be offered in-house (Wright, 2011).</w:t>
      </w:r>
    </w:p>
    <w:p w14:paraId="6B50EE5F" w14:textId="77777777" w:rsidR="00F26F5D" w:rsidRDefault="00F26F5D" w:rsidP="00F26F5D">
      <w:pPr>
        <w:pStyle w:val="Heading4"/>
      </w:pPr>
      <w:r>
        <w:t>And, Padilla expands sixth amendment, is a massive and landmark decision, and it extends to collateral consequences</w:t>
      </w:r>
    </w:p>
    <w:p w14:paraId="1AD5A827" w14:textId="77777777" w:rsidR="00F26F5D" w:rsidRDefault="00F26F5D" w:rsidP="00F26F5D"/>
    <w:p w14:paraId="11A09A8A" w14:textId="77777777" w:rsidR="00F26F5D" w:rsidRPr="00B41CE1" w:rsidRDefault="00F26F5D" w:rsidP="00F26F5D">
      <w:pPr>
        <w:rPr>
          <w:rStyle w:val="Style13ptBold"/>
        </w:rPr>
      </w:pPr>
      <w:r w:rsidRPr="00B41CE1">
        <w:rPr>
          <w:rStyle w:val="Style13ptBold"/>
        </w:rPr>
        <w:t>Ewald ‘10</w:t>
      </w:r>
    </w:p>
    <w:p w14:paraId="595566B7" w14:textId="77777777" w:rsidR="00F26F5D" w:rsidRDefault="00F26F5D" w:rsidP="00F26F5D">
      <w:r>
        <w:t xml:space="preserve">(Alec, “Deportation, Effective Counsel, and Collateral Sanctions: Padilla v. Kentucky (2010),” THE JUSTICE SYSTEM JOURNAL, VOL. 32, NUMBER 2 (2011), </w:t>
      </w:r>
      <w:proofErr w:type="spellStart"/>
      <w:r>
        <w:t>pg</w:t>
      </w:r>
      <w:proofErr w:type="spellEnd"/>
      <w:r>
        <w:t xml:space="preserve"> Taylor and Francis //um-</w:t>
      </w:r>
      <w:proofErr w:type="spellStart"/>
      <w:r>
        <w:t>ef</w:t>
      </w:r>
      <w:proofErr w:type="spellEnd"/>
      <w:r>
        <w:t>)</w:t>
      </w:r>
    </w:p>
    <w:p w14:paraId="3C52585E" w14:textId="77777777" w:rsidR="00F26F5D" w:rsidRPr="00B41CE1" w:rsidRDefault="00F26F5D" w:rsidP="00F26F5D">
      <w:pPr>
        <w:rPr>
          <w:sz w:val="12"/>
        </w:rPr>
      </w:pPr>
      <w:r w:rsidRPr="00CA4210">
        <w:rPr>
          <w:rStyle w:val="StyleUnderline"/>
        </w:rPr>
        <w:t>In its</w:t>
      </w:r>
      <w:r w:rsidRPr="00B41CE1">
        <w:rPr>
          <w:sz w:val="12"/>
        </w:rPr>
        <w:t xml:space="preserve"> March 31, 2010 </w:t>
      </w:r>
      <w:r w:rsidRPr="00CA4210">
        <w:rPr>
          <w:rStyle w:val="StyleUnderline"/>
        </w:rPr>
        <w:t>Padilla v. Kentucky decision</w:t>
      </w:r>
      <w:r w:rsidRPr="00B41CE1">
        <w:rPr>
          <w:sz w:val="12"/>
        </w:rPr>
        <w:t xml:space="preserve">, </w:t>
      </w:r>
      <w:r w:rsidRPr="00CA4210">
        <w:rPr>
          <w:rStyle w:val="StyleUnderline"/>
        </w:rPr>
        <w:t>the U.S. Supreme Court held</w:t>
      </w:r>
      <w:r w:rsidRPr="00B41CE1">
        <w:rPr>
          <w:sz w:val="12"/>
        </w:rPr>
        <w:t xml:space="preserve"> that </w:t>
      </w:r>
      <w:r w:rsidRPr="00CA4210">
        <w:rPr>
          <w:rStyle w:val="StyleUnderline"/>
        </w:rPr>
        <w:t>defense counsel’s failure to advise a noncitizen client of the deportation consequences of a conviction constituted ineffective counsel in violation of the Sixth Amendment</w:t>
      </w:r>
      <w:r w:rsidRPr="00B41CE1">
        <w:rPr>
          <w:sz w:val="12"/>
        </w:rPr>
        <w:t xml:space="preserve">. </w:t>
      </w:r>
      <w:r w:rsidRPr="00B41CE1">
        <w:rPr>
          <w:rStyle w:val="Emphasis"/>
        </w:rPr>
        <w:t>Hailed by advocates as “momentous</w:t>
      </w:r>
      <w:r w:rsidRPr="00B41CE1">
        <w:rPr>
          <w:sz w:val="12"/>
        </w:rPr>
        <w:t xml:space="preserve">” (Immigrant Defense Project, 2010) and a “Gideon decision for immigrants” (Rojas, 2010), </w:t>
      </w:r>
      <w:r w:rsidRPr="00B41CE1">
        <w:rPr>
          <w:rStyle w:val="StyleUnderline"/>
        </w:rPr>
        <w:t>the Padilla ruling has been greeted by supporters and detractors alike as a landmark in Sixth Amendment jurisprudence</w:t>
      </w:r>
      <w:r w:rsidRPr="00B41CE1">
        <w:rPr>
          <w:sz w:val="12"/>
        </w:rPr>
        <w:t xml:space="preserve">. Immigration statistics illustrate the decision’s importance: from 2000 to 2009, more than 920,000 people were deported from the U.S. because of their criminal status (Office of Immigration Statistics, 2010:97-103). </w:t>
      </w:r>
      <w:r w:rsidRPr="00B41CE1">
        <w:rPr>
          <w:rStyle w:val="Emphasis"/>
        </w:rPr>
        <w:t xml:space="preserve">Beyond the </w:t>
      </w:r>
      <w:proofErr w:type="spellStart"/>
      <w:r w:rsidRPr="00B41CE1">
        <w:rPr>
          <w:rStyle w:val="Emphasis"/>
        </w:rPr>
        <w:t>immigrationlaw</w:t>
      </w:r>
      <w:proofErr w:type="spellEnd"/>
      <w:r w:rsidRPr="00B41CE1">
        <w:rPr>
          <w:rStyle w:val="Emphasis"/>
        </w:rPr>
        <w:t xml:space="preserve"> context</w:t>
      </w:r>
      <w:r w:rsidRPr="00B41CE1">
        <w:rPr>
          <w:sz w:val="12"/>
        </w:rPr>
        <w:t xml:space="preserve">, </w:t>
      </w:r>
      <w:r w:rsidRPr="00B41CE1">
        <w:rPr>
          <w:rStyle w:val="StyleUnderline"/>
        </w:rPr>
        <w:t xml:space="preserve">Padilla will affect the provision of indigent defense and influence the work of prosecutors, defense counsel, and judges negotiating and accepting plea deals in state and federal courts. </w:t>
      </w:r>
      <w:r w:rsidRPr="00B41CE1">
        <w:rPr>
          <w:rStyle w:val="Emphasis"/>
        </w:rPr>
        <w:t>Padilla’s logic may prove to have even broader implications</w:t>
      </w:r>
      <w:r w:rsidRPr="00B41CE1">
        <w:rPr>
          <w:sz w:val="12"/>
        </w:rPr>
        <w:t xml:space="preserve">, as it could </w:t>
      </w:r>
      <w:r w:rsidRPr="00B41CE1">
        <w:rPr>
          <w:rStyle w:val="Emphasis"/>
        </w:rPr>
        <w:t>undercut the longstanding but increasingly controversial distinction between “direct” and “collateral” consequences of criminal convictions</w:t>
      </w:r>
      <w:r w:rsidRPr="00B41CE1">
        <w:rPr>
          <w:sz w:val="12"/>
        </w:rPr>
        <w:t xml:space="preserve"> in the United States.</w:t>
      </w:r>
    </w:p>
    <w:p w14:paraId="5CB2F7F1" w14:textId="77777777" w:rsidR="00FE6ED8" w:rsidRPr="002457A9" w:rsidRDefault="00FE6ED8" w:rsidP="00FE6ED8"/>
    <w:p w14:paraId="58DEAE6B" w14:textId="77777777" w:rsidR="00FE6ED8" w:rsidRPr="002C331F" w:rsidRDefault="00FE6ED8" w:rsidP="00FE6ED8"/>
    <w:p w14:paraId="2068EAC1" w14:textId="30FA3B68" w:rsidR="00262277" w:rsidRDefault="00262277" w:rsidP="00925B19">
      <w:pPr>
        <w:pStyle w:val="Heading3"/>
      </w:pPr>
      <w:r>
        <w:t>2AC</w:t>
      </w:r>
      <w:r w:rsidR="007603D6">
        <w:t>/1AR</w:t>
      </w:r>
      <w:r>
        <w:t xml:space="preserve"> </w:t>
      </w:r>
      <w:r w:rsidR="00925B19">
        <w:t xml:space="preserve">– </w:t>
      </w:r>
      <w:r>
        <w:t xml:space="preserve">Padilla Set Precedent </w:t>
      </w:r>
    </w:p>
    <w:p w14:paraId="077ADD27" w14:textId="77777777" w:rsidR="00262277" w:rsidRPr="00262277" w:rsidRDefault="00262277" w:rsidP="00262277"/>
    <w:p w14:paraId="60A69436" w14:textId="77777777" w:rsidR="00262277" w:rsidRDefault="00262277" w:rsidP="00262277">
      <w:pPr>
        <w:pStyle w:val="Heading4"/>
      </w:pPr>
      <w:r w:rsidRPr="006D7058">
        <w:t xml:space="preserve">Padilla v Kentucky overturned the sharp distinction between direct and collateral consequences – that decision laid the groundwork for the </w:t>
      </w:r>
      <w:proofErr w:type="spellStart"/>
      <w:r w:rsidRPr="006D7058">
        <w:t>aff</w:t>
      </w:r>
      <w:proofErr w:type="spellEnd"/>
      <w:r w:rsidRPr="006D7058">
        <w:t xml:space="preserve"> and means it would be in line with stare decisis </w:t>
      </w:r>
    </w:p>
    <w:p w14:paraId="7190C99C" w14:textId="77777777" w:rsidR="00262277" w:rsidRPr="006D7058" w:rsidRDefault="00262277" w:rsidP="00262277"/>
    <w:p w14:paraId="5A935863" w14:textId="77777777" w:rsidR="00262277" w:rsidRPr="008876AF" w:rsidRDefault="00262277" w:rsidP="00262277">
      <w:r w:rsidRPr="005665AD">
        <w:rPr>
          <w:rStyle w:val="Style13ptBold"/>
        </w:rPr>
        <w:t>Smyth 11</w:t>
      </w:r>
      <w:r>
        <w:rPr>
          <w:b/>
        </w:rPr>
        <w:t xml:space="preserve"> </w:t>
      </w:r>
      <w:r>
        <w:t>(McG</w:t>
      </w:r>
      <w:r w:rsidRPr="008876AF">
        <w:t>regor</w:t>
      </w:r>
      <w:r>
        <w:t xml:space="preserve">, </w:t>
      </w:r>
      <w:r w:rsidRPr="008876AF">
        <w:t>Managing Attorney, Civil Action Practice, The Bronx Defenders and Director of Reentry Net</w:t>
      </w:r>
      <w:r>
        <w:t xml:space="preserve">, “From “Collateral” to “Integral”: The Seismic Evolution of Padilla v. Kentucky and Its Impact on Penalties Beyond Deportation,” Harvard Law Journal, </w:t>
      </w:r>
      <w:r w:rsidRPr="008876AF">
        <w:t>https://heinonline.org/HOL/LandingPage?handle=hein.journals/howlj54&amp;div=33&amp;id=&amp;page=</w:t>
      </w:r>
      <w:r>
        <w:t>)</w:t>
      </w:r>
    </w:p>
    <w:p w14:paraId="61B2AB66" w14:textId="77777777" w:rsidR="00262277" w:rsidRPr="005C794C" w:rsidRDefault="00262277" w:rsidP="00262277">
      <w:pPr>
        <w:rPr>
          <w:rStyle w:val="StyleUnderline"/>
        </w:rPr>
      </w:pPr>
      <w:r w:rsidRPr="00044267">
        <w:t>From the moment of arrest,</w:t>
      </w:r>
      <w:r w:rsidRPr="005C794C">
        <w:rPr>
          <w:rStyle w:val="StyleUnderline"/>
        </w:rPr>
        <w:t xml:space="preserve"> people charged with crimes find themselves caught in a web of punitive sanctions, in danger of losing their jobs, homes, children, and right to live in this country. Politicians over the past thirty years</w:t>
      </w:r>
      <w:r w:rsidRPr="006C3E52">
        <w:rPr>
          <w:rStyle w:val="StyleUnderline"/>
        </w:rPr>
        <w:t>, eager to be “tough on crime” at the expense</w:t>
      </w:r>
      <w:r>
        <w:rPr>
          <w:rStyle w:val="StyleUnderline"/>
        </w:rPr>
        <w:t xml:space="preserve"> </w:t>
      </w:r>
      <w:r w:rsidRPr="006C3E52">
        <w:rPr>
          <w:rStyle w:val="StyleUnderline"/>
        </w:rPr>
        <w:t xml:space="preserve">of being smart on crime, </w:t>
      </w:r>
      <w:r w:rsidRPr="005C794C">
        <w:rPr>
          <w:rStyle w:val="StyleUnderline"/>
        </w:rPr>
        <w:t>have piled layer upon layer of these “collateral” consequences on even a person’s most minor involvement in the criminal justice system</w:t>
      </w:r>
      <w:r w:rsidRPr="006C3E52">
        <w:rPr>
          <w:rStyle w:val="StyleUnderline"/>
        </w:rPr>
        <w:t>.</w:t>
      </w:r>
      <w:r>
        <w:rPr>
          <w:rStyle w:val="StyleUnderline"/>
        </w:rPr>
        <w:t xml:space="preserve"> </w:t>
      </w:r>
      <w:r w:rsidRPr="006C3E52">
        <w:rPr>
          <w:rStyle w:val="StyleUnderline"/>
        </w:rPr>
        <w:t>As this web grew to overshadow the traditional criminal sanctions</w:t>
      </w:r>
      <w:r>
        <w:rPr>
          <w:rStyle w:val="StyleUnderline"/>
        </w:rPr>
        <w:t xml:space="preserve"> </w:t>
      </w:r>
      <w:r w:rsidRPr="006C3E52">
        <w:rPr>
          <w:rStyle w:val="StyleUnderline"/>
        </w:rPr>
        <w:t xml:space="preserve">for most offenses, </w:t>
      </w:r>
      <w:r w:rsidRPr="005C794C">
        <w:rPr>
          <w:rStyle w:val="StyleUnderline"/>
        </w:rPr>
        <w:t>criminal courts and practitioners struggled to create legal justifications for ignoring it. The “collateral consequences” doctrine resulted. Arising out of Fifth Amendment challenges to convictions on the theory that courts had not adequately notified people of this web at plea or sentencing, this doctrine draws a sharp but false distinction between “direct” consequences of criminal proceedings (such as incarceration) and “collateral” consequences (such as</w:t>
      </w:r>
      <w:r>
        <w:rPr>
          <w:rStyle w:val="StyleUnderline"/>
        </w:rPr>
        <w:t xml:space="preserve"> deportation).</w:t>
      </w:r>
    </w:p>
    <w:p w14:paraId="28B81915" w14:textId="7514F607" w:rsidR="00262277" w:rsidRPr="00164723" w:rsidRDefault="00262277" w:rsidP="00513590">
      <w:pPr>
        <w:rPr>
          <w:b/>
          <w:u w:val="single"/>
        </w:rPr>
      </w:pPr>
      <w:r w:rsidRPr="006C3E52">
        <w:rPr>
          <w:rStyle w:val="StyleUnderline"/>
        </w:rPr>
        <w:t>In a move last Term that shocked</w:t>
      </w:r>
      <w:r>
        <w:rPr>
          <w:rStyle w:val="StyleUnderline"/>
        </w:rPr>
        <w:t xml:space="preserve"> commentators and practitioners </w:t>
      </w:r>
      <w:r w:rsidRPr="006C3E52">
        <w:rPr>
          <w:rStyle w:val="StyleUnderline"/>
        </w:rPr>
        <w:t xml:space="preserve">alike, </w:t>
      </w:r>
      <w:r w:rsidRPr="005C794C">
        <w:rPr>
          <w:rStyle w:val="Emphasis"/>
        </w:rPr>
        <w:t>the Supreme Court ignored decades of lower court case law to effectively repudiate this doctrine—which has been one of the most dominant (and most harmful) legal fictions of the criminal justice system</w:t>
      </w:r>
      <w:r w:rsidRPr="005C794C">
        <w:rPr>
          <w:rStyle w:val="StyleUnderline"/>
        </w:rPr>
        <w:t>. In Padilla v. Kentucky, the Court held that to provide effective assistance of counsel, a criminal defense attorney has an affirmative duty to give specific, accurate advice to noncitizen clients of the deportation risk of potential pleas.</w:t>
      </w:r>
      <w:r>
        <w:rPr>
          <w:rStyle w:val="StyleUnderline"/>
        </w:rPr>
        <w:t xml:space="preserve"> </w:t>
      </w:r>
      <w:r w:rsidRPr="005C794C">
        <w:rPr>
          <w:rStyle w:val="StyleUnderline"/>
        </w:rPr>
        <w:t xml:space="preserve">The majority’s analysis, however, reaches far beyond advice on immigration penalties, extending to </w:t>
      </w:r>
      <w:proofErr w:type="gramStart"/>
      <w:r w:rsidRPr="005C794C">
        <w:rPr>
          <w:rStyle w:val="StyleUnderline"/>
        </w:rPr>
        <w:t>any and all</w:t>
      </w:r>
      <w:proofErr w:type="gramEnd"/>
      <w:r w:rsidRPr="005C794C">
        <w:rPr>
          <w:rStyle w:val="StyleUnderline"/>
        </w:rPr>
        <w:t xml:space="preserve"> penalties intimately related to criminal charges. The Court’s recasting of Sixth Amendment jurisprudence will have significant ripple effects, leaving a rich set of legal issues for the courts to resolve in the coming years. These issues include those related to </w:t>
      </w:r>
      <w:r w:rsidRPr="00EC3AC1">
        <w:rPr>
          <w:rStyle w:val="StyleUnderline"/>
        </w:rPr>
        <w:t>post-conviction relief</w:t>
      </w:r>
      <w:r w:rsidRPr="005C794C">
        <w:rPr>
          <w:rStyle w:val="StyleUnderline"/>
        </w:rPr>
        <w:t>, the Ex Post Facto Clause, Eighth Amendment definitions of punishment, the adequacy of defense funding, the expansion of the right to a jury trial, and the extension of the right to counsel.</w:t>
      </w:r>
    </w:p>
    <w:p w14:paraId="3F1C28C8" w14:textId="77777777" w:rsidR="00164723" w:rsidRDefault="00164723" w:rsidP="00164723">
      <w:pPr>
        <w:pStyle w:val="Heading4"/>
      </w:pPr>
      <w:r>
        <w:t>Padilla’s repudiation of the collateral/direct dichotomy created the precedent for more transformative change</w:t>
      </w:r>
    </w:p>
    <w:p w14:paraId="36555866" w14:textId="77777777" w:rsidR="00164723" w:rsidRPr="00B52432" w:rsidRDefault="00164723" w:rsidP="00164723">
      <w:r w:rsidRPr="005665AD">
        <w:rPr>
          <w:rStyle w:val="Style13ptBold"/>
        </w:rPr>
        <w:t>Brink 16</w:t>
      </w:r>
      <w:r>
        <w:t xml:space="preserve"> (Malia, </w:t>
      </w:r>
      <w:r w:rsidRPr="006E64CD">
        <w:t>counsel for the National Association of Criminal Defense Lawyers and as a Lecturer in Law at the Univer</w:t>
      </w:r>
      <w:r>
        <w:t xml:space="preserve">sity of Pennsylvania Law School, “A Gauntlet Thrown: The Transformative Potential of Padilla v. Kentucky,” </w:t>
      </w:r>
      <w:r w:rsidRPr="006E64CD">
        <w:t>Fordham Urban Law Journal</w:t>
      </w:r>
      <w:r>
        <w:t xml:space="preserve">, </w:t>
      </w:r>
      <w:r w:rsidRPr="006E64CD">
        <w:t>https://ir.lawnet.fordham.edu/cgi/viewcontent.cgi?article=2430&amp;context=ulj</w:t>
      </w:r>
      <w:r>
        <w:t>)</w:t>
      </w:r>
    </w:p>
    <w:p w14:paraId="72B5C8A6" w14:textId="7A504932" w:rsidR="00164723" w:rsidRPr="00613AA9" w:rsidRDefault="00164723" w:rsidP="00164723">
      <w:pPr>
        <w:rPr>
          <w:rStyle w:val="StyleUnderline"/>
        </w:rPr>
      </w:pPr>
      <w:r>
        <w:t xml:space="preserve">Against this backdrop, </w:t>
      </w:r>
      <w:r w:rsidRPr="00613AA9">
        <w:rPr>
          <w:rStyle w:val="StyleUnderline"/>
        </w:rPr>
        <w:t xml:space="preserve">the importance of the rationale underlying Padilla and the power of the decision to bring about </w:t>
      </w:r>
      <w:r w:rsidRPr="00613AA9">
        <w:rPr>
          <w:rStyle w:val="Emphasis"/>
        </w:rPr>
        <w:t>transformational change</w:t>
      </w:r>
      <w:r w:rsidRPr="00613AA9">
        <w:rPr>
          <w:rStyle w:val="StyleUnderline"/>
        </w:rPr>
        <w:t xml:space="preserve"> is clear. Padilla is</w:t>
      </w:r>
      <w:r>
        <w:t xml:space="preserve">, above all else, </w:t>
      </w:r>
      <w:r w:rsidRPr="00613AA9">
        <w:rPr>
          <w:rStyle w:val="StyleUnderline"/>
        </w:rPr>
        <w:t xml:space="preserve">a prudential decision. </w:t>
      </w:r>
      <w:r w:rsidRPr="00613AA9">
        <w:rPr>
          <w:rStyle w:val="Emphasis"/>
        </w:rPr>
        <w:t>It tears away the importance previously accorded the formalistic distinction between collateral consequences and direct consequences</w:t>
      </w:r>
      <w:r w:rsidRPr="00613AA9">
        <w:rPr>
          <w:rStyle w:val="StyleUnderline"/>
        </w:rPr>
        <w:t xml:space="preserve"> in favor of markedly practical considerations: the level of harm posed to the client, the unavoidability of the harm, and the likelihood of application in a particular case. The Court recognized that there are some consequences of a conviction that may be more important to the client than the criminal sanction</w:t>
      </w:r>
      <w:r>
        <w:t xml:space="preserve"> and, giving credence to the client in this regard, required that the attorney research those consequences and explain them. By prioritizing the importance to and impact on the client above the formal divide between the criminal case and its collateral consequences, </w:t>
      </w:r>
      <w:r w:rsidRPr="00613AA9">
        <w:rPr>
          <w:rStyle w:val="StyleUnderline"/>
        </w:rPr>
        <w:t>Padilla can and should motivate a return to first principles and a shift toward client-centered defense</w:t>
      </w:r>
      <w:r>
        <w:rPr>
          <w:rStyle w:val="StyleUnderline"/>
        </w:rPr>
        <w:t>.</w:t>
      </w:r>
    </w:p>
    <w:p w14:paraId="42DF7268" w14:textId="77777777" w:rsidR="00164723" w:rsidRDefault="00164723" w:rsidP="00164723">
      <w:pPr>
        <w:pStyle w:val="Heading4"/>
      </w:pPr>
      <w:r>
        <w:t xml:space="preserve">Padilla provides judicial precedent for the </w:t>
      </w:r>
      <w:proofErr w:type="spellStart"/>
      <w:r>
        <w:t>aff</w:t>
      </w:r>
      <w:proofErr w:type="spellEnd"/>
      <w:r>
        <w:t xml:space="preserve"> – it already ruled that collateral consequences should be a part of the sentencing process</w:t>
      </w:r>
    </w:p>
    <w:p w14:paraId="1134D221" w14:textId="77777777" w:rsidR="00164723" w:rsidRPr="001652FE" w:rsidRDefault="00164723" w:rsidP="00164723">
      <w:r w:rsidRPr="005665AD">
        <w:rPr>
          <w:rStyle w:val="Style13ptBold"/>
        </w:rPr>
        <w:t>Love 11</w:t>
      </w:r>
      <w:r>
        <w:t xml:space="preserve"> (</w:t>
      </w:r>
      <w:r w:rsidRPr="001652FE">
        <w:t>Margaret</w:t>
      </w:r>
      <w:r>
        <w:t xml:space="preserve">, Chair, Drafting Committee of the ABA Criminal Justice Standards on Collateral Sanctions and Discretionary Disqualification of Convicted Persons, “Collateral Consequences After Padilla v. Kentucky: From Punishment to Regulation,” </w:t>
      </w:r>
      <w:r w:rsidRPr="00DD215B">
        <w:t>Saint Louis University Public Law Review</w:t>
      </w:r>
      <w:r>
        <w:t xml:space="preserve">, </w:t>
      </w:r>
      <w:r w:rsidRPr="00DD215B">
        <w:t>https://scholarship.law.slu.edu/cgi/viewcontent.cgi?article=1132&amp;context=plr</w:t>
      </w:r>
      <w:r>
        <w:t>)</w:t>
      </w:r>
    </w:p>
    <w:p w14:paraId="326E075E" w14:textId="77777777" w:rsidR="00164723" w:rsidRDefault="00164723" w:rsidP="00164723">
      <w:r w:rsidRPr="000720C9">
        <w:rPr>
          <w:rStyle w:val="StyleUnderline"/>
        </w:rPr>
        <w:t xml:space="preserve">The Supreme Court’s decision in Padilla v. Kentucky in March 2010 struck even veteran Court-watchers as a bolt from the blue. In finding that a non-citizen defendant should have been advised by his lawyer that pleading guilty to drug charges would almost certainly result in his deportation, </w:t>
      </w:r>
      <w:r w:rsidRPr="000720C9">
        <w:rPr>
          <w:rStyle w:val="Emphasis"/>
        </w:rPr>
        <w:t>the Court for the first time extended the constitutional right to counsel</w:t>
      </w:r>
      <w:r w:rsidRPr="000720C9">
        <w:rPr>
          <w:rStyle w:val="StyleUnderline"/>
        </w:rPr>
        <w:t xml:space="preserve"> to the substance of a guilty plea and </w:t>
      </w:r>
      <w:r w:rsidRPr="000720C9">
        <w:rPr>
          <w:rStyle w:val="Emphasis"/>
        </w:rPr>
        <w:t>to a consequence of conviction that is not part of the court-imposed sentence</w:t>
      </w:r>
      <w:r w:rsidRPr="000720C9">
        <w:rPr>
          <w:rStyle w:val="StyleUnderline"/>
        </w:rPr>
        <w:t xml:space="preserve">. </w:t>
      </w:r>
      <w:r>
        <w:t xml:space="preserve">The concurring Justices, noting </w:t>
      </w:r>
      <w:r w:rsidRPr="00F75978">
        <w:rPr>
          <w:rStyle w:val="StyleUnderline"/>
        </w:rPr>
        <w:t>the “longstanding and unanimous position of the federal courts” that lawyers need not inform their clients about this “collateral” consequence of conviction, characterized the Court’s decision “a major upheaval in Sixth Amendment law</w:t>
      </w:r>
      <w:r>
        <w:t>” that “will lead to much confusion and needless litigation.”2</w:t>
      </w:r>
    </w:p>
    <w:p w14:paraId="421D70A6" w14:textId="77777777" w:rsidR="00164723" w:rsidRDefault="00164723" w:rsidP="00164723">
      <w:r>
        <w:t xml:space="preserve">The dissenters warned that the logic—and thus the reach—of the Court’s decision could not be limited “except by judicial caprice.” In retrospect, Padilla should not have come as such a surprise </w:t>
      </w:r>
      <w:proofErr w:type="gramStart"/>
      <w:r>
        <w:t>in light of</w:t>
      </w:r>
      <w:proofErr w:type="gramEnd"/>
      <w:r>
        <w:t xml:space="preserve"> two modern phenomena: the dominance of guilty pleas over trials in the disposition of criminal cases, and the large and growing role of conviction in overall regulatory policy. As to the first, Padilla has been explained in terms of the perceived need to regulate “a free market that sometimes resembled a Turkish Bazaar.”4 </w:t>
      </w:r>
      <w:r w:rsidRPr="001652FE">
        <w:rPr>
          <w:rStyle w:val="StyleUnderline"/>
        </w:rPr>
        <w:t>The decision thus represents an important step toward imposing constitutional discipline on a typically hidden and frequently one-sided process of negotiation that has become the norm for disposing of criminal cases</w:t>
      </w:r>
      <w:r>
        <w:t>.5</w:t>
      </w:r>
    </w:p>
    <w:p w14:paraId="5EE2D542" w14:textId="4820E356" w:rsidR="00164723" w:rsidRPr="00291F2A" w:rsidRDefault="00164723" w:rsidP="00513590">
      <w:pPr>
        <w:rPr>
          <w:b/>
          <w:u w:val="single"/>
        </w:rPr>
      </w:pPr>
      <w:r>
        <w:t xml:space="preserve">As to the second, </w:t>
      </w:r>
      <w:r w:rsidRPr="001652FE">
        <w:rPr>
          <w:rStyle w:val="StyleUnderline"/>
        </w:rPr>
        <w:t xml:space="preserve">Padilla recognizes the need to make participants in a criminal case aware of </w:t>
      </w:r>
      <w:r w:rsidRPr="001652FE">
        <w:rPr>
          <w:rStyle w:val="Emphasis"/>
        </w:rPr>
        <w:t>non-criminal “collateral” penalties that are frequently a crime’s most serious punishment</w:t>
      </w:r>
      <w:r w:rsidRPr="001652FE">
        <w:rPr>
          <w:rStyle w:val="StyleUnderline"/>
        </w:rPr>
        <w:t>. Until Padilla, the so called “collateral consequences doctrine” kept defendants considering a guilty plea in the dark about severe statutory or regulatory penalties like deportation</w:t>
      </w:r>
    </w:p>
    <w:p w14:paraId="4BE1AA22" w14:textId="1D797A6D" w:rsidR="00DC01EE" w:rsidRDefault="00DC01EE" w:rsidP="00DC01EE"/>
    <w:p w14:paraId="488478BD" w14:textId="22989DFF" w:rsidR="00860C59" w:rsidRDefault="00860C59" w:rsidP="00860C59">
      <w:pPr>
        <w:pStyle w:val="Heading3"/>
      </w:pPr>
      <w:r>
        <w:t>---AT: Limit Established in Padilla</w:t>
      </w:r>
    </w:p>
    <w:p w14:paraId="1D18C819" w14:textId="77777777" w:rsidR="00860C59" w:rsidRDefault="00860C59" w:rsidP="00860C59"/>
    <w:p w14:paraId="5AC12DF6" w14:textId="77777777" w:rsidR="00860C59" w:rsidRDefault="00860C59" w:rsidP="00860C59">
      <w:pPr>
        <w:pStyle w:val="Heading4"/>
      </w:pPr>
      <w:proofErr w:type="gramStart"/>
      <w:r>
        <w:t>That’s</w:t>
      </w:r>
      <w:proofErr w:type="gramEnd"/>
      <w:r>
        <w:t xml:space="preserve"> nonsense --- Alito and Scalia both disagreed </w:t>
      </w:r>
    </w:p>
    <w:p w14:paraId="400D3020" w14:textId="77777777" w:rsidR="00860C59" w:rsidRPr="00AC6AEF" w:rsidRDefault="00860C59" w:rsidP="00860C59"/>
    <w:p w14:paraId="54FC1BD5" w14:textId="77777777" w:rsidR="00860C59" w:rsidRPr="00B41CE1" w:rsidRDefault="00860C59" w:rsidP="00860C59">
      <w:pPr>
        <w:rPr>
          <w:rStyle w:val="Style13ptBold"/>
        </w:rPr>
      </w:pPr>
      <w:r w:rsidRPr="00B41CE1">
        <w:rPr>
          <w:rStyle w:val="Style13ptBold"/>
        </w:rPr>
        <w:t>Ewald ‘10</w:t>
      </w:r>
    </w:p>
    <w:p w14:paraId="66C49CE8" w14:textId="77777777" w:rsidR="00860C59" w:rsidRPr="00AC6AEF" w:rsidRDefault="00860C59" w:rsidP="00860C59">
      <w:r>
        <w:t xml:space="preserve">(Alec, Associate Professor American Politics and Constitutional Law. University of Vermont, Current research is on the “collateral consequences” of criminal convictions  “Deportation, Effective Counsel, and Collateral Sanctions: Padilla v. Kentucky (2010),” THE JUSTICE SYSTEM JOURNAL, VOL. 32, NUMBER 2 (2011), </w:t>
      </w:r>
      <w:proofErr w:type="spellStart"/>
      <w:r>
        <w:t>pg</w:t>
      </w:r>
      <w:proofErr w:type="spellEnd"/>
      <w:r>
        <w:t xml:space="preserve"> Taylor and Francis //um-</w:t>
      </w:r>
      <w:proofErr w:type="spellStart"/>
      <w:r>
        <w:t>ef</w:t>
      </w:r>
      <w:proofErr w:type="spellEnd"/>
      <w:r>
        <w:t>)</w:t>
      </w:r>
    </w:p>
    <w:p w14:paraId="4D4A4029" w14:textId="49F77DD4" w:rsidR="00860C59" w:rsidRPr="00642595" w:rsidRDefault="00860C59" w:rsidP="00860C59">
      <w:r w:rsidRPr="00AC6AEF">
        <w:rPr>
          <w:rStyle w:val="StyleUnderline"/>
        </w:rPr>
        <w:t>The concurring and dissenting opinions certainly questioned whether the ruling’s purported limits would hold</w:t>
      </w:r>
      <w:r>
        <w:t xml:space="preserve">. Justice </w:t>
      </w:r>
      <w:r w:rsidRPr="00AC6AEF">
        <w:rPr>
          <w:rStyle w:val="StyleUnderline"/>
        </w:rPr>
        <w:t>Alito pointedly observed that civil consequences such as disenfranchisement, forfeiture, and the loss of firearms rights and professional licenses are also “serious”—as are the reputational harms of a criminal conviction</w:t>
      </w:r>
      <w:r>
        <w:t xml:space="preserve"> (Padilla, p. 1488, J. Alito, concurring). Justice </w:t>
      </w:r>
      <w:r w:rsidRPr="00AC6AEF">
        <w:rPr>
          <w:rStyle w:val="StyleUnderline"/>
        </w:rPr>
        <w:t>Scalia wrote that “an obligation</w:t>
      </w:r>
      <w:r>
        <w:rPr>
          <w:rStyle w:val="StyleUnderline"/>
        </w:rPr>
        <w:t xml:space="preserve"> </w:t>
      </w:r>
      <w:r w:rsidRPr="00AC6AEF">
        <w:rPr>
          <w:rStyle w:val="StyleUnderline"/>
        </w:rPr>
        <w:t>to advise about a conviction’s collateral consequences has no logical stopping point</w:t>
      </w:r>
      <w:r>
        <w:t>”</w:t>
      </w:r>
      <w:r w:rsidR="00A4467A">
        <w:t xml:space="preserve"> </w:t>
      </w:r>
      <w:r>
        <w:t>(Padilla, p. 1496, J. Scalia, dissenting)</w:t>
      </w:r>
    </w:p>
    <w:p w14:paraId="3EFC64F1" w14:textId="1D2E1C09" w:rsidR="00CA4210" w:rsidRDefault="00CA4210" w:rsidP="00513590">
      <w:pPr>
        <w:rPr>
          <w:sz w:val="16"/>
        </w:rPr>
      </w:pPr>
    </w:p>
    <w:p w14:paraId="636C0537" w14:textId="7CFD43AC" w:rsidR="000B6749" w:rsidRDefault="004B6BD3" w:rsidP="004B6BD3">
      <w:pPr>
        <w:pStyle w:val="Heading3"/>
      </w:pPr>
      <w:r>
        <w:t>---Padilla S/O Now</w:t>
      </w:r>
    </w:p>
    <w:p w14:paraId="1B1A117A" w14:textId="521D2FB0" w:rsidR="004B6BD3" w:rsidRDefault="004B6BD3" w:rsidP="004B6BD3"/>
    <w:p w14:paraId="44BB5FE2" w14:textId="635A3EFC" w:rsidR="004B6BD3" w:rsidRDefault="004B6BD3" w:rsidP="004B6BD3"/>
    <w:p w14:paraId="182F3A3E" w14:textId="5BC00713" w:rsidR="004B6BD3" w:rsidRDefault="004B6BD3" w:rsidP="004B6BD3">
      <w:pPr>
        <w:pStyle w:val="Heading4"/>
      </w:pPr>
      <w:r>
        <w:t xml:space="preserve">And, Padilla already spilling-over to other CC’s --- the plan </w:t>
      </w:r>
      <w:proofErr w:type="gramStart"/>
      <w:r>
        <w:t>doesn’t</w:t>
      </w:r>
      <w:proofErr w:type="gramEnd"/>
      <w:r>
        <w:t xml:space="preserve"> alter the precedent in a UNIQUE way that triggers the </w:t>
      </w:r>
      <w:proofErr w:type="spellStart"/>
      <w:r>
        <w:t>disad</w:t>
      </w:r>
      <w:proofErr w:type="spellEnd"/>
    </w:p>
    <w:p w14:paraId="70DC55B7" w14:textId="33D5EF8B" w:rsidR="004B6BD3" w:rsidRDefault="004B6BD3" w:rsidP="004B6BD3"/>
    <w:p w14:paraId="6B9E3186" w14:textId="77777777" w:rsidR="004B6BD3" w:rsidRPr="00B41CE1" w:rsidRDefault="004B6BD3" w:rsidP="004B6BD3">
      <w:pPr>
        <w:rPr>
          <w:rStyle w:val="Style13ptBold"/>
        </w:rPr>
      </w:pPr>
      <w:r w:rsidRPr="00B41CE1">
        <w:rPr>
          <w:rStyle w:val="Style13ptBold"/>
        </w:rPr>
        <w:t>Ewald ‘10</w:t>
      </w:r>
    </w:p>
    <w:p w14:paraId="31538190" w14:textId="35A0E2E4" w:rsidR="004B6BD3" w:rsidRDefault="004B6BD3" w:rsidP="004B6BD3">
      <w:r>
        <w:t xml:space="preserve">(Alec, “Deportation, Effective Counsel, and Collateral Sanctions: Padilla v. Kentucky (2010),” THE JUSTICE SYSTEM JOURNAL, VOL. 32, NUMBER 2 (2011), </w:t>
      </w:r>
      <w:proofErr w:type="spellStart"/>
      <w:r>
        <w:t>pg</w:t>
      </w:r>
      <w:proofErr w:type="spellEnd"/>
      <w:r>
        <w:t xml:space="preserve"> Taylor and Francis //um-</w:t>
      </w:r>
      <w:proofErr w:type="spellStart"/>
      <w:r>
        <w:t>ef</w:t>
      </w:r>
      <w:proofErr w:type="spellEnd"/>
      <w:r>
        <w:t>)</w:t>
      </w:r>
    </w:p>
    <w:p w14:paraId="2B1CAA38" w14:textId="36FD2C98" w:rsidR="004B6BD3" w:rsidRPr="007824FD" w:rsidRDefault="004B6BD3" w:rsidP="004B6BD3">
      <w:pPr>
        <w:rPr>
          <w:sz w:val="14"/>
        </w:rPr>
      </w:pPr>
      <w:r w:rsidRPr="007824FD">
        <w:rPr>
          <w:sz w:val="14"/>
        </w:rPr>
        <w:t xml:space="preserve">Criticizing </w:t>
      </w:r>
      <w:r w:rsidRPr="007824FD">
        <w:rPr>
          <w:rStyle w:val="StyleUnderline"/>
        </w:rPr>
        <w:t>Padilla</w:t>
      </w:r>
      <w:r w:rsidRPr="007824FD">
        <w:rPr>
          <w:sz w:val="14"/>
        </w:rPr>
        <w:t xml:space="preserve"> as part of a Michigan Supreme Court proceeding related to setting up new rules for judges and attorneys, Justice Stephen J. Markman warned that</w:t>
      </w:r>
      <w:r w:rsidR="00291F2A" w:rsidRPr="007824FD">
        <w:rPr>
          <w:sz w:val="14"/>
        </w:rPr>
        <w:t xml:space="preserve"> </w:t>
      </w:r>
      <w:r w:rsidRPr="007824FD">
        <w:rPr>
          <w:sz w:val="14"/>
        </w:rPr>
        <w:t xml:space="preserve">the </w:t>
      </w:r>
      <w:r w:rsidRPr="007824FD">
        <w:rPr>
          <w:rStyle w:val="StyleUnderline"/>
        </w:rPr>
        <w:t>decision risked “opening up constitutional arguments that other possible collateral consequences of a guilty plea</w:t>
      </w:r>
      <w:r w:rsidRPr="007824FD">
        <w:rPr>
          <w:sz w:val="14"/>
        </w:rPr>
        <w:t xml:space="preserve">, </w:t>
      </w:r>
      <w:r w:rsidRPr="007824FD">
        <w:rPr>
          <w:rStyle w:val="Emphasis"/>
        </w:rPr>
        <w:t>to which there are no end</w:t>
      </w:r>
      <w:r w:rsidRPr="007824FD">
        <w:rPr>
          <w:sz w:val="14"/>
        </w:rPr>
        <w:t xml:space="preserve">, </w:t>
      </w:r>
      <w:r w:rsidRPr="007824FD">
        <w:rPr>
          <w:rStyle w:val="StyleUnderline"/>
        </w:rPr>
        <w:t>must also be the subject of</w:t>
      </w:r>
      <w:r w:rsidR="00291F2A" w:rsidRPr="007824FD">
        <w:rPr>
          <w:rStyle w:val="StyleUnderline"/>
        </w:rPr>
        <w:t xml:space="preserve"> </w:t>
      </w:r>
      <w:r w:rsidRPr="007824FD">
        <w:rPr>
          <w:rStyle w:val="StyleUnderline"/>
        </w:rPr>
        <w:t>warning and advice</w:t>
      </w:r>
      <w:r w:rsidRPr="007824FD">
        <w:rPr>
          <w:sz w:val="14"/>
        </w:rPr>
        <w:t>” (Michigan Supreme Court, 2010:4). A chief public defender in</w:t>
      </w:r>
      <w:r w:rsidR="00291F2A" w:rsidRPr="007824FD">
        <w:rPr>
          <w:sz w:val="14"/>
        </w:rPr>
        <w:t xml:space="preserve"> </w:t>
      </w:r>
      <w:r w:rsidRPr="007824FD">
        <w:rPr>
          <w:sz w:val="14"/>
        </w:rPr>
        <w:t xml:space="preserve">Minnesota noted he had “heard some concern among the defense bar” that </w:t>
      </w:r>
      <w:r w:rsidRPr="007824FD">
        <w:rPr>
          <w:rStyle w:val="Emphasis"/>
        </w:rPr>
        <w:t>Padilla</w:t>
      </w:r>
      <w:r w:rsidR="00291F2A" w:rsidRPr="007824FD">
        <w:rPr>
          <w:rStyle w:val="Emphasis"/>
        </w:rPr>
        <w:t xml:space="preserve"> </w:t>
      </w:r>
      <w:r w:rsidRPr="007824FD">
        <w:rPr>
          <w:rStyle w:val="Emphasis"/>
        </w:rPr>
        <w:t>could “expand into other areas as well,</w:t>
      </w:r>
      <w:r w:rsidRPr="007824FD">
        <w:rPr>
          <w:sz w:val="14"/>
        </w:rPr>
        <w:t xml:space="preserve"> resulting in attorneys being required to be</w:t>
      </w:r>
      <w:r w:rsidR="00291F2A" w:rsidRPr="007824FD">
        <w:rPr>
          <w:sz w:val="14"/>
        </w:rPr>
        <w:t xml:space="preserve"> </w:t>
      </w:r>
      <w:r w:rsidRPr="007824FD">
        <w:rPr>
          <w:sz w:val="14"/>
        </w:rPr>
        <w:t>aware of even more of the consequences of a plea or conviction” (Lore, 2010:3).</w:t>
      </w:r>
      <w:r w:rsidR="00291F2A" w:rsidRPr="007824FD">
        <w:rPr>
          <w:sz w:val="14"/>
        </w:rPr>
        <w:t xml:space="preserve"> </w:t>
      </w:r>
      <w:r w:rsidRPr="007824FD">
        <w:rPr>
          <w:sz w:val="14"/>
        </w:rPr>
        <w:t>Because of their severity and relatively narrow application, sex-offender restrictions</w:t>
      </w:r>
      <w:r w:rsidR="00291F2A" w:rsidRPr="007824FD">
        <w:rPr>
          <w:sz w:val="14"/>
        </w:rPr>
        <w:t xml:space="preserve"> </w:t>
      </w:r>
      <w:r w:rsidRPr="007824FD">
        <w:rPr>
          <w:sz w:val="14"/>
        </w:rPr>
        <w:t>may be the most likely candidates for an extension of Padilla (Love and Chin, 2010).</w:t>
      </w:r>
      <w:r w:rsidR="00291F2A" w:rsidRPr="007824FD">
        <w:rPr>
          <w:sz w:val="14"/>
        </w:rPr>
        <w:t xml:space="preserve"> </w:t>
      </w:r>
      <w:r w:rsidRPr="007824FD">
        <w:rPr>
          <w:sz w:val="14"/>
        </w:rPr>
        <w:t>Already, a Pennsylvania Superior Court facing an ineffective-counsel claim applied</w:t>
      </w:r>
      <w:r w:rsidR="00291F2A" w:rsidRPr="007824FD">
        <w:rPr>
          <w:sz w:val="14"/>
        </w:rPr>
        <w:t xml:space="preserve"> </w:t>
      </w:r>
      <w:r w:rsidRPr="007824FD">
        <w:rPr>
          <w:sz w:val="14"/>
        </w:rPr>
        <w:t>Padilla’s logic to a state law stripping pension benefits from a man convicted of indecent assault, and a ruling by the Eleventh Circuit Court of Appeals related to civil</w:t>
      </w:r>
      <w:r w:rsidR="00291F2A" w:rsidRPr="007824FD">
        <w:rPr>
          <w:sz w:val="14"/>
        </w:rPr>
        <w:t xml:space="preserve"> </w:t>
      </w:r>
      <w:r w:rsidRPr="007824FD">
        <w:rPr>
          <w:sz w:val="14"/>
        </w:rPr>
        <w:t>commitment cited Padilla in allowing a habeas petition to go forward (Commonwealth</w:t>
      </w:r>
      <w:r w:rsidR="00291F2A" w:rsidRPr="007824FD">
        <w:rPr>
          <w:sz w:val="14"/>
        </w:rPr>
        <w:t xml:space="preserve"> </w:t>
      </w:r>
      <w:r w:rsidRPr="007824FD">
        <w:rPr>
          <w:sz w:val="14"/>
        </w:rPr>
        <w:t xml:space="preserve">of Pennsylvania v. Abraham, 2010; </w:t>
      </w:r>
      <w:proofErr w:type="spellStart"/>
      <w:r w:rsidRPr="007824FD">
        <w:rPr>
          <w:sz w:val="14"/>
        </w:rPr>
        <w:t>Bauder</w:t>
      </w:r>
      <w:proofErr w:type="spellEnd"/>
      <w:r w:rsidRPr="007824FD">
        <w:rPr>
          <w:sz w:val="14"/>
        </w:rPr>
        <w:t xml:space="preserve"> v. Department of Corrections, 2010).</w:t>
      </w:r>
    </w:p>
    <w:p w14:paraId="1D9E1384" w14:textId="77777777" w:rsidR="000B6749" w:rsidRDefault="000B6749" w:rsidP="000B6749"/>
    <w:p w14:paraId="08FA1A2C" w14:textId="77777777" w:rsidR="000B6749" w:rsidRDefault="000B6749" w:rsidP="00513590">
      <w:pPr>
        <w:rPr>
          <w:sz w:val="16"/>
        </w:rPr>
      </w:pPr>
    </w:p>
    <w:p w14:paraId="587020C9" w14:textId="77777777" w:rsidR="00262277" w:rsidRPr="00B90C00" w:rsidRDefault="00262277" w:rsidP="00513590">
      <w:pPr>
        <w:rPr>
          <w:sz w:val="16"/>
        </w:rPr>
      </w:pPr>
    </w:p>
    <w:p w14:paraId="70AE6830" w14:textId="2D2D82CE" w:rsidR="00435814" w:rsidRDefault="00435814" w:rsidP="00346B42">
      <w:pPr>
        <w:pStyle w:val="Heading3"/>
      </w:pPr>
      <w:r>
        <w:t xml:space="preserve">2AC </w:t>
      </w:r>
      <w:r w:rsidR="00925B19">
        <w:t xml:space="preserve">– </w:t>
      </w:r>
      <w:r>
        <w:t>AT: Plan Breaks Precedent</w:t>
      </w:r>
    </w:p>
    <w:p w14:paraId="45FFD24E" w14:textId="77777777" w:rsidR="00346B42" w:rsidRPr="00346B42" w:rsidRDefault="00346B42" w:rsidP="00346B42"/>
    <w:p w14:paraId="6DDFF3F1" w14:textId="29A494AB" w:rsidR="00435814" w:rsidRDefault="00435814" w:rsidP="00435814">
      <w:pPr>
        <w:pStyle w:val="Heading4"/>
      </w:pPr>
      <w:r>
        <w:t xml:space="preserve">Padilla’s case proves the status quo necessitates further progress, which is ONLY made possible via the </w:t>
      </w:r>
      <w:proofErr w:type="spellStart"/>
      <w:r>
        <w:t>aff</w:t>
      </w:r>
      <w:proofErr w:type="spellEnd"/>
    </w:p>
    <w:p w14:paraId="29E8289B" w14:textId="77777777" w:rsidR="00291F2A" w:rsidRPr="00291F2A" w:rsidRDefault="00291F2A" w:rsidP="00291F2A"/>
    <w:p w14:paraId="439E6427" w14:textId="77777777" w:rsidR="00435814" w:rsidRPr="00FD5DD1" w:rsidRDefault="00435814" w:rsidP="00435814">
      <w:pPr>
        <w:rPr>
          <w:sz w:val="20"/>
          <w:szCs w:val="20"/>
        </w:rPr>
      </w:pPr>
      <w:proofErr w:type="spellStart"/>
      <w:r w:rsidRPr="00C72238">
        <w:rPr>
          <w:rStyle w:val="Style13ptBold"/>
        </w:rPr>
        <w:t>Macdowell</w:t>
      </w:r>
      <w:proofErr w:type="spellEnd"/>
      <w:r w:rsidRPr="00C72238">
        <w:rPr>
          <w:rStyle w:val="Style13ptBold"/>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68"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2E7512E5" w14:textId="77777777" w:rsidR="00435814" w:rsidRPr="00D11E04" w:rsidRDefault="00435814" w:rsidP="00435814">
      <w:pPr>
        <w:rPr>
          <w:b/>
          <w:bCs/>
          <w:u w:val="single"/>
        </w:rPr>
      </w:pPr>
      <w:r w:rsidRPr="00B90C00">
        <w:rPr>
          <w:sz w:val="16"/>
        </w:rPr>
        <w:t xml:space="preserve">In 2010, the Supreme Court addressed whether a defendant needed to be informed of the collateral consequence of deportation that would follow a conviction. </w:t>
      </w:r>
      <w:proofErr w:type="gramStart"/>
      <w:r w:rsidRPr="00D11E04">
        <w:rPr>
          <w:b/>
          <w:bCs/>
          <w:u w:val="single"/>
        </w:rPr>
        <w:t>In  Padilla</w:t>
      </w:r>
      <w:proofErr w:type="gramEnd"/>
      <w:r w:rsidRPr="00D11E04">
        <w:rPr>
          <w:b/>
          <w:bCs/>
          <w:u w:val="single"/>
        </w:rPr>
        <w:t xml:space="preserve"> v. Kentucky</w:t>
      </w:r>
      <w:r w:rsidRPr="00B90C00">
        <w:rPr>
          <w:sz w:val="16"/>
        </w:rPr>
        <w:t>,     203</w:t>
      </w:r>
      <w:r w:rsidRPr="00D11E04">
        <w:rPr>
          <w:b/>
          <w:bCs/>
          <w:u w:val="single"/>
        </w:rPr>
        <w:t>the defendant was not informed by</w:t>
      </w:r>
      <w:r w:rsidRPr="00B90C00">
        <w:rPr>
          <w:sz w:val="16"/>
        </w:rPr>
        <w:t xml:space="preserve">  [*831] </w:t>
      </w:r>
      <w:r w:rsidRPr="00D11E04">
        <w:rPr>
          <w:b/>
          <w:bCs/>
          <w:u w:val="single"/>
        </w:rPr>
        <w:t>counsel that he would be deported under the Immigration Act of 1917 if he entered a guilty plea for drug charges.</w:t>
      </w:r>
      <w:r w:rsidRPr="00B90C00">
        <w:rPr>
          <w:sz w:val="16"/>
        </w:rPr>
        <w:t xml:space="preserve">     </w:t>
      </w:r>
      <w:r w:rsidRPr="00D11E04">
        <w:rPr>
          <w:b/>
          <w:bCs/>
          <w:u w:val="single"/>
        </w:rPr>
        <w:t>204</w:t>
      </w:r>
      <w:proofErr w:type="gramStart"/>
      <w:r w:rsidRPr="00D11E04">
        <w:rPr>
          <w:b/>
          <w:bCs/>
          <w:u w:val="single"/>
        </w:rPr>
        <w:t>The  Padilla</w:t>
      </w:r>
      <w:proofErr w:type="gramEnd"/>
      <w:r w:rsidRPr="00D11E04">
        <w:rPr>
          <w:b/>
          <w:bCs/>
          <w:u w:val="single"/>
        </w:rPr>
        <w:t xml:space="preserve"> Court held that the Sixth Amendment requires counsel to inform clients of the collateral consequence of deportation when discussing pleas</w:t>
      </w:r>
      <w:r w:rsidRPr="00B90C00">
        <w:rPr>
          <w:sz w:val="16"/>
        </w:rPr>
        <w:t xml:space="preserve">.     205   </w:t>
      </w:r>
      <w:proofErr w:type="gramStart"/>
      <w:r w:rsidRPr="00B90C00">
        <w:rPr>
          <w:sz w:val="16"/>
        </w:rPr>
        <w:t>In  Padilla</w:t>
      </w:r>
      <w:proofErr w:type="gramEnd"/>
      <w:r w:rsidRPr="00B90C00">
        <w:rPr>
          <w:sz w:val="16"/>
        </w:rPr>
        <w:t xml:space="preserve">, the Court explained that because deportation is a particularly severe penalty that is essentially automatic following a criminal conviction, </w:t>
      </w:r>
      <w:r w:rsidRPr="00D11E04">
        <w:rPr>
          <w:b/>
          <w:bCs/>
          <w:u w:val="single"/>
        </w:rPr>
        <w:t>it is difficult to divorce the civil deportation consequences from the conviction.</w:t>
      </w:r>
      <w:r w:rsidRPr="00B90C00">
        <w:rPr>
          <w:sz w:val="16"/>
        </w:rPr>
        <w:t xml:space="preserve">     206The Court explained that while deportation is a consequence of a criminal conviction, it is a difficult penalty to classify as direct or collateral.     207The Court continued to explain that "the collateral versus direct distinction is thus ill suited to evaluating" a competence-of-counsel claim.     208   </w:t>
      </w:r>
      <w:r w:rsidRPr="00D11E04">
        <w:rPr>
          <w:b/>
          <w:bCs/>
          <w:u w:val="single"/>
        </w:rPr>
        <w:t xml:space="preserve">While </w:t>
      </w:r>
      <w:proofErr w:type="gramStart"/>
      <w:r w:rsidRPr="00D11E04">
        <w:rPr>
          <w:b/>
          <w:bCs/>
          <w:u w:val="single"/>
        </w:rPr>
        <w:t>the  Padilla</w:t>
      </w:r>
      <w:proofErr w:type="gramEnd"/>
      <w:r w:rsidRPr="00D11E04">
        <w:rPr>
          <w:b/>
          <w:bCs/>
          <w:u w:val="single"/>
        </w:rPr>
        <w:t xml:space="preserve"> Court did not hold that all collateral consequences must be given consideration or that the Sixth Amendment requires counsel to inform clients of all collateral consequences, the Supreme Court acknowledged the severity of the collateral consequence of deportation.</w:t>
      </w:r>
      <w:r w:rsidRPr="00B90C00">
        <w:rPr>
          <w:sz w:val="16"/>
        </w:rPr>
        <w:t xml:space="preserve">     209Additionally, some believe </w:t>
      </w:r>
      <w:proofErr w:type="gramStart"/>
      <w:r w:rsidRPr="00B90C00">
        <w:rPr>
          <w:sz w:val="16"/>
        </w:rPr>
        <w:t>that  Padilla</w:t>
      </w:r>
      <w:proofErr w:type="gramEnd"/>
      <w:r w:rsidRPr="00B90C00">
        <w:rPr>
          <w:sz w:val="16"/>
        </w:rPr>
        <w:t xml:space="preserve"> muddied the distinction between direct and formal collateral consequences.     </w:t>
      </w:r>
      <w:r w:rsidRPr="00B655C2">
        <w:rPr>
          <w:rStyle w:val="Emphasis"/>
        </w:rPr>
        <w:t>210The Court's signal</w:t>
      </w:r>
      <w:r w:rsidRPr="00D11E04">
        <w:rPr>
          <w:b/>
          <w:bCs/>
          <w:u w:val="single"/>
        </w:rPr>
        <w:t xml:space="preserve"> </w:t>
      </w:r>
      <w:proofErr w:type="gramStart"/>
      <w:r w:rsidRPr="00D11E04">
        <w:rPr>
          <w:b/>
          <w:bCs/>
          <w:u w:val="single"/>
        </w:rPr>
        <w:t>in  Padilla</w:t>
      </w:r>
      <w:proofErr w:type="gramEnd"/>
      <w:r w:rsidRPr="00D11E04">
        <w:rPr>
          <w:b/>
          <w:bCs/>
          <w:u w:val="single"/>
        </w:rPr>
        <w:t xml:space="preserve"> of the deterioration of the direct/collateral consequence distinction indicates that </w:t>
      </w:r>
      <w:r w:rsidRPr="00B655C2">
        <w:rPr>
          <w:rStyle w:val="Emphasis"/>
        </w:rPr>
        <w:t>the Supreme Court believes collateral consequences can be part of a sentence.</w:t>
      </w:r>
      <w:r w:rsidRPr="00B90C00">
        <w:rPr>
          <w:sz w:val="16"/>
        </w:rPr>
        <w:t xml:space="preserve"> Thus, </w:t>
      </w:r>
      <w:r w:rsidRPr="00D11E04">
        <w:rPr>
          <w:b/>
          <w:bCs/>
          <w:u w:val="single"/>
        </w:rPr>
        <w:t>a judge's consideration of informal collateral consequences that are severe enough to equate to a form of punishment i</w:t>
      </w:r>
      <w:r w:rsidRPr="00B655C2">
        <w:rPr>
          <w:rStyle w:val="Emphasis"/>
        </w:rPr>
        <w:t xml:space="preserve">s consistent with the Supreme Court's reasoning </w:t>
      </w:r>
      <w:proofErr w:type="gramStart"/>
      <w:r w:rsidRPr="00B655C2">
        <w:rPr>
          <w:rStyle w:val="Emphasis"/>
        </w:rPr>
        <w:t>in  Padilla</w:t>
      </w:r>
      <w:proofErr w:type="gramEnd"/>
      <w:r w:rsidRPr="00B655C2">
        <w:rPr>
          <w:rStyle w:val="Emphasis"/>
        </w:rPr>
        <w:t>.</w:t>
      </w:r>
      <w:r w:rsidRPr="00D11E04">
        <w:rPr>
          <w:b/>
          <w:bCs/>
          <w:u w:val="single"/>
        </w:rPr>
        <w:t xml:space="preserve"> </w:t>
      </w:r>
    </w:p>
    <w:p w14:paraId="78AF1B12" w14:textId="79D0B07A" w:rsidR="00435814" w:rsidRDefault="00851B0E" w:rsidP="00851B0E">
      <w:pPr>
        <w:pStyle w:val="Heading4"/>
      </w:pPr>
      <w:r>
        <w:t>And, Padilla broke with precedent, was supported by conservatives AND by Roberts --- all your looks are mine</w:t>
      </w:r>
    </w:p>
    <w:p w14:paraId="00BB00D7" w14:textId="34DF9EFB" w:rsidR="00851B0E" w:rsidRDefault="00851B0E" w:rsidP="00435814"/>
    <w:p w14:paraId="01E2D5FC" w14:textId="7A4C2832" w:rsidR="00851B0E" w:rsidRDefault="00851B0E" w:rsidP="00435814">
      <w:pPr>
        <w:rPr>
          <w:rStyle w:val="Style13ptBold"/>
        </w:rPr>
      </w:pPr>
      <w:r>
        <w:rPr>
          <w:rStyle w:val="Style13ptBold"/>
        </w:rPr>
        <w:t>Fallon ‘13</w:t>
      </w:r>
    </w:p>
    <w:p w14:paraId="56AEF1FC" w14:textId="7583603C" w:rsidR="00851B0E" w:rsidRPr="00346B42" w:rsidRDefault="00851B0E" w:rsidP="00346B42">
      <w:r w:rsidRPr="00346B42">
        <w:t xml:space="preserve">(Christine, Reporter of Decisions, “United States Reports, Volume 568,” </w:t>
      </w:r>
      <w:proofErr w:type="spellStart"/>
      <w:r w:rsidRPr="00346B42">
        <w:t>pg</w:t>
      </w:r>
      <w:proofErr w:type="spellEnd"/>
      <w:r w:rsidRPr="00346B42">
        <w:t xml:space="preserve"> 343 //um-</w:t>
      </w:r>
      <w:proofErr w:type="spellStart"/>
      <w:r w:rsidRPr="00346B42">
        <w:t>ef</w:t>
      </w:r>
      <w:proofErr w:type="spellEnd"/>
      <w:r w:rsidRPr="00346B42">
        <w:t>)</w:t>
      </w:r>
    </w:p>
    <w:p w14:paraId="1143A062" w14:textId="33489217" w:rsidR="00851B0E" w:rsidRPr="00925B19" w:rsidRDefault="00851B0E" w:rsidP="00435814">
      <w:pPr>
        <w:rPr>
          <w:sz w:val="12"/>
        </w:rPr>
      </w:pPr>
      <w:r w:rsidRPr="00851B0E">
        <w:rPr>
          <w:rStyle w:val="StyleUnderline"/>
        </w:rPr>
        <w:t xml:space="preserve">That preliminary question came to the Court </w:t>
      </w:r>
      <w:r w:rsidRPr="00851B0E">
        <w:rPr>
          <w:rStyle w:val="Emphasis"/>
        </w:rPr>
        <w:t>unsettled</w:t>
      </w:r>
      <w:r w:rsidRPr="00851B0E">
        <w:rPr>
          <w:sz w:val="12"/>
        </w:rPr>
        <w:t xml:space="preserve">. </w:t>
      </w:r>
      <w:r w:rsidRPr="00851B0E">
        <w:rPr>
          <w:rStyle w:val="StyleUnderline"/>
        </w:rPr>
        <w:t>Hill v. Lock-hart</w:t>
      </w:r>
      <w:r w:rsidRPr="00851B0E">
        <w:rPr>
          <w:sz w:val="12"/>
        </w:rPr>
        <w:t xml:space="preserve">, 474 U. S. 52, </w:t>
      </w:r>
      <w:r w:rsidRPr="00851B0E">
        <w:rPr>
          <w:rStyle w:val="Emphasis"/>
        </w:rPr>
        <w:t>had explicitly left open whether the Sixth Amendment right extends to collateral consequences</w:t>
      </w:r>
      <w:r w:rsidRPr="00851B0E">
        <w:rPr>
          <w:sz w:val="12"/>
        </w:rPr>
        <w:t xml:space="preserve">. </w:t>
      </w:r>
      <w:r w:rsidRPr="00851B0E">
        <w:rPr>
          <w:rStyle w:val="StyleUnderline"/>
        </w:rPr>
        <w:t>That left the issue to the state and lower federal courts</w:t>
      </w:r>
      <w:r w:rsidRPr="00851B0E">
        <w:rPr>
          <w:sz w:val="12"/>
        </w:rPr>
        <w:t xml:space="preserve">, and they almost unanimously concluded that the Sixth Amendment does not require attorneys to inform their clients of a conviction's collateral consequences, including deportation. </w:t>
      </w:r>
      <w:r w:rsidRPr="00851B0E">
        <w:rPr>
          <w:rStyle w:val="Emphasis"/>
        </w:rPr>
        <w:t>Padilla's contrary ruling thus answered an open question about the Sixth Amendment's reach</w:t>
      </w:r>
      <w:r w:rsidRPr="00851B0E">
        <w:rPr>
          <w:sz w:val="12"/>
        </w:rPr>
        <w:t xml:space="preserve">, </w:t>
      </w:r>
      <w:r w:rsidRPr="00851B0E">
        <w:rPr>
          <w:rStyle w:val="StyleUnderline"/>
        </w:rPr>
        <w:t>in a way that</w:t>
      </w:r>
      <w:r w:rsidRPr="00851B0E">
        <w:rPr>
          <w:sz w:val="12"/>
        </w:rPr>
        <w:t xml:space="preserve"> </w:t>
      </w:r>
      <w:r w:rsidRPr="00851B0E">
        <w:rPr>
          <w:rStyle w:val="Emphasis"/>
        </w:rPr>
        <w:t>altered the law of most jurisdictions</w:t>
      </w:r>
      <w:r w:rsidRPr="00851B0E">
        <w:rPr>
          <w:sz w:val="12"/>
        </w:rPr>
        <w:t xml:space="preserve">. </w:t>
      </w:r>
      <w:r w:rsidRPr="00851B0E">
        <w:rPr>
          <w:rStyle w:val="StyleUnderline"/>
        </w:rPr>
        <w:t>In so doing</w:t>
      </w:r>
      <w:r w:rsidRPr="00851B0E">
        <w:rPr>
          <w:sz w:val="12"/>
        </w:rPr>
        <w:t xml:space="preserve">, </w:t>
      </w:r>
      <w:r w:rsidRPr="00851B0E">
        <w:rPr>
          <w:rStyle w:val="Emphasis"/>
        </w:rPr>
        <w:t>Padilla broke new ground</w:t>
      </w:r>
      <w:r w:rsidRPr="00851B0E">
        <w:rPr>
          <w:sz w:val="12"/>
        </w:rPr>
        <w:t xml:space="preserve"> </w:t>
      </w:r>
      <w:r w:rsidRPr="00851B0E">
        <w:rPr>
          <w:rStyle w:val="Emphasis"/>
        </w:rPr>
        <w:t>and imposed a new obligation</w:t>
      </w:r>
      <w:r w:rsidRPr="00851B0E">
        <w:rPr>
          <w:sz w:val="12"/>
        </w:rPr>
        <w:t xml:space="preserve">. Pp. 347-354. (b) </w:t>
      </w:r>
      <w:proofErr w:type="spellStart"/>
      <w:r w:rsidRPr="00851B0E">
        <w:rPr>
          <w:sz w:val="12"/>
        </w:rPr>
        <w:t>Chaidez</w:t>
      </w:r>
      <w:proofErr w:type="spellEnd"/>
      <w:r w:rsidRPr="00851B0E">
        <w:rPr>
          <w:sz w:val="12"/>
        </w:rPr>
        <w:t xml:space="preserve"> argues that Padilla did no more than apply Strickland to a new set of facts. But she ignores that </w:t>
      </w:r>
      <w:r w:rsidRPr="00851B0E">
        <w:rPr>
          <w:rStyle w:val="StyleUnderline"/>
        </w:rPr>
        <w:t>Padilla had to develop new law to determine that Strickland applied at all</w:t>
      </w:r>
      <w:r w:rsidRPr="00851B0E">
        <w:rPr>
          <w:sz w:val="12"/>
        </w:rPr>
        <w:t xml:space="preserve">. The few lower court decisions she cites held only that a lawyer may not affirmatively misrepresent his expertise or otherwise actively mislead his client as to any important matter. Those rulings do not apply to her case, and they do not show that all reasonable judges thought that lawyers had to advise their clients about deportation risks. Neither does INS v. St. Cyr% 533 U. S. 289, have any relevance here. In saying that a reasonably competent lawyer would tell a non-citizen client about a guilty plea's deportation consequences, St. Cyr did not determine that the Sixth Amendment requires a lawyer to provide such information. It took Padilla to decide that question. Pp. 354-358. 655 F. 3d 684, affirmed. </w:t>
      </w:r>
      <w:r w:rsidRPr="00851B0E">
        <w:rPr>
          <w:rStyle w:val="StyleUnderline"/>
        </w:rPr>
        <w:t>Kagan</w:t>
      </w:r>
      <w:r w:rsidRPr="00851B0E">
        <w:rPr>
          <w:sz w:val="12"/>
        </w:rPr>
        <w:t xml:space="preserve">, </w:t>
      </w:r>
      <w:proofErr w:type="spellStart"/>
      <w:r w:rsidRPr="00851B0E">
        <w:rPr>
          <w:sz w:val="12"/>
        </w:rPr>
        <w:t>J.f</w:t>
      </w:r>
      <w:proofErr w:type="spellEnd"/>
      <w:r w:rsidRPr="00851B0E">
        <w:rPr>
          <w:sz w:val="12"/>
        </w:rPr>
        <w:t xml:space="preserve"> </w:t>
      </w:r>
      <w:r w:rsidRPr="00851B0E">
        <w:rPr>
          <w:rStyle w:val="StyleUnderline"/>
        </w:rPr>
        <w:t>delivered the opinion of the Court, in which Roberts, C. J., and Scalia, Kennedy, Breyer, and A</w:t>
      </w:r>
      <w:r>
        <w:rPr>
          <w:rStyle w:val="StyleUnderline"/>
        </w:rPr>
        <w:t>li</w:t>
      </w:r>
      <w:r w:rsidRPr="00851B0E">
        <w:rPr>
          <w:rStyle w:val="StyleUnderline"/>
        </w:rPr>
        <w:t>to, JJ., joined</w:t>
      </w:r>
      <w:r w:rsidRPr="00851B0E">
        <w:rPr>
          <w:sz w:val="12"/>
        </w:rPr>
        <w:t xml:space="preserve">. Thomas, J., filed an opinion concurring in the judgment, post, p. 358. </w:t>
      </w:r>
      <w:r w:rsidRPr="00851B0E">
        <w:rPr>
          <w:rStyle w:val="StyleUnderline"/>
        </w:rPr>
        <w:t>Sotomayor, J., filed a dissenting opinion</w:t>
      </w:r>
      <w:r w:rsidRPr="00851B0E">
        <w:rPr>
          <w:sz w:val="12"/>
        </w:rPr>
        <w:t xml:space="preserve">, </w:t>
      </w:r>
      <w:r w:rsidRPr="00851B0E">
        <w:rPr>
          <w:rStyle w:val="StyleUnderline"/>
        </w:rPr>
        <w:t xml:space="preserve">in which </w:t>
      </w:r>
      <w:proofErr w:type="spellStart"/>
      <w:r w:rsidRPr="00851B0E">
        <w:rPr>
          <w:rStyle w:val="StyleUnderline"/>
        </w:rPr>
        <w:t>GlNSBURG</w:t>
      </w:r>
      <w:proofErr w:type="spellEnd"/>
      <w:r w:rsidRPr="00851B0E">
        <w:rPr>
          <w:rStyle w:val="StyleUnderline"/>
        </w:rPr>
        <w:t>, J., joined</w:t>
      </w:r>
      <w:r w:rsidRPr="00851B0E">
        <w:rPr>
          <w:sz w:val="12"/>
        </w:rPr>
        <w:t>, post, p. 359.</w:t>
      </w:r>
    </w:p>
    <w:p w14:paraId="2388E28F" w14:textId="0233E064" w:rsidR="00925B19" w:rsidRDefault="00925B19" w:rsidP="00925B19">
      <w:pPr>
        <w:pStyle w:val="Heading4"/>
      </w:pPr>
      <w:r>
        <w:t>Consideration of collateral consequences within a sentence solves for the circuit split and is based within precedent</w:t>
      </w:r>
    </w:p>
    <w:p w14:paraId="1B341EF1" w14:textId="77777777" w:rsidR="00346B42" w:rsidRPr="00346B42" w:rsidRDefault="00346B42" w:rsidP="00346B42"/>
    <w:p w14:paraId="55684E4E" w14:textId="77777777" w:rsidR="00925B19" w:rsidRPr="00FD5DD1" w:rsidRDefault="00925B19" w:rsidP="00925B19">
      <w:pPr>
        <w:rPr>
          <w:sz w:val="20"/>
          <w:szCs w:val="20"/>
        </w:rPr>
      </w:pPr>
      <w:proofErr w:type="spellStart"/>
      <w:r w:rsidRPr="005665AD">
        <w:rPr>
          <w:rStyle w:val="Style13ptBold"/>
        </w:rPr>
        <w:t>Macdowell</w:t>
      </w:r>
      <w:proofErr w:type="spellEnd"/>
      <w:r w:rsidRPr="005665AD">
        <w:rPr>
          <w:rStyle w:val="Style13ptBold"/>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69"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1D90F5AF" w14:textId="77777777" w:rsidR="00925B19" w:rsidRDefault="00925B19" w:rsidP="00925B19">
      <w:pPr>
        <w:rPr>
          <w:sz w:val="16"/>
        </w:rPr>
      </w:pPr>
      <w:r w:rsidRPr="00B90C00">
        <w:rPr>
          <w:sz w:val="16"/>
        </w:rPr>
        <w:t xml:space="preserve">IV. Recommendation on How to Resolve the Circuit Split and How to Improve Proportionality of Criminal Sentences Despite the positive effect of Ban the Box legislation on the impact of one collateral consequence to ex-offenders, </w:t>
      </w:r>
      <w:r w:rsidRPr="00D11E04">
        <w:rPr>
          <w:b/>
          <w:bCs/>
          <w:u w:val="single"/>
        </w:rPr>
        <w:t>Ban the Box legislation</w:t>
      </w:r>
      <w:r w:rsidRPr="00B90C00">
        <w:rPr>
          <w:sz w:val="16"/>
        </w:rPr>
        <w:t xml:space="preserve"> should not be as necessary as it is presently and </w:t>
      </w:r>
      <w:r w:rsidRPr="00D11E04">
        <w:rPr>
          <w:b/>
          <w:bCs/>
          <w:u w:val="single"/>
        </w:rPr>
        <w:t>is not the answer to the problem</w:t>
      </w:r>
      <w:r w:rsidRPr="00B90C00">
        <w:rPr>
          <w:sz w:val="16"/>
        </w:rPr>
        <w:t xml:space="preserve">. Instead, </w:t>
      </w:r>
      <w:r w:rsidRPr="00D11E04">
        <w:rPr>
          <w:b/>
          <w:bCs/>
          <w:u w:val="single"/>
        </w:rPr>
        <w:t>the problem</w:t>
      </w:r>
      <w:r w:rsidRPr="00B90C00">
        <w:rPr>
          <w:sz w:val="16"/>
        </w:rPr>
        <w:t xml:space="preserve"> of collateral consequences arising from sentences </w:t>
      </w:r>
      <w:r w:rsidRPr="00D11E04">
        <w:rPr>
          <w:b/>
          <w:bCs/>
          <w:u w:val="single"/>
        </w:rPr>
        <w:t xml:space="preserve">should be addressed </w:t>
      </w:r>
      <w:r w:rsidRPr="00D11E04">
        <w:rPr>
          <w:rStyle w:val="Emphasis"/>
        </w:rPr>
        <w:t>at sentencing</w:t>
      </w:r>
      <w:r w:rsidRPr="00B90C00">
        <w:rPr>
          <w:sz w:val="16"/>
        </w:rPr>
        <w:t xml:space="preserve">. </w:t>
      </w:r>
      <w:r w:rsidRPr="00D11E04">
        <w:rPr>
          <w:b/>
          <w:bCs/>
          <w:u w:val="single"/>
        </w:rPr>
        <w:t xml:space="preserve">If federal judges can better consider what felony convictions mean </w:t>
      </w:r>
      <w:proofErr w:type="gramStart"/>
      <w:r w:rsidRPr="00D11E04">
        <w:rPr>
          <w:b/>
          <w:bCs/>
          <w:u w:val="single"/>
        </w:rPr>
        <w:t>as a whole when</w:t>
      </w:r>
      <w:proofErr w:type="gramEnd"/>
      <w:r w:rsidRPr="00D11E04">
        <w:rPr>
          <w:b/>
          <w:bCs/>
          <w:u w:val="single"/>
        </w:rPr>
        <w:t xml:space="preserve"> sentencing, there would be less need for Ban the Box legislation</w:t>
      </w:r>
      <w:r w:rsidRPr="00B90C00">
        <w:rPr>
          <w:sz w:val="16"/>
        </w:rPr>
        <w:t xml:space="preserve">. Therefore, </w:t>
      </w:r>
      <w:r w:rsidRPr="00D11E04">
        <w:rPr>
          <w:b/>
          <w:bCs/>
          <w:u w:val="single"/>
        </w:rPr>
        <w:t>federal judges should</w:t>
      </w:r>
      <w:r w:rsidRPr="00B90C00">
        <w:rPr>
          <w:sz w:val="16"/>
        </w:rPr>
        <w:t xml:space="preserve"> follow the lead of the Second and Fourth Circuits and </w:t>
      </w:r>
      <w:r w:rsidRPr="00D11E04">
        <w:rPr>
          <w:rStyle w:val="Emphasis"/>
        </w:rPr>
        <w:t>consider collateral consequences when sentencing</w:t>
      </w:r>
      <w:r w:rsidRPr="00D11E04">
        <w:rPr>
          <w:b/>
          <w:bCs/>
          <w:u w:val="single"/>
        </w:rPr>
        <w:t>.</w:t>
      </w:r>
      <w:r w:rsidRPr="00B90C00">
        <w:rPr>
          <w:sz w:val="16"/>
        </w:rPr>
        <w:t xml:space="preserve"> A. Recommended Treatment of Collateral Consequences for Sentencing Purposes </w:t>
      </w:r>
      <w:r w:rsidRPr="00D11E04">
        <w:rPr>
          <w:b/>
          <w:bCs/>
          <w:u w:val="single"/>
        </w:rPr>
        <w:t>While collateral consequences are not directly part of a sentence</w:t>
      </w:r>
      <w:r w:rsidRPr="00B90C00">
        <w:rPr>
          <w:sz w:val="16"/>
        </w:rPr>
        <w:t xml:space="preserve"> - unlike imprisonment, probation, or fines - </w:t>
      </w:r>
      <w:r w:rsidRPr="00D11E04">
        <w:rPr>
          <w:b/>
          <w:bCs/>
          <w:u w:val="single"/>
        </w:rPr>
        <w:t>many scholars argue that these consequences carry punitive weight, are a form of punishment, and thus should be considered part of a sentence</w:t>
      </w:r>
      <w:r w:rsidRPr="00B90C00">
        <w:rPr>
          <w:sz w:val="16"/>
        </w:rPr>
        <w:t xml:space="preserve">. 181 1. Consideration of Collateral Consequences Is Consistent with the Federal Sentencing Guidelines The 2016 Federal Sentencing Guidelines provide, in 18 U.S.C. § 3553(b), that if "a particular case presents atypical features, the Act allows the court to depart from the guidelines and sentence outside the pre-scribed [*829] range. In that case, the court must specify reasons for departure." 182Moreover, 18 U.S.C. § 3553(a) provides several factors that federal judges can consider when sentencing under the Sentencing Guidelines. 183 </w:t>
      </w:r>
      <w:r w:rsidRPr="00D11E04">
        <w:rPr>
          <w:b/>
          <w:bCs/>
          <w:u w:val="single"/>
        </w:rPr>
        <w:t>Collateral consequences should already be considered by courts under 18 U.S.C. § 3553</w:t>
      </w:r>
      <w:r w:rsidRPr="00B90C00">
        <w:rPr>
          <w:sz w:val="16"/>
        </w:rPr>
        <w:t xml:space="preserve">(a)(2)(A). 184Considering collateral consequences under this subparagraph of § 3553 could reasonably result in a variance if the sentencing judge determines that the consequence is significant enough. Under § 3553(a)(2)(A), </w:t>
      </w:r>
      <w:r w:rsidRPr="00D11E04">
        <w:rPr>
          <w:b/>
          <w:bCs/>
          <w:u w:val="single"/>
        </w:rPr>
        <w:t>collateral consequences must be considered to adequately "provide just punishment for the offense.</w:t>
      </w:r>
      <w:r w:rsidRPr="00B90C00">
        <w:rPr>
          <w:sz w:val="16"/>
        </w:rPr>
        <w:t>" 185</w:t>
      </w:r>
      <w:r w:rsidRPr="00D11E04">
        <w:rPr>
          <w:b/>
          <w:bCs/>
          <w:u w:val="single"/>
        </w:rPr>
        <w:t>If collateral consequences are not considered, then the combination of collateral consequences and the imposed sentence could punish offenders more than is required</w:t>
      </w:r>
      <w:r w:rsidRPr="00B90C00">
        <w:rPr>
          <w:sz w:val="16"/>
        </w:rPr>
        <w:t xml:space="preserve">. Doing so could make the punishment disproportionate to the crime. 2. </w:t>
      </w:r>
      <w:r w:rsidRPr="00D11E04">
        <w:rPr>
          <w:rStyle w:val="Emphasis"/>
        </w:rPr>
        <w:t>Consideration of Collateral Consequences Is Consistent with Supreme Court Precedent</w:t>
      </w:r>
      <w:r w:rsidRPr="00B90C00">
        <w:rPr>
          <w:sz w:val="16"/>
        </w:rPr>
        <w:t xml:space="preserve"> </w:t>
      </w:r>
      <w:proofErr w:type="gramStart"/>
      <w:r w:rsidRPr="00D11E04">
        <w:rPr>
          <w:rStyle w:val="Emphasis"/>
        </w:rPr>
        <w:t>In</w:t>
      </w:r>
      <w:proofErr w:type="gramEnd"/>
      <w:r w:rsidRPr="00D11E04">
        <w:rPr>
          <w:rStyle w:val="Emphasis"/>
        </w:rPr>
        <w:t xml:space="preserve"> Gall</w:t>
      </w:r>
      <w:r w:rsidRPr="00D11E04">
        <w:rPr>
          <w:b/>
          <w:bCs/>
          <w:u w:val="single"/>
        </w:rPr>
        <w:t xml:space="preserve"> v. United States</w:t>
      </w:r>
      <w:r w:rsidRPr="00B90C00">
        <w:rPr>
          <w:sz w:val="16"/>
        </w:rPr>
        <w:t>, 186</w:t>
      </w:r>
      <w:r w:rsidRPr="00D11E04">
        <w:rPr>
          <w:b/>
          <w:bCs/>
          <w:u w:val="single"/>
        </w:rPr>
        <w:t>the Supreme Court reviewed a sentence that was outside the range suggested by the Sentencing Guidelines</w:t>
      </w:r>
      <w:r w:rsidRPr="00B90C00">
        <w:rPr>
          <w:sz w:val="16"/>
        </w:rPr>
        <w:t xml:space="preserve">. 187The </w:t>
      </w:r>
      <w:r w:rsidRPr="00D11E04">
        <w:rPr>
          <w:b/>
          <w:bCs/>
          <w:u w:val="single"/>
        </w:rPr>
        <w:t>Sentencing Guidelines calculation suggested that an appropriate sentence would fall in the range of thirty to thirty-seven months of imprisonment</w:t>
      </w:r>
      <w:r w:rsidRPr="00B90C00">
        <w:rPr>
          <w:sz w:val="16"/>
        </w:rPr>
        <w:t xml:space="preserve">. </w:t>
      </w:r>
      <w:r w:rsidRPr="00D11E04">
        <w:rPr>
          <w:b/>
          <w:bCs/>
          <w:u w:val="single"/>
        </w:rPr>
        <w:t>188However, the defendant in Gall was sentenced to probation for thirty-six months.</w:t>
      </w:r>
      <w:r w:rsidRPr="00B90C00">
        <w:rPr>
          <w:sz w:val="16"/>
        </w:rPr>
        <w:t xml:space="preserve"> 189While the record does not indicate whether the district court considered possible disparity in sentencing, the Court presumed that the requisite consideration and weight had been given to avoiding disparities because the Sentencing Guidelines range was properly calculated. 190 </w:t>
      </w:r>
      <w:r w:rsidRPr="00D11E04">
        <w:rPr>
          <w:b/>
          <w:bCs/>
          <w:u w:val="single"/>
        </w:rPr>
        <w:t>The Gall Court explained that judges should begin the process of sentencing by correctly calculating the Sentencing Guidelines range</w:t>
      </w:r>
      <w:r w:rsidRPr="00B90C00">
        <w:rPr>
          <w:sz w:val="16"/>
        </w:rPr>
        <w:t xml:space="preserve">. 191However, </w:t>
      </w:r>
      <w:r w:rsidRPr="00D11E04">
        <w:rPr>
          <w:b/>
          <w:bCs/>
          <w:u w:val="single"/>
        </w:rPr>
        <w:t>this calculation alone is not presumed to be reasonable; judges have a further obligation to make an "individualized assessment based on the facts presented</w:t>
      </w:r>
      <w:r w:rsidRPr="00B90C00">
        <w:rPr>
          <w:sz w:val="16"/>
        </w:rPr>
        <w:t xml:space="preserve">." 192Next, </w:t>
      </w:r>
      <w:r w:rsidRPr="00D11E04">
        <w:rPr>
          <w:b/>
          <w:bCs/>
          <w:u w:val="single"/>
        </w:rPr>
        <w:t>the sentencing judge should "consider all of the [18 U.S.C.] § 3553(a) factors</w:t>
      </w:r>
      <w:r w:rsidRPr="00B90C00">
        <w:rPr>
          <w:sz w:val="16"/>
        </w:rPr>
        <w:t xml:space="preserve">." 193Then, if the judge selects a sentence [*830] outside the Sentencing Guidelines range, she must ensure that she has a valid justification for doing so. 194 </w:t>
      </w:r>
      <w:r w:rsidRPr="00D11E04">
        <w:rPr>
          <w:b/>
          <w:bCs/>
          <w:u w:val="single"/>
        </w:rPr>
        <w:t>The Gall Court held that these sentencing decisions are evaluated on an abuse-of-discretion standard.</w:t>
      </w:r>
      <w:r w:rsidRPr="00B90C00">
        <w:rPr>
          <w:sz w:val="16"/>
        </w:rPr>
        <w:t xml:space="preserve"> 195</w:t>
      </w:r>
      <w:r w:rsidRPr="00D11E04">
        <w:rPr>
          <w:b/>
          <w:bCs/>
          <w:u w:val="single"/>
        </w:rPr>
        <w:t>The Court explained several situations where an abuse of discretion could be found,</w:t>
      </w:r>
      <w:r w:rsidRPr="00B90C00">
        <w:rPr>
          <w:sz w:val="16"/>
        </w:rPr>
        <w:t xml:space="preserve"> including a miscalculation of the Sentencing Guidelines' range, a failure to consider the § 3553(a) factors, and a failure to explain the court's reasoning for deviating from the Sentencing Guidelines. 196Thus, </w:t>
      </w:r>
      <w:r w:rsidRPr="00D11E04">
        <w:rPr>
          <w:b/>
          <w:bCs/>
          <w:u w:val="single"/>
        </w:rPr>
        <w:t>as collateral consequences arguably fall within the § 3553(a) factors, courts should consider them when sentencing.</w:t>
      </w:r>
      <w:r w:rsidRPr="00B90C00">
        <w:rPr>
          <w:sz w:val="16"/>
        </w:rPr>
        <w:t xml:space="preserve"> Furthermore, </w:t>
      </w:r>
      <w:r w:rsidRPr="00D11E04">
        <w:rPr>
          <w:b/>
          <w:bCs/>
          <w:u w:val="single"/>
        </w:rPr>
        <w:t>if judges fail to consider collateral consequences, which fall within § 3553(a), they are committing reversible error by abusing their discretion.</w:t>
      </w:r>
      <w:r w:rsidRPr="00B90C00">
        <w:rPr>
          <w:sz w:val="16"/>
        </w:rPr>
        <w:t xml:space="preserve"> </w:t>
      </w:r>
    </w:p>
    <w:p w14:paraId="5D2DEAE7" w14:textId="77777777" w:rsidR="00925B19" w:rsidRDefault="00925B19" w:rsidP="00925B19"/>
    <w:p w14:paraId="45997FD3" w14:textId="77777777" w:rsidR="00925B19" w:rsidRDefault="00925B19" w:rsidP="00925B19">
      <w:pPr>
        <w:pStyle w:val="Heading4"/>
      </w:pPr>
      <w:r>
        <w:t xml:space="preserve">Plan </w:t>
      </w:r>
      <w:proofErr w:type="gramStart"/>
      <w:r>
        <w:t>doesn’t</w:t>
      </w:r>
      <w:proofErr w:type="gramEnd"/>
      <w:r>
        <w:t xml:space="preserve"> break from Supreme Court precedent --- CC’s listed as regulatory in past decisions</w:t>
      </w:r>
    </w:p>
    <w:p w14:paraId="2CC9AEAD" w14:textId="77777777" w:rsidR="00925B19" w:rsidRDefault="00925B19" w:rsidP="00925B19"/>
    <w:p w14:paraId="503EE156" w14:textId="77777777" w:rsidR="00925B19" w:rsidRDefault="00925B19" w:rsidP="00925B19">
      <w:pPr>
        <w:rPr>
          <w:rStyle w:val="Style13ptBold"/>
        </w:rPr>
      </w:pPr>
      <w:r>
        <w:rPr>
          <w:rStyle w:val="Style13ptBold"/>
        </w:rPr>
        <w:t>Ewald and Smith ‘8</w:t>
      </w:r>
    </w:p>
    <w:p w14:paraId="17578CD1" w14:textId="77777777" w:rsidR="00925B19" w:rsidRDefault="00925B19" w:rsidP="00925B19">
      <w:r w:rsidRPr="00A26226">
        <w:t>(Alec,</w:t>
      </w:r>
      <w:r>
        <w:t xml:space="preserve"> Associate Professor American Politics and Constitutional Law. University of Vermont, Current research is on the “collateral consequences” of criminal convictions</w:t>
      </w:r>
      <w:r w:rsidRPr="00A26226">
        <w:t xml:space="preserve"> and Marnie, THE JUSTICE SYSTEM JOURNAL, </w:t>
      </w:r>
      <w:proofErr w:type="spellStart"/>
      <w:r w:rsidRPr="00A26226">
        <w:t>pg</w:t>
      </w:r>
      <w:proofErr w:type="spellEnd"/>
      <w:r w:rsidRPr="00A26226">
        <w:t xml:space="preserve"> online @ https://www.ncsc.org/__data/assets/pdf_file/0022/16465/collateral-consequences.pdf //um-</w:t>
      </w:r>
      <w:proofErr w:type="spellStart"/>
      <w:r w:rsidRPr="00A26226">
        <w:t>ef</w:t>
      </w:r>
      <w:proofErr w:type="spellEnd"/>
      <w:r w:rsidRPr="00A26226">
        <w:t>)</w:t>
      </w:r>
    </w:p>
    <w:p w14:paraId="6E135107" w14:textId="75A1B088" w:rsidR="00925B19" w:rsidRDefault="00925B19" w:rsidP="00925B19">
      <w:r w:rsidRPr="00346B42">
        <w:rPr>
          <w:rStyle w:val="StyleUnderline"/>
        </w:rPr>
        <w:t>Punitive or Regulatory?</w:t>
      </w:r>
      <w:r>
        <w:t xml:space="preserve"> </w:t>
      </w:r>
      <w:r w:rsidRPr="00346B42">
        <w:rPr>
          <w:rStyle w:val="StyleUnderline"/>
        </w:rPr>
        <w:t>A fundamental ambiguity persists within American collateral-consequences law: whether the purposes of such sanctions are punitive, regulatory, or some uncertain combination of the two.</w:t>
      </w:r>
      <w:r>
        <w:t xml:space="preserve"> In strictly legal terms, as noted above, </w:t>
      </w:r>
      <w:r w:rsidRPr="00346B42">
        <w:rPr>
          <w:rStyle w:val="StyleUnderline"/>
        </w:rPr>
        <w:t>these sanctions are mere indirect consequences of a criminal conviction</w:t>
      </w:r>
      <w:r>
        <w:t xml:space="preserve">; </w:t>
      </w:r>
      <w:r w:rsidRPr="00346B42">
        <w:rPr>
          <w:rStyle w:val="Emphasis"/>
        </w:rPr>
        <w:t>they “attach to, but are legally separate from, the criminal sentence”</w:t>
      </w:r>
      <w:r>
        <w:t xml:space="preserve"> (</w:t>
      </w:r>
      <w:proofErr w:type="spellStart"/>
      <w:r>
        <w:t>Pinard</w:t>
      </w:r>
      <w:proofErr w:type="spellEnd"/>
      <w:r>
        <w:t xml:space="preserve">, 2004:1074). </w:t>
      </w:r>
      <w:r w:rsidRPr="00346B42">
        <w:rPr>
          <w:rStyle w:val="StyleUnderline"/>
        </w:rPr>
        <w:t>In practical terms, they are imposed not by any action of a sentencing court, but by administrative agencies, state and local bureaucracies,</w:t>
      </w:r>
      <w:r>
        <w:t xml:space="preserve"> or professional boards, often years or even decades after sentencing. Thus, </w:t>
      </w:r>
      <w:r w:rsidRPr="00346B42">
        <w:rPr>
          <w:rStyle w:val="StyleUnderline"/>
        </w:rPr>
        <w:t xml:space="preserve">it is reasonable to conclude that collateral </w:t>
      </w:r>
      <w:proofErr w:type="spellStart"/>
      <w:r w:rsidRPr="00346B42">
        <w:rPr>
          <w:rStyle w:val="StyleUnderline"/>
        </w:rPr>
        <w:t>sanc</w:t>
      </w:r>
      <w:proofErr w:type="spellEnd"/>
      <w:r w:rsidRPr="00346B42">
        <w:rPr>
          <w:rStyle w:val="StyleUnderline"/>
        </w:rPr>
        <w:t xml:space="preserve"> </w:t>
      </w:r>
      <w:proofErr w:type="spellStart"/>
      <w:r w:rsidRPr="00346B42">
        <w:rPr>
          <w:rStyle w:val="StyleUnderline"/>
        </w:rPr>
        <w:t>tions</w:t>
      </w:r>
      <w:proofErr w:type="spellEnd"/>
      <w:r w:rsidRPr="00346B42">
        <w:rPr>
          <w:rStyle w:val="StyleUnderline"/>
        </w:rPr>
        <w:t xml:space="preserve"> are fundamentally regulatory:</w:t>
      </w:r>
      <w:r>
        <w:t xml:space="preserve"> not meant to punish, but to ration scarce resources or ensure that only certain citizens are eligible for a given profession, for example. But such a characterization ignores the very real penalties imposed by collateral consequences, which sometimes place greater and longer-lasting burdens on an offender than does the formal sentence. The president of the National District Attorneys Association has described collateral consequences as “simply a new form of mandated sentences” (Johnson, 2001).</w:t>
      </w:r>
      <w:r w:rsidR="00346B42">
        <w:t xml:space="preserve"> </w:t>
      </w:r>
      <w:r w:rsidRPr="00346B42">
        <w:rPr>
          <w:rStyle w:val="StyleUnderline"/>
        </w:rPr>
        <w:t>The debate over disenfranchisement law offers a good example of the ambiguous nature of such sanctions</w:t>
      </w:r>
      <w:r>
        <w:t xml:space="preserve">. Is disenfranchisement meant to serve punitive ends (either by affecting the disenfranchised person in a retributive, </w:t>
      </w:r>
      <w:proofErr w:type="spellStart"/>
      <w:r>
        <w:t>incapacitative</w:t>
      </w:r>
      <w:proofErr w:type="spellEnd"/>
      <w:r>
        <w:t xml:space="preserve">, or rehabilitative way or by deterring other would-be criminals), or meant to protect the franchise—regardless of any effects it might have on the disenfranchised person himself? The U.S. Supreme Court has chosen the latter answer, concluding that because its purpose is not to punish but to “designate a reasonable ground of eligibility for voting,” disenfranchisement “is not a punishment but rather a </w:t>
      </w:r>
      <w:proofErr w:type="spellStart"/>
      <w:r>
        <w:t>non penal</w:t>
      </w:r>
      <w:proofErr w:type="spellEnd"/>
      <w:r>
        <w:t xml:space="preserve"> exercise of the power to regulate the franchise” (Trop v. Dulles, 1958, at 96-97). </w:t>
      </w:r>
      <w:r w:rsidRPr="00346B42">
        <w:rPr>
          <w:rStyle w:val="StyleUnderline"/>
        </w:rPr>
        <w:t>The regulatory argument for disenfranchisement also appears in a famous 1884 state-court ruling, in which the Alabama Supreme Court declared that “the manifest purpose” of denying suffrage to ex-convicts is not to punish, but instead “to preserve the purity of the ballot box, which is the only sure foundation of republican liberty</w:t>
      </w:r>
      <w:r>
        <w:t>” (Washington v. State, 1884, at 585).</w:t>
      </w:r>
    </w:p>
    <w:p w14:paraId="761858B3" w14:textId="4EA11F01" w:rsidR="00925B19" w:rsidRDefault="00925B19" w:rsidP="00925B19">
      <w:pPr>
        <w:rPr>
          <w:sz w:val="16"/>
        </w:rPr>
      </w:pPr>
    </w:p>
    <w:p w14:paraId="162F35CB" w14:textId="48B1C6B2" w:rsidR="00F4622F" w:rsidRDefault="00F4622F" w:rsidP="00F4622F">
      <w:pPr>
        <w:pStyle w:val="Heading4"/>
      </w:pPr>
      <w:proofErr w:type="gramStart"/>
      <w:r>
        <w:t>Doesn’t</w:t>
      </w:r>
      <w:proofErr w:type="gramEnd"/>
      <w:r>
        <w:t xml:space="preserve"> break from precedent – courts require CC’s be tailored now – often rejected with simple rational basis review</w:t>
      </w:r>
    </w:p>
    <w:p w14:paraId="67207CE5" w14:textId="7F902930" w:rsidR="00F4622F" w:rsidRDefault="00F4622F" w:rsidP="00F4622F"/>
    <w:p w14:paraId="588901CF" w14:textId="74CE15BE" w:rsidR="002B4295" w:rsidRDefault="002B4295" w:rsidP="00F4622F">
      <w:pPr>
        <w:rPr>
          <w:rStyle w:val="Style13ptBold"/>
        </w:rPr>
      </w:pPr>
      <w:proofErr w:type="spellStart"/>
      <w:r>
        <w:rPr>
          <w:rStyle w:val="Style13ptBold"/>
        </w:rPr>
        <w:t>Aukerman</w:t>
      </w:r>
      <w:proofErr w:type="spellEnd"/>
      <w:r>
        <w:rPr>
          <w:rStyle w:val="Style13ptBold"/>
        </w:rPr>
        <w:t xml:space="preserve"> ‘5</w:t>
      </w:r>
    </w:p>
    <w:p w14:paraId="21250972" w14:textId="4AFB57D4" w:rsidR="002B4295" w:rsidRPr="002B4295" w:rsidRDefault="002B4295" w:rsidP="002B4295">
      <w:r w:rsidRPr="002B4295">
        <w:t xml:space="preserve">(Miriam, </w:t>
      </w:r>
      <w:r w:rsidR="00E755CB">
        <w:t xml:space="preserve">Miriam </w:t>
      </w:r>
      <w:proofErr w:type="spellStart"/>
      <w:r w:rsidR="00E755CB">
        <w:t>Aukerman</w:t>
      </w:r>
      <w:proofErr w:type="spellEnd"/>
      <w:r w:rsidR="00E755CB">
        <w:t xml:space="preserve"> is a senior staff attorney who has led some of the ACLU of Michigan’s most important legal battles and also heads our West Michigan office., She graduated summa cum laude from both Cornell University and the New York University Law School, was a </w:t>
      </w:r>
      <w:proofErr w:type="spellStart"/>
      <w:r w:rsidR="00E755CB">
        <w:t>Keasbey</w:t>
      </w:r>
      <w:proofErr w:type="spellEnd"/>
      <w:r w:rsidR="00E755CB">
        <w:t xml:space="preserve"> Scholar at Oxford University, and clerked on the U.S. Court of Appeals for the Second Circuit for Judge Pierre Leva, </w:t>
      </w:r>
      <w:r w:rsidRPr="002B4295">
        <w:t xml:space="preserve">“The Somewhat Suspect Class: Towards A Constitutional Framework For Evaluating Occupational Restrictions Affecting People With Criminal Records,” Journal Of Law In Society </w:t>
      </w:r>
      <w:proofErr w:type="spellStart"/>
      <w:r w:rsidRPr="002B4295">
        <w:t>pg</w:t>
      </w:r>
      <w:proofErr w:type="spellEnd"/>
      <w:r w:rsidRPr="002B4295">
        <w:t xml:space="preserve"> lexis //um-</w:t>
      </w:r>
      <w:proofErr w:type="spellStart"/>
      <w:r w:rsidRPr="002B4295">
        <w:t>ef</w:t>
      </w:r>
      <w:proofErr w:type="spellEnd"/>
      <w:r w:rsidRPr="002B4295">
        <w:t>)</w:t>
      </w:r>
    </w:p>
    <w:p w14:paraId="746096E9" w14:textId="6F6AF38F" w:rsidR="00F4622F" w:rsidRDefault="00F4622F" w:rsidP="00F4622F">
      <w:r>
        <w:t xml:space="preserve">It is only when a suspect class is involved and there is a danger that the law will reflect animus, that a closer fit between the law and the governmental interest is required. </w:t>
      </w:r>
      <w:r w:rsidRPr="00F4622F">
        <w:rPr>
          <w:rStyle w:val="StyleUnderline"/>
        </w:rPr>
        <w:t>Given that people with criminal records are not a suspect class, it would seem likely that laws restricting the rights of people with criminal records would almost always survive equal protection challenges</w:t>
      </w:r>
      <w:r>
        <w:t xml:space="preserve">. </w:t>
      </w:r>
      <w:r w:rsidRPr="00F4622F">
        <w:rPr>
          <w:rStyle w:val="StyleUnderline"/>
        </w:rPr>
        <w:t>In fact, in a surprising number of cases related to occupational restrictions, the courts have used rational basis review to</w:t>
      </w:r>
      <w:r>
        <w:t xml:space="preserve"> </w:t>
      </w:r>
      <w:r w:rsidRPr="00F4622F">
        <w:rPr>
          <w:rStyle w:val="StyleUnderline"/>
        </w:rPr>
        <w:t>invalidate laws</w:t>
      </w:r>
      <w:r>
        <w:t xml:space="preserve"> </w:t>
      </w:r>
      <w:r w:rsidRPr="00F4622F">
        <w:rPr>
          <w:rStyle w:val="StyleUnderline"/>
        </w:rPr>
        <w:t>that limit the employment opportunities of people with criminal records</w:t>
      </w:r>
      <w:r>
        <w:t xml:space="preserve">.6 </w:t>
      </w:r>
      <w:r w:rsidRPr="00F4622F">
        <w:rPr>
          <w:rStyle w:val="StyleUnderline"/>
        </w:rPr>
        <w:t>The pattern that emerges</w:t>
      </w:r>
      <w:r>
        <w:t xml:space="preserve"> from the cases </w:t>
      </w:r>
      <w:r w:rsidRPr="00F4622F">
        <w:rPr>
          <w:rStyle w:val="StyleUnderline"/>
        </w:rPr>
        <w:t>is that courts are willing to strike down laws which categorically bar large groups of former</w:t>
      </w:r>
      <w:r>
        <w:rPr>
          <w:rStyle w:val="StyleUnderline"/>
        </w:rPr>
        <w:t xml:space="preserve"> </w:t>
      </w:r>
      <w:r w:rsidRPr="00F4622F">
        <w:rPr>
          <w:rStyle w:val="StyleUnderline"/>
        </w:rPr>
        <w:t xml:space="preserve">offenders from particular occupations, but will </w:t>
      </w:r>
      <w:r w:rsidRPr="00F4622F">
        <w:rPr>
          <w:rStyle w:val="Emphasis"/>
        </w:rPr>
        <w:t>generally uphold</w:t>
      </w:r>
      <w:r w:rsidRPr="00F4622F">
        <w:rPr>
          <w:rStyle w:val="StyleUnderline"/>
        </w:rPr>
        <w:t xml:space="preserve"> laws where the relationship</w:t>
      </w:r>
      <w:r>
        <w:rPr>
          <w:rStyle w:val="StyleUnderline"/>
        </w:rPr>
        <w:t xml:space="preserve"> </w:t>
      </w:r>
      <w:r w:rsidRPr="00F4622F">
        <w:rPr>
          <w:rStyle w:val="StyleUnderline"/>
        </w:rPr>
        <w:t>between the offense and the restricted occupation is</w:t>
      </w:r>
      <w:r>
        <w:t xml:space="preserve"> </w:t>
      </w:r>
      <w:r w:rsidRPr="00F4622F">
        <w:rPr>
          <w:rStyle w:val="Emphasis"/>
        </w:rPr>
        <w:t>more carefully tailored</w:t>
      </w:r>
      <w:r>
        <w:t>. Given that rational basis review is generally assumed to be toothless, it is astonishing to find so many cases where courts have rejected legislative assumptions about the dangers posed by former offenders.</w:t>
      </w:r>
    </w:p>
    <w:p w14:paraId="018D263C" w14:textId="77777777" w:rsidR="00CD18C5" w:rsidRPr="00CD18C5" w:rsidRDefault="00CD18C5" w:rsidP="00CD18C5"/>
    <w:p w14:paraId="09BBFA89" w14:textId="77777777" w:rsidR="008550B5" w:rsidRDefault="008550B5" w:rsidP="00023442">
      <w:pPr>
        <w:pStyle w:val="Heading2"/>
      </w:pPr>
      <w:r>
        <w:t>AT: Court Clog DA</w:t>
      </w:r>
    </w:p>
    <w:p w14:paraId="0B87073F" w14:textId="12BBAB07" w:rsidR="008550B5" w:rsidRDefault="00023442" w:rsidP="00023442">
      <w:pPr>
        <w:pStyle w:val="Heading3"/>
      </w:pPr>
      <w:r>
        <w:t>2AC Answers</w:t>
      </w:r>
    </w:p>
    <w:p w14:paraId="562DA9EB" w14:textId="3B684495" w:rsidR="008550B5" w:rsidRDefault="00F64A78" w:rsidP="00F64A78">
      <w:pPr>
        <w:pStyle w:val="Heading4"/>
      </w:pPr>
      <w:r>
        <w:t xml:space="preserve">Court clog </w:t>
      </w:r>
      <w:proofErr w:type="gramStart"/>
      <w:r>
        <w:t>isn’t</w:t>
      </w:r>
      <w:proofErr w:type="gramEnd"/>
      <w:r>
        <w:t xml:space="preserve"> permanent and the standard the </w:t>
      </w:r>
      <w:proofErr w:type="spellStart"/>
      <w:r>
        <w:t>aff</w:t>
      </w:r>
      <w:proofErr w:type="spellEnd"/>
      <w:r>
        <w:t xml:space="preserve"> creates resolves it</w:t>
      </w:r>
    </w:p>
    <w:p w14:paraId="2A1BCC64" w14:textId="77777777" w:rsidR="00F64A78" w:rsidRPr="00F64A78" w:rsidRDefault="00F64A78" w:rsidP="00F64A78"/>
    <w:p w14:paraId="18D41B8F" w14:textId="77777777" w:rsidR="008550B5" w:rsidRPr="00FD5DD1" w:rsidRDefault="008550B5" w:rsidP="008550B5">
      <w:pPr>
        <w:rPr>
          <w:sz w:val="20"/>
          <w:szCs w:val="20"/>
        </w:rPr>
      </w:pPr>
      <w:proofErr w:type="spellStart"/>
      <w:r w:rsidRPr="00FD5DD1">
        <w:rPr>
          <w:b/>
          <w:bCs/>
          <w:sz w:val="24"/>
          <w:szCs w:val="24"/>
        </w:rPr>
        <w:t>Macdowell</w:t>
      </w:r>
      <w:proofErr w:type="spellEnd"/>
      <w:r w:rsidRPr="00FD5DD1">
        <w:rPr>
          <w:b/>
          <w:bCs/>
          <w:sz w:val="24"/>
          <w:szCs w:val="24"/>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70"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21E29830" w14:textId="11F78401" w:rsidR="00EA4E05" w:rsidRDefault="008550B5" w:rsidP="008550B5">
      <w:pPr>
        <w:rPr>
          <w:sz w:val="14"/>
        </w:rPr>
      </w:pPr>
      <w:r w:rsidRPr="00EA4E05">
        <w:rPr>
          <w:sz w:val="14"/>
        </w:rPr>
        <w:t xml:space="preserve">B.  Recommendation in Action: Test </w:t>
      </w:r>
      <w:proofErr w:type="gramStart"/>
      <w:r w:rsidRPr="00EA4E05">
        <w:rPr>
          <w:sz w:val="14"/>
        </w:rPr>
        <w:t>Suite  The</w:t>
      </w:r>
      <w:proofErr w:type="gramEnd"/>
      <w:r w:rsidRPr="00EA4E05">
        <w:rPr>
          <w:sz w:val="14"/>
        </w:rPr>
        <w:t xml:space="preserve"> recommendations made in this Comment to improve proportionality of sentences and increase uniformity between sentences in different jurisdictions would provide federal judges with more guidance on sentencing. Specifically, circuit courts reading the Sentencing Guidelines to include collateral consequences as a factor would eliminate a great deal of variation between sentences. Moreover, it likely would result in a myriad of benefits to society, such as decreased recidivism, lower correctional costs, decreased crime, and more proportional sentences.   Under this interpretation of the Sentencing Guidelines, the Eleventh and Seventh Circuits will still be able to choose not to consider economic and social status when </w:t>
      </w:r>
      <w:proofErr w:type="gramStart"/>
      <w:r w:rsidRPr="00EA4E05">
        <w:rPr>
          <w:sz w:val="14"/>
        </w:rPr>
        <w:t xml:space="preserve">sentencing,   </w:t>
      </w:r>
      <w:proofErr w:type="gramEnd"/>
      <w:r w:rsidRPr="00EA4E05">
        <w:rPr>
          <w:sz w:val="14"/>
        </w:rPr>
        <w:t xml:space="preserve">  229as those are only surrounding circumstances and not true collateral consequences. However, the Eleventh and Seventh Circuits will be permitted to consider true collateral consequences. The Sixth and Tenth Circuits, which do not currently consider collateral consequences when </w:t>
      </w:r>
      <w:proofErr w:type="gramStart"/>
      <w:r w:rsidRPr="00EA4E05">
        <w:rPr>
          <w:sz w:val="14"/>
        </w:rPr>
        <w:t xml:space="preserve">sentencing,   </w:t>
      </w:r>
      <w:proofErr w:type="gramEnd"/>
      <w:r w:rsidRPr="00EA4E05">
        <w:rPr>
          <w:sz w:val="14"/>
        </w:rPr>
        <w:t xml:space="preserve">  230would need to consider collateral consequences as a factor when reviewing the Sentencing Guidelines. However, federal judges would still be afforded discretion to deviate from the Sentencing Guidelines when appropriate. </w:t>
      </w:r>
      <w:r w:rsidRPr="00AF783C">
        <w:rPr>
          <w:rStyle w:val="StyleUnderline"/>
        </w:rPr>
        <w:t>This Comment's</w:t>
      </w:r>
      <w:r w:rsidRPr="00EA4E05">
        <w:rPr>
          <w:sz w:val="14"/>
        </w:rPr>
        <w:t xml:space="preserve"> </w:t>
      </w:r>
      <w:r w:rsidRPr="00D11E04">
        <w:rPr>
          <w:b/>
          <w:bCs/>
          <w:u w:val="single"/>
        </w:rPr>
        <w:t>proposed interpretation of</w:t>
      </w:r>
      <w:r w:rsidRPr="00EA4E05">
        <w:rPr>
          <w:sz w:val="14"/>
        </w:rPr>
        <w:t xml:space="preserve"> the </w:t>
      </w:r>
      <w:r w:rsidRPr="00D11E04">
        <w:rPr>
          <w:b/>
          <w:bCs/>
          <w:u w:val="single"/>
        </w:rPr>
        <w:t>Sentencing Guidelines would effectively endorse the Second and Fourth Circuits' jurisprudence on the matter of collateral consequence consideration in sentencing.</w:t>
      </w:r>
      <w:r w:rsidRPr="00EA4E05">
        <w:rPr>
          <w:sz w:val="14"/>
        </w:rPr>
        <w:t xml:space="preserve"> </w:t>
      </w:r>
      <w:r w:rsidRPr="00D11E04">
        <w:rPr>
          <w:b/>
          <w:bCs/>
          <w:u w:val="single"/>
        </w:rPr>
        <w:t>The federal judges who have given weight to collateral consequences when sentencing will obtain affirmative approval that they are warranted in considering these implications.</w:t>
      </w:r>
      <w:r w:rsidRPr="00EA4E05">
        <w:rPr>
          <w:sz w:val="14"/>
        </w:rPr>
        <w:t xml:space="preserve">   </w:t>
      </w:r>
      <w:r w:rsidRPr="00D11E04">
        <w:rPr>
          <w:b/>
          <w:bCs/>
          <w:u w:val="single"/>
        </w:rPr>
        <w:t>Adding collateral consequences to the list of factors for judges to consider may slow down courts initially</w:t>
      </w:r>
      <w:r w:rsidRPr="00EA4E05">
        <w:rPr>
          <w:sz w:val="14"/>
        </w:rPr>
        <w:t xml:space="preserve">. It may take judges additional time to determine whether and how to adjust sentences </w:t>
      </w:r>
      <w:proofErr w:type="gramStart"/>
      <w:r w:rsidRPr="00EA4E05">
        <w:rPr>
          <w:sz w:val="14"/>
        </w:rPr>
        <w:t>in light of</w:t>
      </w:r>
      <w:proofErr w:type="gramEnd"/>
      <w:r w:rsidRPr="00EA4E05">
        <w:rPr>
          <w:sz w:val="14"/>
        </w:rPr>
        <w:t xml:space="preserve"> collateral consequences. </w:t>
      </w:r>
      <w:r w:rsidRPr="00F64A78">
        <w:rPr>
          <w:rStyle w:val="Emphasis"/>
        </w:rPr>
        <w:t>However, over time, this will lead to more just punishments</w:t>
      </w:r>
      <w:r w:rsidRPr="00D11E04">
        <w:rPr>
          <w:b/>
          <w:bCs/>
          <w:u w:val="single"/>
        </w:rPr>
        <w:t xml:space="preserve">, </w:t>
      </w:r>
      <w:r w:rsidRPr="00F64A78">
        <w:rPr>
          <w:rStyle w:val="Emphasis"/>
        </w:rPr>
        <w:t>and a standard will eventually be created</w:t>
      </w:r>
      <w:r w:rsidRPr="00D11E04">
        <w:rPr>
          <w:b/>
          <w:bCs/>
          <w:u w:val="single"/>
        </w:rPr>
        <w:t>. After judges determine how to adjust sentences for certain collateral consequences, they can continue to apply that standard, as they do for other factors</w:t>
      </w:r>
      <w:r w:rsidRPr="00EA4E05">
        <w:rPr>
          <w:sz w:val="14"/>
        </w:rPr>
        <w:t xml:space="preserve">. Thus, </w:t>
      </w:r>
      <w:r w:rsidRPr="00F64A78">
        <w:rPr>
          <w:rStyle w:val="Emphasis"/>
        </w:rPr>
        <w:t xml:space="preserve">the slowdown </w:t>
      </w:r>
      <w:proofErr w:type="gramStart"/>
      <w:r w:rsidRPr="00F64A78">
        <w:rPr>
          <w:rStyle w:val="Emphasis"/>
        </w:rPr>
        <w:t>in  [</w:t>
      </w:r>
      <w:proofErr w:type="gramEnd"/>
      <w:r w:rsidRPr="00F64A78">
        <w:rPr>
          <w:rStyle w:val="Emphasis"/>
        </w:rPr>
        <w:t>*835] courts will not be permanent</w:t>
      </w:r>
      <w:r w:rsidRPr="00D11E04">
        <w:rPr>
          <w:b/>
          <w:bCs/>
          <w:u w:val="single"/>
        </w:rPr>
        <w:t xml:space="preserve"> and will likely just take a slight adjustment period</w:t>
      </w:r>
      <w:r w:rsidRPr="00EA4E05">
        <w:rPr>
          <w:sz w:val="14"/>
        </w:rPr>
        <w:t xml:space="preserve">. Once this adjustment period has passed, judges will be able to sentence cases and consider all pertinent factors and consequences and will hand down more just punishments. </w:t>
      </w:r>
    </w:p>
    <w:p w14:paraId="372B9796" w14:textId="26085C9C" w:rsidR="00EA4E05" w:rsidRDefault="00EA4E05" w:rsidP="00EA4E05">
      <w:pPr>
        <w:pStyle w:val="Heading4"/>
      </w:pPr>
      <w:r>
        <w:t>Flood of litigation inevitable now from Padilla and collateral consequences suits</w:t>
      </w:r>
    </w:p>
    <w:p w14:paraId="29D59D12" w14:textId="30F823BB" w:rsidR="00EA4E05" w:rsidRDefault="00EA4E05" w:rsidP="00EA4E05"/>
    <w:p w14:paraId="3A7F9C18" w14:textId="5C4C1794" w:rsidR="005D220D" w:rsidRDefault="005D220D" w:rsidP="00EA4E05">
      <w:pPr>
        <w:rPr>
          <w:rStyle w:val="Style13ptBold"/>
        </w:rPr>
      </w:pPr>
      <w:proofErr w:type="spellStart"/>
      <w:r>
        <w:rPr>
          <w:rStyle w:val="Style13ptBold"/>
        </w:rPr>
        <w:t>Wikstrom</w:t>
      </w:r>
      <w:proofErr w:type="spellEnd"/>
      <w:r>
        <w:rPr>
          <w:rStyle w:val="Style13ptBold"/>
        </w:rPr>
        <w:t xml:space="preserve"> ‘12</w:t>
      </w:r>
    </w:p>
    <w:p w14:paraId="6E316FB7" w14:textId="07714E57" w:rsidR="005D220D" w:rsidRPr="008561DE" w:rsidRDefault="005D220D" w:rsidP="008561DE">
      <w:r w:rsidRPr="008561DE">
        <w:t xml:space="preserve">(Derek, </w:t>
      </w:r>
      <w:r w:rsidR="008561DE" w:rsidRPr="008561DE">
        <w:t xml:space="preserve">J.D., Northwestern University School of Law, 2012; B.A., Political Science, The City College of New York, 2009, </w:t>
      </w:r>
      <w:r w:rsidRPr="008561DE">
        <w:t xml:space="preserve">““No Logical Stopping-Point”: The Consequences Of Padilla V. </w:t>
      </w:r>
      <w:proofErr w:type="spellStart"/>
      <w:r w:rsidRPr="008561DE">
        <w:t>KenTucky’s</w:t>
      </w:r>
      <w:proofErr w:type="spellEnd"/>
      <w:r w:rsidRPr="008561DE">
        <w:t xml:space="preserve"> Inevitable Expansion,” </w:t>
      </w:r>
      <w:proofErr w:type="spellStart"/>
      <w:r w:rsidRPr="008561DE">
        <w:t>pg</w:t>
      </w:r>
      <w:proofErr w:type="spellEnd"/>
      <w:r w:rsidRPr="008561DE">
        <w:t xml:space="preserve"> online @ </w:t>
      </w:r>
      <w:hyperlink r:id="rId71" w:history="1">
        <w:r w:rsidRPr="008561DE">
          <w:rPr>
            <w:rStyle w:val="Hyperlink"/>
          </w:rPr>
          <w:t>https://scholarlycommons.law.northwestern.edu/cgi/viewcontent.cgi?article=1141&amp;context=nulr</w:t>
        </w:r>
      </w:hyperlink>
      <w:r w:rsidRPr="008561DE">
        <w:t xml:space="preserve"> //um-</w:t>
      </w:r>
      <w:proofErr w:type="spellStart"/>
      <w:r w:rsidRPr="008561DE">
        <w:t>ef</w:t>
      </w:r>
      <w:proofErr w:type="spellEnd"/>
      <w:r w:rsidRPr="008561DE">
        <w:t>)</w:t>
      </w:r>
    </w:p>
    <w:p w14:paraId="4B516589" w14:textId="42A53AC0" w:rsidR="00EA4E05" w:rsidRPr="0002674E" w:rsidRDefault="00EA4E05" w:rsidP="00EA4E05">
      <w:pPr>
        <w:rPr>
          <w:sz w:val="12"/>
        </w:rPr>
      </w:pPr>
      <w:r w:rsidRPr="0002674E">
        <w:rPr>
          <w:rStyle w:val="StyleUnderline"/>
        </w:rPr>
        <w:t>The opinion for the Court in Padilla attempted to address the “floodgates concerns”—</w:t>
      </w:r>
      <w:r w:rsidRPr="0002674E">
        <w:rPr>
          <w:sz w:val="12"/>
        </w:rPr>
        <w:t>voiced by the respondent and by amici including the United States Government—that the Court’s holding would create a flood of new ineffective assistance claims.109 The majority wrote: We have given serious consideration to the concerns that the Solicitor General, respondent, and amici have stressed regarding the importance of protecting the finality of convictions obtained through guilty pleas. We confronted a similar “floodgates” concern in Hill but nevertheless applied Strickland to a claim that counsel had failed to advise the client regarding his parole eligibility before he pleaded guilty.</w:t>
      </w:r>
      <w:r w:rsidR="0002674E" w:rsidRPr="0002674E">
        <w:rPr>
          <w:sz w:val="12"/>
        </w:rPr>
        <w:t xml:space="preserve"> </w:t>
      </w:r>
      <w:r w:rsidRPr="0002674E">
        <w:rPr>
          <w:sz w:val="12"/>
        </w:rPr>
        <w:t xml:space="preserve">A flood did not follow in that decision’s wake.110 The majority argued that even insofar as its holding increases the ease with which criminal defendants who pleaded guilty can show deficient performance of counsel, the prejudice prong of Strickland presents a “high bar” to prospective claimants.111 Furthermore, the Court continued, for at least the preceding fifteen years, “professional norms have generally imposed an obligation on counsel to provide advice on the deportation consequences of a client’s plea.”112 Thus, the Court predicted that lower courts would be able to “effectively and efficiently use [Strickland’s] framework to separate specious claims from those with substantial merit.”113 Even if this argument validly dispatches with the floodgates concerns it purports to answer,114 the Court is addressing the wrong flood. The Court’s answer to the floodgates concerns of the respondent presumes that the flood of ineffective assistance claims would come only from those defendants who were subject to deportation, and the Court dismisses that category as being made up of defendants who (1) will already have received notification and (2) will have difficulty overcoming Strickland’s requirement of prejudice. However, </w:t>
      </w:r>
      <w:r w:rsidRPr="0002674E">
        <w:rPr>
          <w:rStyle w:val="StyleUnderline"/>
        </w:rPr>
        <w:t>the respondent’s brief expresses a different and broader concern</w:t>
      </w:r>
      <w:r w:rsidRPr="0002674E">
        <w:rPr>
          <w:sz w:val="12"/>
        </w:rPr>
        <w:t xml:space="preserve">. The office of the Kentucky Attorney General, in its brief to the Court, </w:t>
      </w:r>
      <w:r w:rsidRPr="0002674E">
        <w:rPr>
          <w:rStyle w:val="StyleUnderline"/>
        </w:rPr>
        <w:t xml:space="preserve">argued that finding Padilla’s counsel ineffective would create a flood of ineffective assistance claims from persons who suffered from </w:t>
      </w:r>
      <w:r w:rsidRPr="0002674E">
        <w:rPr>
          <w:rStyle w:val="Emphasis"/>
        </w:rPr>
        <w:t>any collateral consequence</w:t>
      </w:r>
      <w:r w:rsidRPr="0002674E">
        <w:rPr>
          <w:rStyle w:val="StyleUnderline"/>
        </w:rPr>
        <w:t xml:space="preserve"> as a result of pleading guilty</w:t>
      </w:r>
      <w:r w:rsidRPr="0002674E">
        <w:rPr>
          <w:sz w:val="12"/>
        </w:rPr>
        <w:t xml:space="preserve">.115 The argument that defendants will, by and large, already have been apprised of the possibility of deportation is not responsive to the broader concerns that the respondent and amici voiced.116 </w:t>
      </w:r>
      <w:r w:rsidRPr="0002674E">
        <w:rPr>
          <w:rStyle w:val="Emphasis"/>
        </w:rPr>
        <w:t>In all likelihood, courts can expect a flood of litigation from criminal defendants who suffered a variety of collateral consequences as a result of a guilty plea</w:t>
      </w:r>
      <w:r w:rsidRPr="0002674E">
        <w:rPr>
          <w:sz w:val="12"/>
        </w:rPr>
        <w:t xml:space="preserve">. </w:t>
      </w:r>
      <w:r w:rsidRPr="0002674E">
        <w:rPr>
          <w:rStyle w:val="Emphasis"/>
        </w:rPr>
        <w:t>This flood will impose a significant burden on lower federal courts</w:t>
      </w:r>
      <w:r w:rsidRPr="0002674E">
        <w:rPr>
          <w:sz w:val="12"/>
        </w:rPr>
        <w:t xml:space="preserve">. </w:t>
      </w:r>
      <w:r w:rsidRPr="0002674E">
        <w:rPr>
          <w:rStyle w:val="StyleUnderline"/>
        </w:rPr>
        <w:t>That burden may be further exacerbated by the possibility that Padilla will be applied retroactively</w:t>
      </w:r>
      <w:r w:rsidRPr="0002674E">
        <w:rPr>
          <w:sz w:val="12"/>
        </w:rPr>
        <w:t xml:space="preserve">.117 The retroactivity of Padilla is limited, as a practical matter, because of the Antiterrorism and Effective Death Penalty Act of 1996 (AEDPA),118 which imposes a one-year statute of limitations on habeas petitions.119 However, that statute of limitations, which typically begins to run upon entry of a final judgment, can be extended by Supreme Court recognition of a new right that is applied retroactively.120 Even though it is limited by the short statutory period in AEDPA, </w:t>
      </w:r>
      <w:r w:rsidRPr="0002674E">
        <w:rPr>
          <w:rStyle w:val="StyleUnderline"/>
        </w:rPr>
        <w:t>the retroactive application of Padilla could increase the number of criminal defendants with colorable habeas claims</w:t>
      </w:r>
      <w:r w:rsidRPr="0002674E">
        <w:rPr>
          <w:sz w:val="12"/>
        </w:rPr>
        <w:t xml:space="preserve">. Any defendant entitled to such a claim who was convicted at any point would have one year to file a petition. And, regardless of AEDPA, any defendant whose direct appeal has not been completed would be entitled to assert a newly discovered ineffective assistance claim in a direct appeal or as a collateral challenge. Thus, the statute of limitations imposed by AEDPA will not prevent a flood of new ineffective assistance claims. </w:t>
      </w:r>
    </w:p>
    <w:p w14:paraId="449363BE" w14:textId="19695A54" w:rsidR="008550B5" w:rsidRDefault="00C058DE" w:rsidP="00C058DE">
      <w:pPr>
        <w:pStyle w:val="Heading4"/>
      </w:pPr>
      <w:r>
        <w:t xml:space="preserve">The </w:t>
      </w:r>
      <w:proofErr w:type="spellStart"/>
      <w:r>
        <w:t>aff</w:t>
      </w:r>
      <w:proofErr w:type="spellEnd"/>
      <w:r>
        <w:t xml:space="preserve"> link turns </w:t>
      </w:r>
      <w:r w:rsidR="0002674E">
        <w:t>it</w:t>
      </w:r>
      <w:r>
        <w:t xml:space="preserve"> </w:t>
      </w:r>
    </w:p>
    <w:p w14:paraId="4ED35305" w14:textId="77777777" w:rsidR="00C058DE" w:rsidRPr="00C058DE" w:rsidRDefault="00C058DE" w:rsidP="00C058DE"/>
    <w:p w14:paraId="5BBFCC9E" w14:textId="77777777" w:rsidR="00C058DE" w:rsidRPr="00031CCD" w:rsidRDefault="00C058DE" w:rsidP="00C058DE">
      <w:proofErr w:type="spellStart"/>
      <w:r>
        <w:rPr>
          <w:rStyle w:val="Style13ptBold"/>
        </w:rPr>
        <w:t>Wolitz</w:t>
      </w:r>
      <w:proofErr w:type="spellEnd"/>
      <w:r>
        <w:rPr>
          <w:rStyle w:val="Style13ptBold"/>
        </w:rPr>
        <w:t xml:space="preserve"> 09 </w:t>
      </w:r>
      <w:r>
        <w:rPr>
          <w:rStyle w:val="Style13ptBold"/>
          <w:b w:val="0"/>
          <w:bCs w:val="0"/>
          <w:sz w:val="22"/>
          <w:szCs w:val="18"/>
        </w:rPr>
        <w:t xml:space="preserve">(David </w:t>
      </w:r>
      <w:proofErr w:type="spellStart"/>
      <w:r>
        <w:rPr>
          <w:rStyle w:val="Style13ptBold"/>
          <w:b w:val="0"/>
          <w:bCs w:val="0"/>
          <w:sz w:val="22"/>
          <w:szCs w:val="18"/>
        </w:rPr>
        <w:t>Wolitz</w:t>
      </w:r>
      <w:proofErr w:type="spellEnd"/>
      <w:r>
        <w:rPr>
          <w:rStyle w:val="Style13ptBold"/>
          <w:b w:val="0"/>
          <w:bCs w:val="0"/>
          <w:sz w:val="22"/>
          <w:szCs w:val="18"/>
        </w:rPr>
        <w:t xml:space="preserve"> is an </w:t>
      </w:r>
      <w:r w:rsidRPr="0053725A">
        <w:t>Associate Professor</w:t>
      </w:r>
      <w:r>
        <w:t xml:space="preserve"> of</w:t>
      </w:r>
      <w:r w:rsidRPr="0053725A">
        <w:t xml:space="preserve"> Legal Research and Writing</w:t>
      </w:r>
      <w:r>
        <w:t xml:space="preserve"> at</w:t>
      </w:r>
      <w:r w:rsidRPr="0053725A">
        <w:t xml:space="preserve"> Georgetown University Law Center</w:t>
      </w:r>
      <w:r>
        <w:t xml:space="preserve"> and has a</w:t>
      </w:r>
      <w:r w:rsidRPr="0053725A">
        <w:t xml:space="preserve"> J.D.</w:t>
      </w:r>
      <w:r>
        <w:t xml:space="preserve"> from</w:t>
      </w:r>
      <w:r w:rsidRPr="0053725A">
        <w:t xml:space="preserve"> Yale Law School</w:t>
      </w:r>
      <w:r>
        <w:t>, 7/26/09, “</w:t>
      </w:r>
      <w:r w:rsidRPr="0053725A">
        <w:t>The Stigma of Conviction: Coram Nobis, Civil Disabilities, and the Right to Clear One's Name</w:t>
      </w:r>
      <w:r>
        <w:t>”, p.41-44)</w:t>
      </w:r>
      <w:proofErr w:type="spellStart"/>
      <w:r>
        <w:t>kiihnl</w:t>
      </w:r>
      <w:proofErr w:type="spellEnd"/>
    </w:p>
    <w:p w14:paraId="7CBB8D80" w14:textId="5EB88088" w:rsidR="00C058DE" w:rsidRPr="00E050B4" w:rsidRDefault="00C058DE" w:rsidP="008550B5">
      <w:pPr>
        <w:rPr>
          <w:sz w:val="10"/>
        </w:rPr>
      </w:pPr>
      <w:r w:rsidRPr="00D81DA7">
        <w:rPr>
          <w:sz w:val="10"/>
          <w:szCs w:val="16"/>
        </w:rPr>
        <w:t>C. Assessing the Judicial Economy Argument</w:t>
      </w:r>
      <w:r w:rsidR="00D81DA7" w:rsidRPr="00D81DA7">
        <w:rPr>
          <w:sz w:val="10"/>
          <w:szCs w:val="16"/>
        </w:rPr>
        <w:t xml:space="preserve"> </w:t>
      </w:r>
      <w:r w:rsidRPr="00BE2F0E">
        <w:rPr>
          <w:b/>
          <w:bCs/>
          <w:u w:val="single"/>
        </w:rPr>
        <w:t xml:space="preserve">The judicial economy argument fails for the same basic reason that the finality argument fails: its </w:t>
      </w:r>
      <w:r w:rsidRPr="004B682E">
        <w:rPr>
          <w:b/>
          <w:bCs/>
          <w:u w:val="single"/>
        </w:rPr>
        <w:t>proponents cannot show why the end of civil disabilities represents the magic moment at which further collateral review becomes inefficient</w:t>
      </w:r>
      <w:r w:rsidRPr="00D81DA7">
        <w:rPr>
          <w:sz w:val="10"/>
          <w:szCs w:val="16"/>
        </w:rPr>
        <w:t xml:space="preserve">. The basic form of the judicial economy argument is that, after civil disabilities no longer apply, the costs of the </w:t>
      </w:r>
      <w:proofErr w:type="spellStart"/>
      <w:r w:rsidRPr="00D81DA7">
        <w:rPr>
          <w:sz w:val="10"/>
          <w:szCs w:val="16"/>
        </w:rPr>
        <w:t>coram</w:t>
      </w:r>
      <w:proofErr w:type="spellEnd"/>
      <w:r w:rsidRPr="00D81DA7">
        <w:rPr>
          <w:sz w:val="10"/>
          <w:szCs w:val="16"/>
        </w:rPr>
        <w:t xml:space="preserve"> nobis procedure are greater than the benefits thereof. The idea is that the "stakes" are so low in post-civil disabilities collateral review that they are not worth the costs of the review itself.</w:t>
      </w:r>
      <w:r w:rsidR="00D81DA7" w:rsidRPr="00D81DA7">
        <w:rPr>
          <w:sz w:val="10"/>
          <w:szCs w:val="16"/>
        </w:rPr>
        <w:t xml:space="preserve"> </w:t>
      </w:r>
      <w:r w:rsidRPr="00D81DA7">
        <w:rPr>
          <w:sz w:val="10"/>
          <w:szCs w:val="16"/>
        </w:rPr>
        <w:t xml:space="preserve">But measuring the costs and benefits of </w:t>
      </w:r>
      <w:proofErr w:type="spellStart"/>
      <w:r w:rsidRPr="00D81DA7">
        <w:rPr>
          <w:sz w:val="10"/>
          <w:szCs w:val="16"/>
        </w:rPr>
        <w:t>coram</w:t>
      </w:r>
      <w:proofErr w:type="spellEnd"/>
      <w:r w:rsidRPr="00D81DA7">
        <w:rPr>
          <w:sz w:val="10"/>
          <w:szCs w:val="16"/>
        </w:rPr>
        <w:t xml:space="preserve"> nobis is a tricky proposition. </w:t>
      </w:r>
      <w:r w:rsidRPr="00BE2F0E">
        <w:rPr>
          <w:b/>
          <w:bCs/>
          <w:u w:val="single"/>
        </w:rPr>
        <w:t xml:space="preserve">While the litigation costs of the parties and of the court are relatively easy to measure, the value of vacating an erroneous conviction for the individual petitioner, or the value of accuracy for the </w:t>
      </w:r>
      <w:proofErr w:type="gramStart"/>
      <w:r w:rsidRPr="00BE2F0E">
        <w:rPr>
          <w:b/>
          <w:bCs/>
          <w:u w:val="single"/>
        </w:rPr>
        <w:t>society as a whole, is</w:t>
      </w:r>
      <w:proofErr w:type="gramEnd"/>
      <w:r w:rsidRPr="00BE2F0E">
        <w:rPr>
          <w:b/>
          <w:bCs/>
          <w:u w:val="single"/>
        </w:rPr>
        <w:t xml:space="preserve"> not</w:t>
      </w:r>
      <w:r w:rsidRPr="00D81DA7">
        <w:rPr>
          <w:sz w:val="10"/>
          <w:szCs w:val="16"/>
        </w:rPr>
        <w:t xml:space="preserve">. How much is personal vindication worth, and how shall we measure marginal units of systemic accuracy and legitimacy? Then, there is the even more difficult problem of measuring opportunity costs - are there alternative procedures which would be of more value to the system as a whole? Such questions reveal the poverty of a strictly utilitarian approach to collateral review. Concepts such as systemic accuracy, finality, and reputational harm do not lend themselves to easy measurement. Indeed, they are classically "incommensurable" values - there is no neutral, transcendent value by which we can measure their relative importance. It is thus practically impossible to measure with utilitarian precision </w:t>
      </w:r>
      <w:proofErr w:type="gramStart"/>
      <w:r w:rsidRPr="00D81DA7">
        <w:rPr>
          <w:sz w:val="10"/>
          <w:szCs w:val="16"/>
        </w:rPr>
        <w:t>all of</w:t>
      </w:r>
      <w:proofErr w:type="gramEnd"/>
      <w:r w:rsidRPr="00D81DA7">
        <w:rPr>
          <w:sz w:val="10"/>
          <w:szCs w:val="16"/>
        </w:rPr>
        <w:t xml:space="preserve"> the competing values and personal interests at stake in determining the availability of </w:t>
      </w:r>
      <w:proofErr w:type="spellStart"/>
      <w:r w:rsidRPr="00D81DA7">
        <w:rPr>
          <w:sz w:val="10"/>
          <w:szCs w:val="16"/>
        </w:rPr>
        <w:t>coram</w:t>
      </w:r>
      <w:proofErr w:type="spellEnd"/>
      <w:r w:rsidRPr="00D81DA7">
        <w:rPr>
          <w:sz w:val="10"/>
          <w:szCs w:val="16"/>
        </w:rPr>
        <w:t xml:space="preserve"> nobis.</w:t>
      </w:r>
      <w:r w:rsidR="00D81DA7" w:rsidRPr="00D81DA7">
        <w:rPr>
          <w:sz w:val="10"/>
          <w:szCs w:val="16"/>
        </w:rPr>
        <w:t xml:space="preserve"> </w:t>
      </w:r>
      <w:r w:rsidRPr="00D81DA7">
        <w:rPr>
          <w:sz w:val="10"/>
          <w:szCs w:val="16"/>
        </w:rPr>
        <w:t>[*1331]</w:t>
      </w:r>
      <w:r w:rsidR="00D81DA7" w:rsidRPr="00D81DA7">
        <w:rPr>
          <w:sz w:val="10"/>
          <w:szCs w:val="16"/>
        </w:rPr>
        <w:t xml:space="preserve"> </w:t>
      </w:r>
      <w:r w:rsidRPr="00BE2F0E">
        <w:rPr>
          <w:b/>
          <w:bCs/>
          <w:u w:val="single"/>
        </w:rPr>
        <w:t xml:space="preserve">But even if it were possible to measure the costs and benefits of a procedure such as </w:t>
      </w:r>
      <w:proofErr w:type="spellStart"/>
      <w:r w:rsidRPr="00BE2F0E">
        <w:rPr>
          <w:b/>
          <w:bCs/>
          <w:u w:val="single"/>
        </w:rPr>
        <w:t>coram</w:t>
      </w:r>
      <w:proofErr w:type="spellEnd"/>
      <w:r w:rsidRPr="00BE2F0E">
        <w:rPr>
          <w:b/>
          <w:bCs/>
          <w:u w:val="single"/>
        </w:rPr>
        <w:t xml:space="preserve"> nobis,</w:t>
      </w:r>
      <w:r w:rsidRPr="004B682E">
        <w:rPr>
          <w:b/>
          <w:bCs/>
          <w:u w:val="single"/>
        </w:rPr>
        <w:t xml:space="preserve"> </w:t>
      </w:r>
      <w:r w:rsidRPr="00BE2F0E">
        <w:rPr>
          <w:b/>
          <w:bCs/>
          <w:u w:val="single"/>
        </w:rPr>
        <w:t xml:space="preserve">the proponents of the civil disabilities test must show that the moment at which the net benefit of </w:t>
      </w:r>
      <w:proofErr w:type="spellStart"/>
      <w:r w:rsidRPr="00BE2F0E">
        <w:rPr>
          <w:b/>
          <w:bCs/>
          <w:u w:val="single"/>
        </w:rPr>
        <w:t>coram</w:t>
      </w:r>
      <w:proofErr w:type="spellEnd"/>
      <w:r w:rsidRPr="00BE2F0E">
        <w:rPr>
          <w:b/>
          <w:bCs/>
          <w:u w:val="single"/>
        </w:rPr>
        <w:t xml:space="preserve"> nobis goes negative</w:t>
      </w:r>
      <w:r w:rsidRPr="00D81DA7">
        <w:rPr>
          <w:sz w:val="10"/>
        </w:rPr>
        <w:t xml:space="preserve"> </w:t>
      </w:r>
      <w:r w:rsidRPr="00D81DA7">
        <w:rPr>
          <w:sz w:val="10"/>
          <w:szCs w:val="16"/>
        </w:rPr>
        <w:t xml:space="preserve">- i.e., the moment at which the costs of the procedure become greater than its benefits - is precisely the moment at which civil disabilities no longer apply to the petitioner. This they have not even begun to show. It is true that, all things being equal, the benefit to the individual petitioner of </w:t>
      </w:r>
      <w:proofErr w:type="spellStart"/>
      <w:r w:rsidRPr="00D81DA7">
        <w:rPr>
          <w:sz w:val="10"/>
          <w:szCs w:val="16"/>
        </w:rPr>
        <w:t>coram</w:t>
      </w:r>
      <w:proofErr w:type="spellEnd"/>
      <w:r w:rsidRPr="00D81DA7">
        <w:rPr>
          <w:sz w:val="10"/>
          <w:szCs w:val="16"/>
        </w:rPr>
        <w:t xml:space="preserve"> nobis relief is greater if the individual suffers from a civil disability than if he does not. But every other factor in the cost-benefit analysis remains the same - the litigation costs, the reputational and professional benefits to the individual of relief, and the benefits to the overall accuracy and legitimacy of the system. As noted in Part V, </w:t>
      </w:r>
      <w:r w:rsidRPr="004B682E">
        <w:rPr>
          <w:b/>
          <w:bCs/>
          <w:u w:val="single"/>
        </w:rPr>
        <w:t xml:space="preserve">the formal civil disabilities suffered by the petitioner may be </w:t>
      </w:r>
      <w:proofErr w:type="gramStart"/>
      <w:r w:rsidRPr="004B682E">
        <w:rPr>
          <w:b/>
          <w:bCs/>
          <w:u w:val="single"/>
        </w:rPr>
        <w:t>a very small</w:t>
      </w:r>
      <w:proofErr w:type="gramEnd"/>
      <w:r w:rsidRPr="004B682E">
        <w:rPr>
          <w:b/>
          <w:bCs/>
          <w:u w:val="single"/>
        </w:rPr>
        <w:t xml:space="preserve"> marginal harm compared to the reputational and professional damage that a conviction on his record brings</w:t>
      </w:r>
      <w:r w:rsidRPr="00D81DA7">
        <w:rPr>
          <w:sz w:val="10"/>
          <w:szCs w:val="16"/>
        </w:rPr>
        <w:t xml:space="preserve">. It is thus highly improbable that even a notional cost-benefit analysis would determine that </w:t>
      </w:r>
      <w:proofErr w:type="spellStart"/>
      <w:r w:rsidRPr="00D81DA7">
        <w:rPr>
          <w:sz w:val="10"/>
          <w:szCs w:val="16"/>
        </w:rPr>
        <w:t>coram</w:t>
      </w:r>
      <w:proofErr w:type="spellEnd"/>
      <w:r w:rsidRPr="00D81DA7">
        <w:rPr>
          <w:sz w:val="10"/>
          <w:szCs w:val="16"/>
        </w:rPr>
        <w:t xml:space="preserve"> nobis is efficient during the imposition of civil disabilities, but inefficient afterwards.</w:t>
      </w:r>
      <w:r w:rsidR="00D81DA7" w:rsidRPr="00D81DA7">
        <w:rPr>
          <w:sz w:val="10"/>
          <w:szCs w:val="16"/>
        </w:rPr>
        <w:t xml:space="preserve"> </w:t>
      </w:r>
      <w:r w:rsidRPr="00D81DA7">
        <w:rPr>
          <w:sz w:val="10"/>
          <w:szCs w:val="16"/>
        </w:rPr>
        <w:footnoteReference w:customMarkFollows="1" w:id="257"/>
        <w:t>266</w:t>
      </w:r>
      <w:r w:rsidR="00D81DA7" w:rsidRPr="00D81DA7">
        <w:rPr>
          <w:sz w:val="10"/>
          <w:szCs w:val="16"/>
        </w:rPr>
        <w:t xml:space="preserve"> </w:t>
      </w:r>
      <w:r w:rsidRPr="00BE2F0E">
        <w:rPr>
          <w:b/>
          <w:bCs/>
          <w:u w:val="single"/>
        </w:rPr>
        <w:t>One might also object to the whole premise of the judicial economy argument, for we do not ordinarily dismiss civil suits for being "inefficient</w:t>
      </w:r>
      <w:r w:rsidRPr="00D81DA7">
        <w:rPr>
          <w:sz w:val="10"/>
          <w:szCs w:val="16"/>
        </w:rPr>
        <w:t>." So long as the plaintiff can show a stake sufficient to maintain standing and a legitimate cause of action, the case proceeds. We do not demand of the plaintiff that he prove that his case is socially efficient and that its determination constitutes the best use of judicial time and resources.</w:t>
      </w:r>
      <w:r w:rsidR="00D81DA7" w:rsidRPr="00D81DA7">
        <w:rPr>
          <w:sz w:val="10"/>
          <w:szCs w:val="16"/>
        </w:rPr>
        <w:t xml:space="preserve"> </w:t>
      </w:r>
      <w:r w:rsidRPr="00D81DA7">
        <w:rPr>
          <w:sz w:val="10"/>
          <w:szCs w:val="16"/>
        </w:rPr>
        <w:t xml:space="preserve">Moreover, </w:t>
      </w:r>
      <w:r w:rsidRPr="00BE2F0E">
        <w:rPr>
          <w:b/>
          <w:bCs/>
          <w:u w:val="single"/>
        </w:rPr>
        <w:t xml:space="preserve">the argument that the federal courts would face a "flood" of </w:t>
      </w:r>
      <w:proofErr w:type="spellStart"/>
      <w:r w:rsidRPr="00BE2F0E">
        <w:rPr>
          <w:b/>
          <w:bCs/>
          <w:u w:val="single"/>
        </w:rPr>
        <w:t>coram</w:t>
      </w:r>
      <w:proofErr w:type="spellEnd"/>
      <w:r w:rsidRPr="00BE2F0E">
        <w:rPr>
          <w:b/>
          <w:bCs/>
          <w:u w:val="single"/>
        </w:rPr>
        <w:t xml:space="preserve"> nobis cases in the absence of the civil disabilities test fails to meet the evidence.</w:t>
      </w:r>
      <w:r w:rsidRPr="004B682E">
        <w:rPr>
          <w:b/>
          <w:bCs/>
          <w:u w:val="single"/>
        </w:rPr>
        <w:t xml:space="preserve"> The Ninth Circuit has offered </w:t>
      </w:r>
      <w:proofErr w:type="spellStart"/>
      <w:r w:rsidRPr="004B682E">
        <w:rPr>
          <w:b/>
          <w:bCs/>
          <w:u w:val="single"/>
        </w:rPr>
        <w:t>coram</w:t>
      </w:r>
      <w:proofErr w:type="spellEnd"/>
      <w:r w:rsidRPr="004B682E">
        <w:rPr>
          <w:b/>
          <w:bCs/>
          <w:u w:val="single"/>
        </w:rPr>
        <w:t xml:space="preserve"> nobis without a civil disabilities test since 1987 and has yet to meet with results that seriously hamper judicial economy</w:t>
      </w:r>
      <w:r w:rsidRPr="00D81DA7">
        <w:rPr>
          <w:sz w:val="10"/>
          <w:szCs w:val="16"/>
        </w:rPr>
        <w:t xml:space="preserve">. Since the year 2000, fewer than 100 </w:t>
      </w:r>
      <w:proofErr w:type="spellStart"/>
      <w:r w:rsidRPr="00D81DA7">
        <w:rPr>
          <w:sz w:val="10"/>
          <w:szCs w:val="16"/>
        </w:rPr>
        <w:t>coram</w:t>
      </w:r>
      <w:proofErr w:type="spellEnd"/>
      <w:r w:rsidRPr="00D81DA7">
        <w:rPr>
          <w:sz w:val="10"/>
          <w:szCs w:val="16"/>
        </w:rPr>
        <w:t xml:space="preserve"> nobis cases have been filed in the Ninth Circuit, hardly a "flood" preventing the Ninth Circuit from dispensing justice in other cases.</w:t>
      </w:r>
      <w:r w:rsidR="00D81DA7" w:rsidRPr="00D81DA7">
        <w:rPr>
          <w:sz w:val="10"/>
          <w:szCs w:val="16"/>
        </w:rPr>
        <w:t xml:space="preserve"> </w:t>
      </w:r>
      <w:r w:rsidRPr="00D81DA7">
        <w:rPr>
          <w:sz w:val="10"/>
          <w:szCs w:val="16"/>
        </w:rPr>
        <w:footnoteReference w:customMarkFollows="1" w:id="258"/>
        <w:t>267 Moreover, to make a doctrinal</w:t>
      </w:r>
      <w:r w:rsidR="00D81DA7" w:rsidRPr="00D81DA7">
        <w:rPr>
          <w:sz w:val="10"/>
          <w:szCs w:val="16"/>
        </w:rPr>
        <w:t xml:space="preserve"> </w:t>
      </w:r>
      <w:r w:rsidRPr="00D81DA7">
        <w:rPr>
          <w:sz w:val="10"/>
          <w:szCs w:val="16"/>
        </w:rPr>
        <w:t>[*1332]</w:t>
      </w:r>
      <w:r w:rsidR="00D81DA7" w:rsidRPr="00D81DA7">
        <w:rPr>
          <w:sz w:val="10"/>
          <w:szCs w:val="16"/>
        </w:rPr>
        <w:t xml:space="preserve"> </w:t>
      </w:r>
      <w:r w:rsidRPr="00D81DA7">
        <w:rPr>
          <w:sz w:val="10"/>
          <w:szCs w:val="16"/>
        </w:rPr>
        <w:t>decision based on a vague fear of opening up the "floodgates of litigation" is to misconstrue the role of the federal judiciary, which is to decide the legitimate cases before it, not to manage its caseload through manipulation of doctrine.</w:t>
      </w:r>
      <w:r w:rsidR="00D81DA7" w:rsidRPr="00D81DA7">
        <w:rPr>
          <w:sz w:val="10"/>
          <w:szCs w:val="16"/>
        </w:rPr>
        <w:t xml:space="preserve"> </w:t>
      </w:r>
      <w:r w:rsidRPr="00D81DA7">
        <w:rPr>
          <w:sz w:val="10"/>
          <w:szCs w:val="16"/>
        </w:rPr>
        <w:footnoteReference w:customMarkFollows="1" w:id="259"/>
        <w:t xml:space="preserve">268 Of course, </w:t>
      </w:r>
      <w:r w:rsidRPr="00BE2F0E">
        <w:rPr>
          <w:b/>
          <w:bCs/>
          <w:u w:val="single"/>
        </w:rPr>
        <w:t xml:space="preserve">judges may be mindful of the practical consequences of their decisions, but </w:t>
      </w:r>
      <w:r w:rsidRPr="004B682E">
        <w:rPr>
          <w:b/>
          <w:bCs/>
          <w:u w:val="single"/>
        </w:rPr>
        <w:t>it is indefensible to limit collateral review on a misguided notion that a marginally more liberal standard would flood the courts</w:t>
      </w:r>
      <w:r w:rsidRPr="00BE2F0E">
        <w:rPr>
          <w:b/>
          <w:bCs/>
          <w:u w:val="single"/>
        </w:rPr>
        <w:t>.</w:t>
      </w:r>
      <w:r w:rsidR="00D81DA7">
        <w:rPr>
          <w:b/>
          <w:bCs/>
          <w:u w:val="single"/>
        </w:rPr>
        <w:t xml:space="preserve"> </w:t>
      </w:r>
      <w:r w:rsidRPr="00D81DA7">
        <w:rPr>
          <w:sz w:val="10"/>
          <w:szCs w:val="16"/>
        </w:rPr>
        <w:t xml:space="preserve">Judge Easterbrook made a related "efficiency" argument in Keane. He suggested that every additional collateral procedure disincentivizes the drive for accuracy at trial. "The prospect of </w:t>
      </w:r>
      <w:proofErr w:type="spellStart"/>
      <w:r w:rsidRPr="00D81DA7">
        <w:rPr>
          <w:sz w:val="10"/>
          <w:szCs w:val="16"/>
        </w:rPr>
        <w:t>relitigation</w:t>
      </w:r>
      <w:proofErr w:type="spellEnd"/>
      <w:r w:rsidRPr="00D81DA7">
        <w:rPr>
          <w:sz w:val="10"/>
          <w:szCs w:val="16"/>
        </w:rPr>
        <w:t>," wrote Judge Easterbrook, "would reduce the effective stakes of the first case, leading to an erosion in accuracy."</w:t>
      </w:r>
      <w:r w:rsidR="00D81DA7" w:rsidRPr="00D81DA7">
        <w:rPr>
          <w:sz w:val="10"/>
          <w:szCs w:val="16"/>
        </w:rPr>
        <w:t xml:space="preserve"> </w:t>
      </w:r>
      <w:r w:rsidRPr="00D81DA7">
        <w:rPr>
          <w:sz w:val="10"/>
          <w:szCs w:val="16"/>
        </w:rPr>
        <w:footnoteReference w:customMarkFollows="1" w:id="260"/>
        <w:t>269 The idea here is that parties to the criminal case should "concentrate their energies and resources on getting things right the first time."</w:t>
      </w:r>
      <w:r w:rsidR="00D81DA7" w:rsidRPr="00D81DA7">
        <w:rPr>
          <w:sz w:val="10"/>
          <w:szCs w:val="16"/>
        </w:rPr>
        <w:t xml:space="preserve"> </w:t>
      </w:r>
      <w:r w:rsidRPr="00D81DA7">
        <w:rPr>
          <w:sz w:val="10"/>
          <w:szCs w:val="16"/>
        </w:rPr>
        <w:footnoteReference w:customMarkFollows="1" w:id="261"/>
        <w:t>270 By providing post-trial and post-appeal procedures to review the case, collateral review lowers the stakes of the trial and thus takes away from the effort and resources invested therein.</w:t>
      </w:r>
      <w:r w:rsidR="00D81DA7" w:rsidRPr="00D81DA7">
        <w:rPr>
          <w:sz w:val="10"/>
          <w:szCs w:val="16"/>
        </w:rPr>
        <w:t xml:space="preserve"> </w:t>
      </w:r>
      <w:r w:rsidRPr="00D81DA7">
        <w:rPr>
          <w:sz w:val="10"/>
          <w:szCs w:val="16"/>
        </w:rPr>
        <w:t xml:space="preserve">For a moment, let us assume the soundness of the argument. The trouble again is that the proponents of the civil disabilities test must show that the end of civil disabilities marks the crucial point in the balance between making collateral review available and incentivizing robust trials. In other words, </w:t>
      </w:r>
      <w:r w:rsidRPr="00BE2F0E">
        <w:rPr>
          <w:b/>
          <w:bCs/>
          <w:u w:val="single"/>
        </w:rPr>
        <w:t>proponents must show that the marginal increase in collateral review that would result from the absence of the civil disabilities test would decisively reduce the stakes of trial such that net systemic accuracy would fall</w:t>
      </w:r>
      <w:r w:rsidRPr="00D81DA7">
        <w:rPr>
          <w:sz w:val="10"/>
          <w:szCs w:val="16"/>
        </w:rPr>
        <w:t>. No such argument has been made.</w:t>
      </w:r>
      <w:r w:rsidR="00D81DA7" w:rsidRPr="00D81DA7">
        <w:rPr>
          <w:sz w:val="10"/>
          <w:szCs w:val="16"/>
        </w:rPr>
        <w:t xml:space="preserve"> </w:t>
      </w:r>
      <w:r w:rsidRPr="00D81DA7">
        <w:rPr>
          <w:sz w:val="10"/>
          <w:szCs w:val="16"/>
        </w:rPr>
        <w:t xml:space="preserve">Moreover, </w:t>
      </w:r>
      <w:r w:rsidRPr="00BE2F0E">
        <w:rPr>
          <w:b/>
          <w:bCs/>
          <w:u w:val="single"/>
        </w:rPr>
        <w:t>collateral review already exists, and it flies in the face of common sense to suspect that criminal defendants routinely choose to forego available defenses because of the availability of collateral review</w:t>
      </w:r>
      <w:r w:rsidRPr="00D81DA7">
        <w:rPr>
          <w:sz w:val="10"/>
        </w:rPr>
        <w:t xml:space="preserve">. </w:t>
      </w:r>
      <w:r w:rsidRPr="00D81DA7">
        <w:rPr>
          <w:sz w:val="10"/>
          <w:szCs w:val="16"/>
        </w:rPr>
        <w:t xml:space="preserve">Professor </w:t>
      </w:r>
      <w:proofErr w:type="spellStart"/>
      <w:r w:rsidRPr="00D81DA7">
        <w:rPr>
          <w:sz w:val="10"/>
          <w:szCs w:val="16"/>
        </w:rPr>
        <w:t>Yackle</w:t>
      </w:r>
      <w:proofErr w:type="spellEnd"/>
      <w:r w:rsidRPr="00D81DA7">
        <w:rPr>
          <w:sz w:val="10"/>
          <w:szCs w:val="16"/>
        </w:rPr>
        <w:t xml:space="preserve"> put it best:</w:t>
      </w:r>
      <w:r w:rsidR="00D81DA7" w:rsidRPr="00D81DA7">
        <w:rPr>
          <w:sz w:val="10"/>
          <w:szCs w:val="16"/>
        </w:rPr>
        <w:t xml:space="preserve"> </w:t>
      </w:r>
      <w:r w:rsidRPr="00D81DA7">
        <w:rPr>
          <w:sz w:val="10"/>
          <w:szCs w:val="16"/>
        </w:rPr>
        <w:t>It would be nonsense for defense attorneys to hold potentially meritorious claims in reserve at trial, when the underlying facts and attendant arguments can be spread on the record and when the claims can either prevent the client's conviction or lay the groundwork for appeal, in order to call them into service later -</w:t>
      </w:r>
      <w:r w:rsidR="00D81DA7" w:rsidRPr="00D81DA7">
        <w:rPr>
          <w:sz w:val="10"/>
          <w:szCs w:val="16"/>
        </w:rPr>
        <w:t xml:space="preserve"> </w:t>
      </w:r>
      <w:r w:rsidRPr="00D81DA7">
        <w:rPr>
          <w:sz w:val="10"/>
          <w:szCs w:val="16"/>
        </w:rPr>
        <w:t>[*1333]</w:t>
      </w:r>
      <w:r w:rsidR="00D81DA7" w:rsidRPr="00D81DA7">
        <w:rPr>
          <w:sz w:val="10"/>
          <w:szCs w:val="16"/>
        </w:rPr>
        <w:t xml:space="preserve"> </w:t>
      </w:r>
      <w:r w:rsidRPr="00D81DA7">
        <w:rPr>
          <w:sz w:val="10"/>
          <w:szCs w:val="16"/>
        </w:rPr>
        <w:t xml:space="preserve">when the claims will suffer from inadequate development in the record and, even at that, can be useful only to attack a conviction already in place. </w:t>
      </w:r>
      <w:r w:rsidRPr="00D81DA7">
        <w:rPr>
          <w:sz w:val="10"/>
          <w:szCs w:val="16"/>
        </w:rPr>
        <w:footnoteReference w:customMarkFollows="1" w:id="262"/>
        <w:t>271</w:t>
      </w:r>
      <w:r w:rsidR="00D81DA7" w:rsidRPr="00D81DA7">
        <w:rPr>
          <w:sz w:val="10"/>
          <w:szCs w:val="16"/>
        </w:rPr>
        <w:t xml:space="preserve"> </w:t>
      </w:r>
      <w:r w:rsidRPr="00D81DA7">
        <w:rPr>
          <w:sz w:val="10"/>
          <w:szCs w:val="16"/>
        </w:rPr>
        <w:t>Simply put, to consciously increase the chances of conviction at trial in the hopes that one can prevail on collateral review would be highly irrational. Thus, as an argument in favor of the civil disabilities test, the theory that the availability of collateral review disincentivizes robust trials fails to persuade. It relies on an unsubstantiated and wildly implausible view of criminal defendant behavior, and it does not begin to explain why the end of civil disabilities marks the best moment at which to cut off collateral review.</w:t>
      </w:r>
      <w:r w:rsidR="00D81DA7" w:rsidRPr="00D81DA7">
        <w:rPr>
          <w:sz w:val="10"/>
          <w:szCs w:val="16"/>
        </w:rPr>
        <w:t xml:space="preserve"> </w:t>
      </w:r>
      <w:r w:rsidRPr="00D81DA7">
        <w:rPr>
          <w:sz w:val="10"/>
          <w:szCs w:val="16"/>
        </w:rPr>
        <w:t>There is one further incentives-based argument that proponents of the civil disabilities test might make. It is an elaboration of the "floodgates" argument, but rather than focusing on the potential flood of litigation, it worries about the backlash to such a flood. Appellate judges, on this account, are correctly concerned with the real-world consequences of their decisions, and they know that any decision holding a criminal statute unconstitutional (or substantively narrowing its scope) will inevitably increase the number of people eligible for collateral review.</w:t>
      </w:r>
      <w:r w:rsidR="00D81DA7" w:rsidRPr="00D81DA7">
        <w:rPr>
          <w:sz w:val="10"/>
          <w:szCs w:val="16"/>
        </w:rPr>
        <w:t xml:space="preserve"> </w:t>
      </w:r>
      <w:r w:rsidRPr="00D81DA7">
        <w:rPr>
          <w:sz w:val="10"/>
          <w:szCs w:val="16"/>
        </w:rPr>
        <w:footnoteReference w:customMarkFollows="1" w:id="263"/>
        <w:t>272 The more collateral review procedures are available, the more fear judges will have that a liberalizing decision will result in a "flood" or disruptively large increase of collateral challenges.</w:t>
      </w:r>
      <w:r w:rsidR="00D81DA7" w:rsidRPr="00D81DA7">
        <w:rPr>
          <w:sz w:val="10"/>
          <w:szCs w:val="16"/>
        </w:rPr>
        <w:t xml:space="preserve"> </w:t>
      </w:r>
      <w:r w:rsidRPr="00D81DA7">
        <w:rPr>
          <w:sz w:val="10"/>
          <w:szCs w:val="16"/>
        </w:rPr>
        <w:footnoteReference w:customMarkFollows="1" w:id="264"/>
        <w:t>273 Thus, insofar as dispensing with the civil disabilities test would increase the availability of collateral review in general, it would also lead to fewer liberalizing decisions in the criminal law.</w:t>
      </w:r>
      <w:r w:rsidR="00D81DA7" w:rsidRPr="00D81DA7">
        <w:rPr>
          <w:sz w:val="10"/>
          <w:szCs w:val="16"/>
        </w:rPr>
        <w:t xml:space="preserve"> </w:t>
      </w:r>
      <w:r w:rsidRPr="00D81DA7">
        <w:rPr>
          <w:sz w:val="10"/>
          <w:szCs w:val="16"/>
        </w:rPr>
        <w:footnoteReference w:customMarkFollows="1" w:id="265"/>
        <w:t>274</w:t>
      </w:r>
      <w:r w:rsidR="00D81DA7" w:rsidRPr="00D81DA7">
        <w:rPr>
          <w:sz w:val="10"/>
          <w:szCs w:val="16"/>
        </w:rPr>
        <w:t xml:space="preserve"> </w:t>
      </w:r>
      <w:r w:rsidRPr="00D81DA7">
        <w:rPr>
          <w:sz w:val="10"/>
          <w:szCs w:val="16"/>
        </w:rPr>
        <w:t>[*1334]</w:t>
      </w:r>
      <w:r w:rsidR="00D81DA7" w:rsidRPr="00D81DA7">
        <w:rPr>
          <w:sz w:val="10"/>
          <w:szCs w:val="16"/>
        </w:rPr>
        <w:t xml:space="preserve"> </w:t>
      </w:r>
      <w:r w:rsidRPr="00D81DA7">
        <w:rPr>
          <w:sz w:val="10"/>
          <w:szCs w:val="16"/>
        </w:rPr>
        <w:t xml:space="preserve">This argument shares the form of the "floodgates" argument, as well as its basic flaws. </w:t>
      </w:r>
      <w:r w:rsidRPr="004B682E">
        <w:rPr>
          <w:b/>
          <w:bCs/>
          <w:u w:val="single"/>
        </w:rPr>
        <w:t>Judges should not</w:t>
      </w:r>
      <w:r w:rsidRPr="00D81DA7">
        <w:rPr>
          <w:sz w:val="10"/>
          <w:szCs w:val="16"/>
        </w:rPr>
        <w:t xml:space="preserve">, as a matter of course, </w:t>
      </w:r>
      <w:r w:rsidRPr="004B682E">
        <w:rPr>
          <w:b/>
          <w:bCs/>
          <w:u w:val="single"/>
        </w:rPr>
        <w:t>take caseload considerations into account when determining the legal rules applicable to a given case</w:t>
      </w:r>
      <w:r w:rsidRPr="00D81DA7">
        <w:rPr>
          <w:sz w:val="10"/>
          <w:szCs w:val="16"/>
        </w:rPr>
        <w:t xml:space="preserve">. To do so is particularly objectionable when trying to determine the constitutionality of a criminal statute or its substantive scope. The question before the court in such cases is whether the legislature has the constitutional authority to criminalize </w:t>
      </w:r>
      <w:proofErr w:type="gramStart"/>
      <w:r w:rsidRPr="00D81DA7">
        <w:rPr>
          <w:sz w:val="10"/>
          <w:szCs w:val="16"/>
        </w:rPr>
        <w:t>particular conduct</w:t>
      </w:r>
      <w:proofErr w:type="gramEnd"/>
      <w:r w:rsidRPr="00D81DA7">
        <w:rPr>
          <w:sz w:val="10"/>
          <w:szCs w:val="16"/>
        </w:rPr>
        <w:t xml:space="preserve"> or whether the legislature actually criminalized the particular conduct at issue. It is not about the consequences for collateral review. If a court held a criminal statute constitutional on the basis of judicial economy concerns, it would permit that which the constitution forbids; and if a court broadly read a criminal statute due to such concerns, it would make criminal that which no legislature criminalized. In either case, </w:t>
      </w:r>
      <w:r w:rsidRPr="00BE2F0E">
        <w:rPr>
          <w:b/>
          <w:bCs/>
          <w:u w:val="single"/>
        </w:rPr>
        <w:t>the court would fundamentally violate its function and role in the separation-of-powers framework</w:t>
      </w:r>
      <w:r w:rsidRPr="00D81DA7">
        <w:rPr>
          <w:sz w:val="10"/>
          <w:szCs w:val="16"/>
        </w:rPr>
        <w:t>.</w:t>
      </w:r>
      <w:r w:rsidR="00D81DA7" w:rsidRPr="00D81DA7">
        <w:rPr>
          <w:sz w:val="10"/>
          <w:szCs w:val="16"/>
        </w:rPr>
        <w:t xml:space="preserve"> </w:t>
      </w:r>
      <w:r w:rsidRPr="00D81DA7">
        <w:rPr>
          <w:sz w:val="10"/>
          <w:szCs w:val="16"/>
        </w:rPr>
        <w:footnoteReference w:customMarkFollows="1" w:id="266"/>
        <w:t>275</w:t>
      </w:r>
      <w:r w:rsidR="00D81DA7" w:rsidRPr="00D81DA7">
        <w:rPr>
          <w:sz w:val="10"/>
          <w:szCs w:val="16"/>
        </w:rPr>
        <w:t xml:space="preserve"> </w:t>
      </w:r>
      <w:r w:rsidRPr="00D81DA7">
        <w:rPr>
          <w:sz w:val="10"/>
          <w:szCs w:val="16"/>
        </w:rPr>
        <w:t>Moreover, decisions that liberalize criminal doctrines (constitutional or statutory) put certain areas out of the reach of the criminal law. Thus,</w:t>
      </w:r>
      <w:r w:rsidRPr="00D81DA7">
        <w:rPr>
          <w:sz w:val="10"/>
        </w:rPr>
        <w:t xml:space="preserve"> </w:t>
      </w:r>
      <w:r w:rsidRPr="00BE2F0E">
        <w:rPr>
          <w:rStyle w:val="Emphasis"/>
        </w:rPr>
        <w:t>any increase in collateral challenges will be offset by the decisions' inherent docket-reducing tendencies</w:t>
      </w:r>
      <w:r w:rsidRPr="00BE2F0E">
        <w:rPr>
          <w:b/>
          <w:bCs/>
          <w:u w:val="single"/>
        </w:rPr>
        <w:t>, at least in the long run</w:t>
      </w:r>
      <w:r w:rsidRPr="00D81DA7">
        <w:rPr>
          <w:sz w:val="10"/>
          <w:szCs w:val="16"/>
        </w:rPr>
        <w:t xml:space="preserve">. </w:t>
      </w:r>
      <w:r w:rsidRPr="00BE2F0E">
        <w:rPr>
          <w:rStyle w:val="Emphasis"/>
        </w:rPr>
        <w:t>Fewer or narrower criminal statutes mean fewer opportunities for prosecution which, in turn, mean fewer opportunities for litigation</w:t>
      </w:r>
      <w:r w:rsidRPr="00D81DA7">
        <w:rPr>
          <w:sz w:val="10"/>
          <w:szCs w:val="16"/>
        </w:rPr>
        <w:t xml:space="preserve">. </w:t>
      </w:r>
      <w:r w:rsidRPr="00BE2F0E">
        <w:rPr>
          <w:rStyle w:val="StyleUnderline"/>
        </w:rPr>
        <w:t>It would be perverse, indeed, if a court purposely expended judicial resources in enforcing unconstitutional laws for the purpose of reducing its caseload</w:t>
      </w:r>
      <w:r w:rsidRPr="00D81DA7">
        <w:rPr>
          <w:sz w:val="10"/>
          <w:szCs w:val="16"/>
        </w:rPr>
        <w:t>.</w:t>
      </w:r>
      <w:r w:rsidR="00D81DA7" w:rsidRPr="00D81DA7">
        <w:rPr>
          <w:sz w:val="10"/>
          <w:szCs w:val="16"/>
        </w:rPr>
        <w:t xml:space="preserve"> </w:t>
      </w:r>
      <w:r w:rsidRPr="00D81DA7">
        <w:rPr>
          <w:sz w:val="10"/>
          <w:szCs w:val="16"/>
        </w:rPr>
        <w:footnoteReference w:customMarkFollows="1" w:id="267"/>
        <w:t>276</w:t>
      </w:r>
      <w:r w:rsidR="00D81DA7" w:rsidRPr="00D81DA7">
        <w:rPr>
          <w:sz w:val="10"/>
          <w:szCs w:val="16"/>
        </w:rPr>
        <w:t xml:space="preserve"> </w:t>
      </w:r>
      <w:r w:rsidRPr="00D81DA7">
        <w:rPr>
          <w:sz w:val="10"/>
          <w:szCs w:val="16"/>
        </w:rPr>
        <w:t xml:space="preserve">And yet it is fair to assume that some or many judges do, in fact, worry about the caseload implications of their decisions, particularly in the realm of collateral review where the number of habeas petitions is a perennial issue of concern. But </w:t>
      </w:r>
      <w:r w:rsidRPr="004B682E">
        <w:rPr>
          <w:b/>
          <w:bCs/>
          <w:u w:val="single"/>
        </w:rPr>
        <w:t>it is highly implausible that the civil disabilities test does any real work in affecting appellate judges' calculations on these matters</w:t>
      </w:r>
      <w:r w:rsidRPr="00D81DA7">
        <w:rPr>
          <w:sz w:val="10"/>
          <w:szCs w:val="16"/>
        </w:rPr>
        <w:t>. It has long been the case that</w:t>
      </w:r>
      <w:r w:rsidR="00D81DA7" w:rsidRPr="00D81DA7">
        <w:rPr>
          <w:sz w:val="10"/>
          <w:szCs w:val="16"/>
        </w:rPr>
        <w:t xml:space="preserve"> </w:t>
      </w:r>
      <w:r w:rsidRPr="00D81DA7">
        <w:rPr>
          <w:sz w:val="10"/>
          <w:szCs w:val="16"/>
        </w:rPr>
        <w:t>[*1335]</w:t>
      </w:r>
      <w:r w:rsidR="00D81DA7" w:rsidRPr="00D81DA7">
        <w:rPr>
          <w:sz w:val="10"/>
          <w:szCs w:val="16"/>
        </w:rPr>
        <w:t xml:space="preserve"> </w:t>
      </w:r>
      <w:r w:rsidRPr="00BE2F0E">
        <w:rPr>
          <w:b/>
          <w:bCs/>
          <w:u w:val="single"/>
        </w:rPr>
        <w:t>new substantive rules</w:t>
      </w:r>
      <w:r w:rsidRPr="00D81DA7">
        <w:rPr>
          <w:sz w:val="10"/>
        </w:rPr>
        <w:t xml:space="preserve"> </w:t>
      </w:r>
      <w:r w:rsidRPr="00D81DA7">
        <w:rPr>
          <w:sz w:val="10"/>
          <w:szCs w:val="16"/>
        </w:rPr>
        <w:t xml:space="preserve">(constitutional or statutory) </w:t>
      </w:r>
      <w:r w:rsidRPr="00BE2F0E">
        <w:rPr>
          <w:b/>
          <w:bCs/>
          <w:u w:val="single"/>
        </w:rPr>
        <w:t>are applied on collateral review, and nobody has argued that this retroactivity has</w:t>
      </w:r>
      <w:r w:rsidRPr="00D81DA7">
        <w:rPr>
          <w:sz w:val="10"/>
          <w:szCs w:val="16"/>
        </w:rPr>
        <w:t xml:space="preserve">, in fact, </w:t>
      </w:r>
      <w:r w:rsidRPr="00BE2F0E">
        <w:rPr>
          <w:b/>
          <w:bCs/>
          <w:u w:val="single"/>
        </w:rPr>
        <w:t>had any discernible effect on constitutional or criminal statutory interpretation</w:t>
      </w:r>
      <w:r w:rsidRPr="00D81DA7">
        <w:rPr>
          <w:sz w:val="10"/>
          <w:szCs w:val="16"/>
        </w:rPr>
        <w:t xml:space="preserve">.  </w:t>
      </w:r>
      <w:r w:rsidRPr="00D81DA7">
        <w:rPr>
          <w:sz w:val="10"/>
          <w:szCs w:val="16"/>
        </w:rPr>
        <w:footnoteReference w:customMarkFollows="1" w:id="268"/>
        <w:t>277</w:t>
      </w:r>
    </w:p>
    <w:p w14:paraId="29C76F11" w14:textId="132071C0" w:rsidR="00EC28CE" w:rsidRDefault="00E050B4" w:rsidP="00E050B4">
      <w:pPr>
        <w:pStyle w:val="Heading4"/>
      </w:pPr>
      <w:r>
        <w:t>More evidence --- Padilla could open the floodgates now --- just a matter of time</w:t>
      </w:r>
    </w:p>
    <w:p w14:paraId="616BE748" w14:textId="77777777" w:rsidR="00E050B4" w:rsidRPr="00E050B4" w:rsidRDefault="00E050B4" w:rsidP="00E050B4"/>
    <w:p w14:paraId="60B3F1FC" w14:textId="77777777" w:rsidR="00E050B4" w:rsidRDefault="00E050B4" w:rsidP="00E050B4">
      <w:pPr>
        <w:rPr>
          <w:rStyle w:val="Style13ptBold"/>
        </w:rPr>
      </w:pPr>
      <w:proofErr w:type="spellStart"/>
      <w:r>
        <w:rPr>
          <w:rStyle w:val="Style13ptBold"/>
        </w:rPr>
        <w:t>Wikstrom</w:t>
      </w:r>
      <w:proofErr w:type="spellEnd"/>
      <w:r>
        <w:rPr>
          <w:rStyle w:val="Style13ptBold"/>
        </w:rPr>
        <w:t xml:space="preserve"> ‘12</w:t>
      </w:r>
    </w:p>
    <w:p w14:paraId="0FAF758A" w14:textId="1610347C" w:rsidR="00EC28CE" w:rsidRDefault="00E050B4" w:rsidP="008550B5">
      <w:r w:rsidRPr="008561DE">
        <w:t xml:space="preserve">(Derek, J.D., Northwestern University School of Law, 2012; B.A., Political Science, The City College of New York, 2009, ““No Logical Stopping-Point”: The Consequences Of Padilla V. </w:t>
      </w:r>
      <w:proofErr w:type="spellStart"/>
      <w:r w:rsidRPr="008561DE">
        <w:t>KenTucky’s</w:t>
      </w:r>
      <w:proofErr w:type="spellEnd"/>
      <w:r w:rsidRPr="008561DE">
        <w:t xml:space="preserve"> Inevitable Expansion,” </w:t>
      </w:r>
      <w:proofErr w:type="spellStart"/>
      <w:r w:rsidRPr="008561DE">
        <w:t>pg</w:t>
      </w:r>
      <w:proofErr w:type="spellEnd"/>
      <w:r w:rsidRPr="008561DE">
        <w:t xml:space="preserve"> online @ </w:t>
      </w:r>
      <w:hyperlink r:id="rId72" w:history="1">
        <w:r w:rsidRPr="008561DE">
          <w:rPr>
            <w:rStyle w:val="Hyperlink"/>
          </w:rPr>
          <w:t>https://scholarlycommons.law.northwestern.edu/cgi/viewcontent.cgi?article=1141&amp;context=nulr</w:t>
        </w:r>
      </w:hyperlink>
      <w:r w:rsidRPr="008561DE">
        <w:t xml:space="preserve"> //um-</w:t>
      </w:r>
      <w:proofErr w:type="spellStart"/>
      <w:r w:rsidRPr="008561DE">
        <w:t>ef</w:t>
      </w:r>
      <w:proofErr w:type="spellEnd"/>
      <w:r w:rsidRPr="008561DE">
        <w:t>)</w:t>
      </w:r>
    </w:p>
    <w:p w14:paraId="0928F4E6" w14:textId="1FB565A0" w:rsidR="00EC28CE" w:rsidRPr="00E050B4" w:rsidRDefault="00EC28CE" w:rsidP="008550B5">
      <w:pPr>
        <w:rPr>
          <w:sz w:val="12"/>
        </w:rPr>
      </w:pPr>
      <w:r w:rsidRPr="00E050B4">
        <w:rPr>
          <w:rStyle w:val="StyleUnderline"/>
        </w:rPr>
        <w:t>The list of collateral consequences of pleading guilty to a crime is a long one</w:t>
      </w:r>
      <w:r w:rsidRPr="00E050B4">
        <w:rPr>
          <w:sz w:val="12"/>
        </w:rPr>
        <w:t xml:space="preserve">. Many of the consequences discussed above are of comparable seriousness to deportation. However, </w:t>
      </w:r>
      <w:r w:rsidRPr="00E050B4">
        <w:rPr>
          <w:rStyle w:val="StyleUnderline"/>
        </w:rPr>
        <w:t>the mere existence of collateral consequences to which Padilla could plausibly be extended</w:t>
      </w:r>
      <w:r w:rsidRPr="00E050B4">
        <w:rPr>
          <w:sz w:val="12"/>
        </w:rPr>
        <w:t xml:space="preserve"> </w:t>
      </w:r>
      <w:r w:rsidRPr="00E050B4">
        <w:rPr>
          <w:rStyle w:val="Emphasis"/>
        </w:rPr>
        <w:t>will not automatically beget extension</w:t>
      </w:r>
      <w:r w:rsidRPr="00E050B4">
        <w:rPr>
          <w:sz w:val="12"/>
        </w:rPr>
        <w:t xml:space="preserve">. </w:t>
      </w:r>
      <w:r w:rsidRPr="00E050B4">
        <w:rPr>
          <w:rStyle w:val="Emphasis"/>
        </w:rPr>
        <w:t>If Padilla is to be extended</w:t>
      </w:r>
      <w:r w:rsidRPr="00E050B4">
        <w:rPr>
          <w:sz w:val="12"/>
        </w:rPr>
        <w:t xml:space="preserve">, </w:t>
      </w:r>
      <w:r w:rsidRPr="00E050B4">
        <w:rPr>
          <w:rStyle w:val="StyleUnderline"/>
        </w:rPr>
        <w:t>individual courts must do the legwork that the majority’s opinion did not, and must make the “logical” leap Justice Scalia’s dissent predicted they would</w:t>
      </w:r>
      <w:r w:rsidRPr="00E050B4">
        <w:rPr>
          <w:sz w:val="12"/>
        </w:rPr>
        <w:t xml:space="preserve">,95 by reading Padilla’s holding broadly enough to reach past immigration. Thus far, only one circuit court has made this leap: the Eleventh Circuit explained the central holding of Padilla as if it applied to collateral consequences in general.96 Such a reading, if adopted in other circuits, would surely open the floodgates that the Padilla majority argued were of no concern.97 The facts of the Eleventh Circuit case are similar to those of Padilla. In 2002, Gary William </w:t>
      </w:r>
      <w:proofErr w:type="spellStart"/>
      <w:r w:rsidRPr="00E050B4">
        <w:rPr>
          <w:sz w:val="12"/>
        </w:rPr>
        <w:t>Bauder</w:t>
      </w:r>
      <w:proofErr w:type="spellEnd"/>
      <w:r w:rsidRPr="00E050B4">
        <w:rPr>
          <w:sz w:val="12"/>
        </w:rPr>
        <w:t xml:space="preserve"> was charged with aggravated stalking of a minor in violation of Florida state law.98 He and his lawyer began plea negotiations, which ended in an agreement to a no-contest plea, in exchange for which </w:t>
      </w:r>
      <w:proofErr w:type="spellStart"/>
      <w:r w:rsidRPr="00E050B4">
        <w:rPr>
          <w:sz w:val="12"/>
        </w:rPr>
        <w:t>Bauder</w:t>
      </w:r>
      <w:proofErr w:type="spellEnd"/>
      <w:r w:rsidRPr="00E050B4">
        <w:rPr>
          <w:sz w:val="12"/>
        </w:rPr>
        <w:t xml:space="preserve"> would serve nine months in prison, one year of “community control,” and five years of probation.99 In 2006, following his release from prison, </w:t>
      </w:r>
      <w:proofErr w:type="spellStart"/>
      <w:r w:rsidRPr="00E050B4">
        <w:rPr>
          <w:sz w:val="12"/>
        </w:rPr>
        <w:t>Bauder</w:t>
      </w:r>
      <w:proofErr w:type="spellEnd"/>
      <w:r w:rsidRPr="00E050B4">
        <w:rPr>
          <w:sz w:val="12"/>
        </w:rPr>
        <w:t xml:space="preserve"> admitted to violations of the terms of his community control, for which he was placed back in prison in December of that year.100 The day before his scheduled release from prison, the state of Florida successfully petitioned to have </w:t>
      </w:r>
      <w:proofErr w:type="spellStart"/>
      <w:r w:rsidRPr="00E050B4">
        <w:rPr>
          <w:sz w:val="12"/>
        </w:rPr>
        <w:t>Bauder</w:t>
      </w:r>
      <w:proofErr w:type="spellEnd"/>
      <w:r w:rsidRPr="00E050B4">
        <w:rPr>
          <w:sz w:val="12"/>
        </w:rPr>
        <w:t xml:space="preserve"> declared a “sexually violent predator.”101 As a result of that petition, </w:t>
      </w:r>
      <w:proofErr w:type="spellStart"/>
      <w:r w:rsidRPr="00E050B4">
        <w:rPr>
          <w:sz w:val="12"/>
        </w:rPr>
        <w:t>Bauder</w:t>
      </w:r>
      <w:proofErr w:type="spellEnd"/>
      <w:r w:rsidRPr="00E050B4">
        <w:rPr>
          <w:sz w:val="12"/>
        </w:rPr>
        <w:t xml:space="preserve"> was involuntarily civilly committed beginning at the conclusion of his prison term; </w:t>
      </w:r>
      <w:proofErr w:type="spellStart"/>
      <w:r w:rsidRPr="00E050B4">
        <w:rPr>
          <w:sz w:val="12"/>
        </w:rPr>
        <w:t>Bauder</w:t>
      </w:r>
      <w:proofErr w:type="spellEnd"/>
      <w:r w:rsidRPr="00E050B4">
        <w:rPr>
          <w:sz w:val="12"/>
        </w:rPr>
        <w:t xml:space="preserve"> was still committed as of the writing of the Eleventh Circuit’s opinion in September</w:t>
      </w:r>
      <w:r w:rsidR="00E050B4" w:rsidRPr="00E050B4">
        <w:rPr>
          <w:sz w:val="12"/>
        </w:rPr>
        <w:t xml:space="preserve"> </w:t>
      </w:r>
      <w:r w:rsidRPr="00E050B4">
        <w:rPr>
          <w:sz w:val="12"/>
        </w:rPr>
        <w:t>2010.102</w:t>
      </w:r>
      <w:r w:rsidR="00E050B4" w:rsidRPr="00E050B4">
        <w:rPr>
          <w:sz w:val="12"/>
        </w:rPr>
        <w:t xml:space="preserve"> </w:t>
      </w:r>
      <w:proofErr w:type="spellStart"/>
      <w:r w:rsidRPr="00E050B4">
        <w:rPr>
          <w:sz w:val="12"/>
        </w:rPr>
        <w:t>Bauder</w:t>
      </w:r>
      <w:proofErr w:type="spellEnd"/>
      <w:r w:rsidRPr="00E050B4">
        <w:rPr>
          <w:sz w:val="12"/>
        </w:rPr>
        <w:t xml:space="preserve"> filed a petition for a writ of habeas corpus in a federal district court in Florida, challenging his civil confinement. In his petition, he alleged that he had received ineffective assistance of counsel because his attorney had affirmatively misadvised him with regard to the possibility of civil commitment.103 The district court granted the petition, finding that </w:t>
      </w:r>
      <w:proofErr w:type="spellStart"/>
      <w:r w:rsidRPr="00E050B4">
        <w:rPr>
          <w:sz w:val="12"/>
        </w:rPr>
        <w:t>Bauder’s</w:t>
      </w:r>
      <w:proofErr w:type="spellEnd"/>
      <w:r w:rsidRPr="00E050B4">
        <w:rPr>
          <w:sz w:val="12"/>
        </w:rPr>
        <w:t xml:space="preserve"> attorney misadvised him and holding that the </w:t>
      </w:r>
      <w:proofErr w:type="spellStart"/>
      <w:r w:rsidRPr="00E050B4">
        <w:rPr>
          <w:sz w:val="12"/>
        </w:rPr>
        <w:t>misadvice</w:t>
      </w:r>
      <w:proofErr w:type="spellEnd"/>
      <w:r w:rsidRPr="00E050B4">
        <w:rPr>
          <w:sz w:val="12"/>
        </w:rPr>
        <w:t xml:space="preserve"> constituted deficient performance and prejudiced him, thus satisfying both parts of the Strickland test.104 On appeal, the state of Florida argued that </w:t>
      </w:r>
      <w:proofErr w:type="spellStart"/>
      <w:r w:rsidRPr="00E050B4">
        <w:rPr>
          <w:sz w:val="12"/>
        </w:rPr>
        <w:t>Bauder’s</w:t>
      </w:r>
      <w:proofErr w:type="spellEnd"/>
      <w:r w:rsidRPr="00E050B4">
        <w:rPr>
          <w:sz w:val="12"/>
        </w:rPr>
        <w:t xml:space="preserve"> attorney had not rendered ineffective assistance because it was not clear whether the collateral consequence of civil commitment would be imposed on Bauder.105 The court rejected this argument and cited Padilla for the proposition that where it is unclear whether a consequence will be imposed on a criminal defendant, the attorney must warn his client of the possible imposition of collateral consequences.106 As a result, the Eleventh Circuit affirmed the lower court’s decision.</w:t>
      </w:r>
      <w:r w:rsidR="00E050B4" w:rsidRPr="00E050B4">
        <w:rPr>
          <w:sz w:val="12"/>
        </w:rPr>
        <w:t xml:space="preserve"> </w:t>
      </w:r>
      <w:r w:rsidRPr="00E050B4">
        <w:rPr>
          <w:sz w:val="12"/>
        </w:rPr>
        <w:t xml:space="preserve">The facts of </w:t>
      </w:r>
      <w:proofErr w:type="spellStart"/>
      <w:r w:rsidRPr="00E050B4">
        <w:rPr>
          <w:sz w:val="12"/>
        </w:rPr>
        <w:t>Bauder</w:t>
      </w:r>
      <w:proofErr w:type="spellEnd"/>
      <w:r w:rsidRPr="00E050B4">
        <w:rPr>
          <w:sz w:val="12"/>
        </w:rPr>
        <w:t xml:space="preserve"> were fairly similar to those of Padilla (both defendants were subjected to a collateral consequence due to a guilty plea and both received affirmative </w:t>
      </w:r>
      <w:proofErr w:type="spellStart"/>
      <w:r w:rsidRPr="00E050B4">
        <w:rPr>
          <w:sz w:val="12"/>
        </w:rPr>
        <w:t>misadvice</w:t>
      </w:r>
      <w:proofErr w:type="spellEnd"/>
      <w:r w:rsidRPr="00E050B4">
        <w:rPr>
          <w:sz w:val="12"/>
        </w:rPr>
        <w:t xml:space="preserve"> from counsel about the possible imposition of the consequence), but </w:t>
      </w:r>
      <w:proofErr w:type="spellStart"/>
      <w:r w:rsidRPr="00E050B4">
        <w:rPr>
          <w:sz w:val="12"/>
        </w:rPr>
        <w:t>Bauder</w:t>
      </w:r>
      <w:proofErr w:type="spellEnd"/>
      <w:r w:rsidRPr="00E050B4">
        <w:rPr>
          <w:sz w:val="12"/>
        </w:rPr>
        <w:t xml:space="preserve"> suffered a different collateral consequence. The Eleventh Circuit’s holding in </w:t>
      </w:r>
      <w:proofErr w:type="spellStart"/>
      <w:r w:rsidRPr="00E050B4">
        <w:rPr>
          <w:sz w:val="12"/>
        </w:rPr>
        <w:t>Bauder</w:t>
      </w:r>
      <w:proofErr w:type="spellEnd"/>
      <w:r w:rsidRPr="00E050B4">
        <w:rPr>
          <w:sz w:val="12"/>
        </w:rPr>
        <w:t xml:space="preserve"> differed from Padilla in that the court seemed to rely upon counsel’s </w:t>
      </w:r>
      <w:proofErr w:type="spellStart"/>
      <w:r w:rsidRPr="00E050B4">
        <w:rPr>
          <w:sz w:val="12"/>
        </w:rPr>
        <w:t>misadvice</w:t>
      </w:r>
      <w:proofErr w:type="spellEnd"/>
      <w:r w:rsidRPr="00E050B4">
        <w:rPr>
          <w:sz w:val="12"/>
        </w:rPr>
        <w:t xml:space="preserve">, rather than counsel’s failure to warn.107 However, the Eleventh Circuit nevertheless cited Padilla as broadly requiring that “a criminal defense attorney must advise his client” that the plea may carry a risk of collateral consequences.108 </w:t>
      </w:r>
      <w:r w:rsidRPr="00E050B4">
        <w:rPr>
          <w:rStyle w:val="StyleUnderline"/>
        </w:rPr>
        <w:t xml:space="preserve">The </w:t>
      </w:r>
      <w:proofErr w:type="spellStart"/>
      <w:r w:rsidRPr="00E050B4">
        <w:rPr>
          <w:rStyle w:val="StyleUnderline"/>
        </w:rPr>
        <w:t>Bauder</w:t>
      </w:r>
      <w:proofErr w:type="spellEnd"/>
      <w:r w:rsidRPr="00E050B4">
        <w:rPr>
          <w:rStyle w:val="StyleUnderline"/>
        </w:rPr>
        <w:t xml:space="preserve"> court’s restatement of Padilla, replacing “deportation consequences” with the much broader “collateral consequences,” extends Padilla to its outer limit</w:t>
      </w:r>
      <w:r w:rsidRPr="00E050B4">
        <w:rPr>
          <w:sz w:val="12"/>
        </w:rPr>
        <w:t xml:space="preserve">—a requirement of Padilla warnings for all criminal defendants about all collateral consequences. </w:t>
      </w:r>
      <w:r w:rsidRPr="00E050B4">
        <w:rPr>
          <w:rStyle w:val="Emphasis"/>
        </w:rPr>
        <w:t xml:space="preserve">It remains to be seen whether other circuits will apply the </w:t>
      </w:r>
      <w:proofErr w:type="spellStart"/>
      <w:r w:rsidRPr="00E050B4">
        <w:rPr>
          <w:rStyle w:val="Emphasis"/>
        </w:rPr>
        <w:t>Bauder</w:t>
      </w:r>
      <w:proofErr w:type="spellEnd"/>
      <w:r w:rsidRPr="00E050B4">
        <w:rPr>
          <w:rStyle w:val="Emphasis"/>
        </w:rPr>
        <w:t xml:space="preserve"> court’s reading of Padilla.</w:t>
      </w:r>
      <w:r w:rsidRPr="00E050B4">
        <w:rPr>
          <w:sz w:val="12"/>
        </w:rPr>
        <w:t xml:space="preserve"> However, </w:t>
      </w:r>
      <w:proofErr w:type="spellStart"/>
      <w:r w:rsidRPr="00E050B4">
        <w:rPr>
          <w:sz w:val="12"/>
        </w:rPr>
        <w:t>Bauder</w:t>
      </w:r>
      <w:proofErr w:type="spellEnd"/>
      <w:r w:rsidRPr="00E050B4">
        <w:rPr>
          <w:sz w:val="12"/>
        </w:rPr>
        <w:t xml:space="preserve"> makes clear that </w:t>
      </w:r>
      <w:r w:rsidRPr="00E050B4">
        <w:rPr>
          <w:rStyle w:val="StyleUnderline"/>
        </w:rPr>
        <w:t>an extension, to some or even all collateral consequences of guilty pleas, is quite plausible.</w:t>
      </w:r>
      <w:r w:rsidRPr="00E050B4">
        <w:rPr>
          <w:sz w:val="12"/>
        </w:rPr>
        <w:t xml:space="preserve"> </w:t>
      </w:r>
    </w:p>
    <w:p w14:paraId="0ED316CB" w14:textId="77777777" w:rsidR="00EC28CE" w:rsidRDefault="00EC28CE" w:rsidP="008550B5"/>
    <w:p w14:paraId="78577E21" w14:textId="77777777" w:rsidR="007B32AD" w:rsidRPr="007B32AD" w:rsidRDefault="007B32AD" w:rsidP="007B32AD"/>
    <w:p w14:paraId="577FC545" w14:textId="77777777" w:rsidR="00C058DE" w:rsidRPr="00256382" w:rsidRDefault="00C058DE" w:rsidP="008550B5"/>
    <w:p w14:paraId="1ED66459" w14:textId="213C6B61" w:rsidR="008550B5" w:rsidRDefault="008550B5" w:rsidP="00A43C3D">
      <w:pPr>
        <w:pStyle w:val="Heading2"/>
      </w:pPr>
      <w:r>
        <w:t>Elections</w:t>
      </w:r>
      <w:r w:rsidR="00572D60">
        <w:t xml:space="preserve"> Answers</w:t>
      </w:r>
    </w:p>
    <w:p w14:paraId="55852D6F" w14:textId="1D46A7E7" w:rsidR="00D22548" w:rsidRDefault="00795167" w:rsidP="00795167">
      <w:pPr>
        <w:pStyle w:val="Heading3"/>
      </w:pPr>
      <w:r>
        <w:t>2AC Link Turn</w:t>
      </w:r>
    </w:p>
    <w:p w14:paraId="2F3D8B17" w14:textId="2E3FF191" w:rsidR="00F25181" w:rsidRDefault="00F25181" w:rsidP="00F25181">
      <w:pPr>
        <w:pStyle w:val="Heading4"/>
      </w:pPr>
      <w:r>
        <w:t>The plan is a double-</w:t>
      </w:r>
      <w:proofErr w:type="spellStart"/>
      <w:r>
        <w:t>wammy</w:t>
      </w:r>
      <w:proofErr w:type="spellEnd"/>
      <w:r>
        <w:t xml:space="preserve"> for trump --- </w:t>
      </w:r>
    </w:p>
    <w:p w14:paraId="66230C3C" w14:textId="69993B5A" w:rsidR="00F25181" w:rsidRDefault="00F25181" w:rsidP="00F25181"/>
    <w:p w14:paraId="3686D891" w14:textId="0BC21D27" w:rsidR="00F25181" w:rsidRDefault="00F25181" w:rsidP="00F25181">
      <w:pPr>
        <w:pStyle w:val="Heading4"/>
        <w:numPr>
          <w:ilvl w:val="0"/>
          <w:numId w:val="13"/>
        </w:numPr>
      </w:pPr>
      <w:r>
        <w:t xml:space="preserve">Restores felon voting rights which is MASSIVELY unpopular </w:t>
      </w:r>
    </w:p>
    <w:p w14:paraId="30E529B3" w14:textId="6845E1A4" w:rsidR="00F25181" w:rsidRDefault="00F25181" w:rsidP="00F25181">
      <w:pPr>
        <w:pStyle w:val="Heading4"/>
        <w:numPr>
          <w:ilvl w:val="0"/>
          <w:numId w:val="13"/>
        </w:numPr>
      </w:pPr>
      <w:r>
        <w:t>Infuses massive amounts of democratic voters --- that guts trumps</w:t>
      </w:r>
    </w:p>
    <w:p w14:paraId="2D2D50E5" w14:textId="07FCE8D4" w:rsidR="00F25181" w:rsidRDefault="00F25181" w:rsidP="00F25181"/>
    <w:p w14:paraId="0C7CCECE" w14:textId="281B5255" w:rsidR="00641BB3" w:rsidRDefault="00641BB3" w:rsidP="00F25181">
      <w:pPr>
        <w:rPr>
          <w:rStyle w:val="Style13ptBold"/>
        </w:rPr>
      </w:pPr>
      <w:r>
        <w:rPr>
          <w:rStyle w:val="Style13ptBold"/>
        </w:rPr>
        <w:t>Lopez ‘19</w:t>
      </w:r>
    </w:p>
    <w:p w14:paraId="3B324EA9" w14:textId="0980F1FE" w:rsidR="00641BB3" w:rsidRPr="00641BB3" w:rsidRDefault="00641BB3" w:rsidP="00641BB3">
      <w:r w:rsidRPr="00641BB3">
        <w:t xml:space="preserve">(“The Democratic debate over letting people in prison vote, explained,” </w:t>
      </w:r>
      <w:proofErr w:type="spellStart"/>
      <w:r w:rsidRPr="00641BB3">
        <w:t>pg</w:t>
      </w:r>
      <w:proofErr w:type="spellEnd"/>
      <w:r w:rsidRPr="00641BB3">
        <w:t xml:space="preserve"> online @ </w:t>
      </w:r>
      <w:hyperlink r:id="rId73" w:history="1">
        <w:r w:rsidRPr="00641BB3">
          <w:rPr>
            <w:rStyle w:val="Hyperlink"/>
          </w:rPr>
          <w:t>https://www.vox.com/policy-and-politics/2019/5/13/18535423/prisoner-felon-voting-rights-bernie-sanders-2020</w:t>
        </w:r>
      </w:hyperlink>
      <w:r w:rsidRPr="00641BB3">
        <w:t xml:space="preserve"> //um-</w:t>
      </w:r>
      <w:proofErr w:type="spellStart"/>
      <w:r w:rsidRPr="00641BB3">
        <w:t>ef</w:t>
      </w:r>
      <w:proofErr w:type="spellEnd"/>
      <w:r w:rsidRPr="00641BB3">
        <w:t>)</w:t>
      </w:r>
    </w:p>
    <w:p w14:paraId="18C0DA73" w14:textId="60502CE3" w:rsidR="009D674A" w:rsidRPr="00641BB3" w:rsidRDefault="009D674A" w:rsidP="00F25181">
      <w:pPr>
        <w:rPr>
          <w:sz w:val="10"/>
        </w:rPr>
      </w:pPr>
      <w:r w:rsidRPr="00641BB3">
        <w:rPr>
          <w:rStyle w:val="StyleUnderline"/>
        </w:rPr>
        <w:t>The idea of letting people in prison vote is very unpopular</w:t>
      </w:r>
      <w:r w:rsidRPr="00641BB3">
        <w:rPr>
          <w:sz w:val="10"/>
        </w:rPr>
        <w:t xml:space="preserve">. A recent poll from the Hill and Harris X found that </w:t>
      </w:r>
      <w:r w:rsidRPr="00641BB3">
        <w:rPr>
          <w:rStyle w:val="StyleUnderline"/>
        </w:rPr>
        <w:t xml:space="preserve">69 percent of registered voters — and 61 percent of Democrats — said people who are incarcerated for a felony </w:t>
      </w:r>
      <w:proofErr w:type="gramStart"/>
      <w:r w:rsidRPr="00641BB3">
        <w:rPr>
          <w:rStyle w:val="StyleUnderline"/>
        </w:rPr>
        <w:t>shouldn’t</w:t>
      </w:r>
      <w:proofErr w:type="gramEnd"/>
      <w:r w:rsidRPr="00641BB3">
        <w:rPr>
          <w:rStyle w:val="StyleUnderline"/>
        </w:rPr>
        <w:t xml:space="preserve"> be allowed to vote</w:t>
      </w:r>
      <w:r w:rsidRPr="00641BB3">
        <w:rPr>
          <w:sz w:val="10"/>
        </w:rPr>
        <w:t>.</w:t>
      </w:r>
      <w:r w:rsidR="00641BB3" w:rsidRPr="00641BB3">
        <w:rPr>
          <w:sz w:val="10"/>
        </w:rPr>
        <w:t xml:space="preserve"> </w:t>
      </w:r>
      <w:r w:rsidRPr="00641BB3">
        <w:rPr>
          <w:sz w:val="10"/>
        </w:rPr>
        <w:t>Another poll by YouGov found that 65 percent of Americans disagree with Sanders’s statement that all prisoners, including “terrible people” like the Boston Marathon bomber, should be allowed to vote.</w:t>
      </w:r>
      <w:r w:rsidR="00641BB3" w:rsidRPr="00641BB3">
        <w:rPr>
          <w:sz w:val="10"/>
        </w:rPr>
        <w:t xml:space="preserve"> </w:t>
      </w:r>
      <w:r w:rsidRPr="00641BB3">
        <w:rPr>
          <w:rStyle w:val="StyleUnderline"/>
        </w:rPr>
        <w:t>There is support for letting people vote after they complete their sentences</w:t>
      </w:r>
      <w:r w:rsidRPr="00641BB3">
        <w:rPr>
          <w:sz w:val="10"/>
        </w:rPr>
        <w:t xml:space="preserve">. YouGov found that 65 percent of Americans agree that people convicted of a nonviolent felony should be allowed to vote after they have completed their sentences. And in Florida, voters approved an initiative, with nearly 65 percent in favor, letting people convicted of felonies vote once </w:t>
      </w:r>
      <w:proofErr w:type="gramStart"/>
      <w:r w:rsidRPr="00641BB3">
        <w:rPr>
          <w:sz w:val="10"/>
        </w:rPr>
        <w:t>they’ve</w:t>
      </w:r>
      <w:proofErr w:type="gramEnd"/>
      <w:r w:rsidRPr="00641BB3">
        <w:rPr>
          <w:sz w:val="10"/>
        </w:rPr>
        <w:t xml:space="preserve"> completed their sentences, </w:t>
      </w:r>
      <w:r w:rsidRPr="00641BB3">
        <w:rPr>
          <w:rStyle w:val="StyleUnderline"/>
        </w:rPr>
        <w:t>with exceptions for those convicted of murder or felony sex offenses</w:t>
      </w:r>
      <w:r w:rsidRPr="00641BB3">
        <w:rPr>
          <w:sz w:val="10"/>
        </w:rPr>
        <w:t>.</w:t>
      </w:r>
      <w:r w:rsidR="00641BB3" w:rsidRPr="00641BB3">
        <w:rPr>
          <w:sz w:val="10"/>
        </w:rPr>
        <w:t xml:space="preserve"> </w:t>
      </w:r>
      <w:r w:rsidRPr="00641BB3">
        <w:rPr>
          <w:sz w:val="10"/>
        </w:rPr>
        <w:t xml:space="preserve">But with the poll numbers on prisoners’ voting rights, </w:t>
      </w:r>
      <w:proofErr w:type="gramStart"/>
      <w:r w:rsidRPr="00641BB3">
        <w:rPr>
          <w:rStyle w:val="StyleUnderline"/>
        </w:rPr>
        <w:t>it’s</w:t>
      </w:r>
      <w:proofErr w:type="gramEnd"/>
      <w:r w:rsidRPr="00641BB3">
        <w:rPr>
          <w:rStyle w:val="StyleUnderline"/>
        </w:rPr>
        <w:t xml:space="preserve"> not hard to guess why a bunch of Democratic candidates might be cautious about supporting the idea</w:t>
      </w:r>
      <w:r w:rsidRPr="00641BB3">
        <w:rPr>
          <w:sz w:val="10"/>
        </w:rPr>
        <w:t>.</w:t>
      </w:r>
      <w:r w:rsidR="00641BB3" w:rsidRPr="00641BB3">
        <w:rPr>
          <w:sz w:val="10"/>
        </w:rPr>
        <w:t xml:space="preserve"> </w:t>
      </w:r>
      <w:r w:rsidRPr="00641BB3">
        <w:rPr>
          <w:sz w:val="10"/>
        </w:rPr>
        <w:t xml:space="preserve">This has come up with some other issues in the Democratic primaries, like reparations. While some Democrats may </w:t>
      </w:r>
      <w:proofErr w:type="gramStart"/>
      <w:r w:rsidRPr="00641BB3">
        <w:rPr>
          <w:sz w:val="10"/>
        </w:rPr>
        <w:t>truly believe</w:t>
      </w:r>
      <w:proofErr w:type="gramEnd"/>
      <w:r w:rsidRPr="00641BB3">
        <w:rPr>
          <w:sz w:val="10"/>
        </w:rPr>
        <w:t xml:space="preserve"> that reparations are good policy, </w:t>
      </w:r>
      <w:r w:rsidRPr="00641BB3">
        <w:rPr>
          <w:rStyle w:val="Emphasis"/>
        </w:rPr>
        <w:t>they’re still widely viewed as politically toxic</w:t>
      </w:r>
      <w:r w:rsidRPr="00641BB3">
        <w:rPr>
          <w:sz w:val="10"/>
        </w:rPr>
        <w:t>. Sanders himself previously took this approach when asked about reparations, calling the idea “very divisive” in 2016.</w:t>
      </w:r>
      <w:r w:rsidR="00641BB3" w:rsidRPr="00641BB3">
        <w:rPr>
          <w:sz w:val="10"/>
        </w:rPr>
        <w:t xml:space="preserve"> </w:t>
      </w:r>
      <w:r w:rsidRPr="00641BB3">
        <w:rPr>
          <w:sz w:val="10"/>
        </w:rPr>
        <w:t>But in other instances, and seemingly with prisoner voting rights, Sanders has stuck his neck out in support of political causes. He is, after all, a self-described socialist willing to take on the establishment. His entire 2016 campaign against Hillary Clinton was widely considered a long shot, but he launched it anyway largely to move the party to the left on issues like college and health care.</w:t>
      </w:r>
      <w:r w:rsidR="00641BB3" w:rsidRPr="00641BB3">
        <w:rPr>
          <w:sz w:val="10"/>
        </w:rPr>
        <w:t xml:space="preserve"> </w:t>
      </w:r>
      <w:r w:rsidRPr="00641BB3">
        <w:rPr>
          <w:sz w:val="10"/>
        </w:rPr>
        <w:t xml:space="preserve">To Sanders’s credit, this worked. Today, Democrats are tripping over themselves in voicing their support for Medicare-for-all or at least some sort of expansion of public health insurance. </w:t>
      </w:r>
      <w:proofErr w:type="gramStart"/>
      <w:r w:rsidRPr="00641BB3">
        <w:rPr>
          <w:sz w:val="10"/>
        </w:rPr>
        <w:t>It’s</w:t>
      </w:r>
      <w:proofErr w:type="gramEnd"/>
      <w:r w:rsidRPr="00641BB3">
        <w:rPr>
          <w:sz w:val="10"/>
        </w:rPr>
        <w:t xml:space="preserve"> hard to see that happening, or the broader conversation about single-payer health care in general, without Sanders putting the issue at the front of his 2016 bid for the White House.</w:t>
      </w:r>
      <w:r w:rsidR="00641BB3" w:rsidRPr="00641BB3">
        <w:rPr>
          <w:sz w:val="10"/>
        </w:rPr>
        <w:t xml:space="preserve"> </w:t>
      </w:r>
      <w:r w:rsidRPr="00641BB3">
        <w:rPr>
          <w:sz w:val="10"/>
        </w:rPr>
        <w:t>For activists, this is what they want to see. As the ACLU explained, “If we can raise the volume on key issues like criminal justice reform, immigration, voting rights and reproductive freedom with presidential candidates before the 2020 primaries, we can make sure civil rights and civil liberties are front and center.”</w:t>
      </w:r>
      <w:r w:rsidR="00641BB3" w:rsidRPr="00641BB3">
        <w:rPr>
          <w:sz w:val="10"/>
        </w:rPr>
        <w:t xml:space="preserve"> </w:t>
      </w:r>
      <w:r w:rsidRPr="00641BB3">
        <w:rPr>
          <w:sz w:val="10"/>
        </w:rPr>
        <w:t xml:space="preserve">For many Democrats, though, this </w:t>
      </w:r>
      <w:proofErr w:type="gramStart"/>
      <w:r w:rsidRPr="00641BB3">
        <w:rPr>
          <w:sz w:val="10"/>
        </w:rPr>
        <w:t>isn’t</w:t>
      </w:r>
      <w:proofErr w:type="gramEnd"/>
      <w:r w:rsidRPr="00641BB3">
        <w:rPr>
          <w:sz w:val="10"/>
        </w:rPr>
        <w:t xml:space="preserve"> the time for stands purely based on principle. An overwhelming focus of the 2020 Democratic primaries is to find a candidate who can beat Trump. The notion of “electability” is one of the reasons that former Vice President Joe Biden is leading in the polls. </w:t>
      </w:r>
      <w:proofErr w:type="gramStart"/>
      <w:r w:rsidRPr="00641BB3">
        <w:rPr>
          <w:sz w:val="10"/>
        </w:rPr>
        <w:t>So</w:t>
      </w:r>
      <w:proofErr w:type="gramEnd"/>
      <w:r w:rsidRPr="00641BB3">
        <w:rPr>
          <w:sz w:val="10"/>
        </w:rPr>
        <w:t xml:space="preserve"> taking up a cause that is very unpopular and could help Democrats lose the 2020 election is a nonstarter for many, even those who may in theory support giving people in prison the right to vote nationwide.</w:t>
      </w:r>
      <w:r w:rsidR="00641BB3" w:rsidRPr="00641BB3">
        <w:rPr>
          <w:sz w:val="10"/>
        </w:rPr>
        <w:t xml:space="preserve"> </w:t>
      </w:r>
      <w:r w:rsidRPr="00641BB3">
        <w:rPr>
          <w:rStyle w:val="StyleUnderline"/>
        </w:rPr>
        <w:t>There may be</w:t>
      </w:r>
      <w:r w:rsidRPr="00641BB3">
        <w:rPr>
          <w:sz w:val="10"/>
        </w:rPr>
        <w:t xml:space="preserve"> some </w:t>
      </w:r>
      <w:r w:rsidRPr="00641BB3">
        <w:rPr>
          <w:rStyle w:val="StyleUnderline"/>
        </w:rPr>
        <w:t>political incentives for Democrats to embrace Sanders’s views on prisoner voting rights</w:t>
      </w:r>
      <w:r w:rsidRPr="00641BB3">
        <w:rPr>
          <w:sz w:val="10"/>
        </w:rPr>
        <w:t xml:space="preserve">, though. The </w:t>
      </w:r>
      <w:r w:rsidRPr="00641BB3">
        <w:rPr>
          <w:rStyle w:val="Emphasis"/>
        </w:rPr>
        <w:t>research indicates that letting people convicted of felonies vote could disproportionately benefit Democrats</w:t>
      </w:r>
      <w:r w:rsidRPr="00641BB3">
        <w:rPr>
          <w:sz w:val="10"/>
        </w:rPr>
        <w:t xml:space="preserve">. </w:t>
      </w:r>
      <w:proofErr w:type="gramStart"/>
      <w:r w:rsidRPr="00641BB3">
        <w:rPr>
          <w:rStyle w:val="Emphasis"/>
        </w:rPr>
        <w:t>That’s</w:t>
      </w:r>
      <w:proofErr w:type="gramEnd"/>
      <w:r w:rsidRPr="00641BB3">
        <w:rPr>
          <w:rStyle w:val="Emphasis"/>
        </w:rPr>
        <w:t xml:space="preserve"> made Republicans more resistant to the idea</w:t>
      </w:r>
      <w:r w:rsidRPr="00641BB3">
        <w:rPr>
          <w:sz w:val="10"/>
        </w:rPr>
        <w:t xml:space="preserve"> — </w:t>
      </w:r>
      <w:r w:rsidRPr="00641BB3">
        <w:rPr>
          <w:rStyle w:val="StyleUnderline"/>
        </w:rPr>
        <w:t>Trump and</w:t>
      </w:r>
      <w:r w:rsidRPr="00641BB3">
        <w:rPr>
          <w:sz w:val="10"/>
        </w:rPr>
        <w:t xml:space="preserve"> Vice President Mike </w:t>
      </w:r>
      <w:r w:rsidRPr="00641BB3">
        <w:rPr>
          <w:rStyle w:val="StyleUnderline"/>
        </w:rPr>
        <w:t>Pence criticized</w:t>
      </w:r>
      <w:r w:rsidRPr="00641BB3">
        <w:rPr>
          <w:sz w:val="10"/>
        </w:rPr>
        <w:t xml:space="preserve"> Sanders’s </w:t>
      </w:r>
      <w:r w:rsidRPr="00641BB3">
        <w:rPr>
          <w:rStyle w:val="StyleUnderline"/>
        </w:rPr>
        <w:t>comments</w:t>
      </w:r>
      <w:r w:rsidRPr="00641BB3">
        <w:rPr>
          <w:sz w:val="10"/>
        </w:rPr>
        <w:t xml:space="preserve"> — but it could make Democrats more receptive, too.</w:t>
      </w:r>
    </w:p>
    <w:p w14:paraId="37609B5F" w14:textId="10354BCE" w:rsidR="009D674A" w:rsidRDefault="009D674A" w:rsidP="00F25181"/>
    <w:p w14:paraId="67A9CB77" w14:textId="77777777" w:rsidR="009D674A" w:rsidRDefault="009D674A" w:rsidP="00F25181"/>
    <w:p w14:paraId="04E1C388" w14:textId="6416F0D3" w:rsidR="009D674A" w:rsidRDefault="009D674A" w:rsidP="00F25181"/>
    <w:p w14:paraId="76BF3341" w14:textId="77777777" w:rsidR="007D144B" w:rsidRDefault="007D144B" w:rsidP="007D144B">
      <w:pPr>
        <w:pStyle w:val="Heading3"/>
      </w:pPr>
      <w:r>
        <w:t xml:space="preserve">1AR Link Turn </w:t>
      </w:r>
    </w:p>
    <w:p w14:paraId="201E3755" w14:textId="77777777" w:rsidR="007D144B" w:rsidRDefault="007D144B" w:rsidP="007D144B"/>
    <w:p w14:paraId="423D6EF4" w14:textId="77777777" w:rsidR="007D144B" w:rsidRDefault="007D144B" w:rsidP="007D144B"/>
    <w:p w14:paraId="49D64D86" w14:textId="77777777" w:rsidR="007D144B" w:rsidRDefault="007D144B" w:rsidP="007D144B">
      <w:pPr>
        <w:pStyle w:val="Heading4"/>
      </w:pPr>
      <w:r>
        <w:t xml:space="preserve">***Re-enfranchising lets the </w:t>
      </w:r>
      <w:proofErr w:type="spellStart"/>
      <w:r>
        <w:t>dems</w:t>
      </w:r>
      <w:proofErr w:type="spellEnd"/>
      <w:r>
        <w:t xml:space="preserve"> win the election</w:t>
      </w:r>
    </w:p>
    <w:p w14:paraId="3D68E113" w14:textId="77777777" w:rsidR="007D144B" w:rsidRDefault="007D144B" w:rsidP="007D144B"/>
    <w:p w14:paraId="7B8F761B" w14:textId="77777777" w:rsidR="007D144B" w:rsidRDefault="007D144B" w:rsidP="007D144B">
      <w:pPr>
        <w:rPr>
          <w:rStyle w:val="Style13ptBold"/>
        </w:rPr>
      </w:pPr>
      <w:proofErr w:type="spellStart"/>
      <w:r>
        <w:rPr>
          <w:rStyle w:val="Style13ptBold"/>
        </w:rPr>
        <w:t>Purtle</w:t>
      </w:r>
      <w:proofErr w:type="spellEnd"/>
      <w:r>
        <w:rPr>
          <w:rStyle w:val="Style13ptBold"/>
        </w:rPr>
        <w:t xml:space="preserve"> ‘13</w:t>
      </w:r>
    </w:p>
    <w:p w14:paraId="49B2F2B4" w14:textId="77777777" w:rsidR="007D144B" w:rsidRPr="00ED3558" w:rsidRDefault="007D144B" w:rsidP="007D144B">
      <w:r w:rsidRPr="00ED3558">
        <w:t>(</w:t>
      </w:r>
      <w:r>
        <w:t xml:space="preserve">Jonathan </w:t>
      </w:r>
      <w:proofErr w:type="spellStart"/>
      <w:r>
        <w:t>Purtle</w:t>
      </w:r>
      <w:proofErr w:type="spellEnd"/>
      <w:r>
        <w:t xml:space="preserve"> is with the Center for Nonviolence and Social Justice at Drexel University College of Medicine, Philadelphia, PA and the DrPH program in Health Policy and Social Justice in the Department of Health Management and Policy at the Drexel School of Public Health, Philadelphia, </w:t>
      </w:r>
      <w:r w:rsidRPr="00ED3558">
        <w:t xml:space="preserve">“Felon Disenfranchisement in the United States: A Health Equity Perspective,” </w:t>
      </w:r>
      <w:proofErr w:type="spellStart"/>
      <w:r w:rsidRPr="00ED3558">
        <w:t>pg</w:t>
      </w:r>
      <w:proofErr w:type="spellEnd"/>
      <w:r w:rsidRPr="00ED3558">
        <w:t xml:space="preserve"> online @ </w:t>
      </w:r>
      <w:hyperlink r:id="rId74" w:history="1">
        <w:r w:rsidRPr="00ED3558">
          <w:rPr>
            <w:rStyle w:val="Hyperlink"/>
          </w:rPr>
          <w:t>https://www.ncbi.nlm.nih.gov/pmc/articles/PMC3673242/</w:t>
        </w:r>
      </w:hyperlink>
      <w:r w:rsidRPr="00ED3558">
        <w:t xml:space="preserve"> //um-</w:t>
      </w:r>
      <w:proofErr w:type="spellStart"/>
      <w:r w:rsidRPr="00ED3558">
        <w:t>ef</w:t>
      </w:r>
      <w:proofErr w:type="spellEnd"/>
      <w:r w:rsidRPr="00ED3558">
        <w:t>)</w:t>
      </w:r>
    </w:p>
    <w:p w14:paraId="7115B7D5" w14:textId="77777777" w:rsidR="007D144B" w:rsidRPr="00B92D5C" w:rsidRDefault="007D144B" w:rsidP="007D144B">
      <w:pPr>
        <w:rPr>
          <w:sz w:val="12"/>
        </w:rPr>
      </w:pPr>
      <w:r w:rsidRPr="00B92D5C">
        <w:rPr>
          <w:sz w:val="12"/>
        </w:rPr>
        <w:t xml:space="preserve">Skewed electoral outcomes. </w:t>
      </w:r>
      <w:proofErr w:type="spellStart"/>
      <w:r w:rsidRPr="00B92D5C">
        <w:rPr>
          <w:rStyle w:val="StyleUnderline"/>
        </w:rPr>
        <w:t>Uggen</w:t>
      </w:r>
      <w:proofErr w:type="spellEnd"/>
      <w:r w:rsidRPr="00B92D5C">
        <w:rPr>
          <w:rStyle w:val="StyleUnderline"/>
        </w:rPr>
        <w:t xml:space="preserve"> and </w:t>
      </w:r>
      <w:proofErr w:type="spellStart"/>
      <w:r w:rsidRPr="00B92D5C">
        <w:rPr>
          <w:rStyle w:val="StyleUnderline"/>
        </w:rPr>
        <w:t>Manza</w:t>
      </w:r>
      <w:proofErr w:type="spellEnd"/>
      <w:r w:rsidRPr="00B92D5C">
        <w:rPr>
          <w:rStyle w:val="StyleUnderline"/>
        </w:rPr>
        <w:t xml:space="preserve"> gathered data on voter turnout, party preference, and rates of disenfranchisement to explore whether</w:t>
      </w:r>
      <w:r w:rsidRPr="00B92D5C">
        <w:rPr>
          <w:sz w:val="12"/>
        </w:rPr>
        <w:t xml:space="preserve"> </w:t>
      </w:r>
      <w:r w:rsidRPr="00B92D5C">
        <w:rPr>
          <w:rStyle w:val="Emphasis"/>
        </w:rPr>
        <w:t>US Senate</w:t>
      </w:r>
      <w:r w:rsidRPr="00B92D5C">
        <w:rPr>
          <w:sz w:val="12"/>
        </w:rPr>
        <w:t xml:space="preserve"> </w:t>
      </w:r>
      <w:r w:rsidRPr="00B92D5C">
        <w:rPr>
          <w:rStyle w:val="Emphasis"/>
        </w:rPr>
        <w:t>and presidential election outcomes</w:t>
      </w:r>
      <w:r w:rsidRPr="00B92D5C">
        <w:rPr>
          <w:sz w:val="12"/>
        </w:rPr>
        <w:t xml:space="preserve"> </w:t>
      </w:r>
      <w:r w:rsidRPr="00B92D5C">
        <w:rPr>
          <w:rStyle w:val="StyleUnderline"/>
        </w:rPr>
        <w:t>would have been different if the incarcerated population had been able to vote.</w:t>
      </w:r>
      <w:r w:rsidRPr="00B92D5C">
        <w:rPr>
          <w:sz w:val="12"/>
        </w:rPr>
        <w:t xml:space="preserve">33 Because there are no data on voter turnout or party preference for the disenfranchised population, </w:t>
      </w:r>
      <w:proofErr w:type="spellStart"/>
      <w:r w:rsidRPr="00B92D5C">
        <w:rPr>
          <w:sz w:val="12"/>
        </w:rPr>
        <w:t>Uggen</w:t>
      </w:r>
      <w:proofErr w:type="spellEnd"/>
      <w:r w:rsidRPr="00B92D5C">
        <w:rPr>
          <w:sz w:val="12"/>
        </w:rPr>
        <w:t xml:space="preserve"> and </w:t>
      </w:r>
      <w:proofErr w:type="spellStart"/>
      <w:r w:rsidRPr="00B92D5C">
        <w:rPr>
          <w:sz w:val="12"/>
        </w:rPr>
        <w:t>Manza</w:t>
      </w:r>
      <w:proofErr w:type="spellEnd"/>
      <w:r w:rsidRPr="00B92D5C">
        <w:rPr>
          <w:sz w:val="12"/>
        </w:rPr>
        <w:t xml:space="preserve"> extrapolated data on voting behavior for a nonincarcerated population with similar sociodemographic characteristics including age, race, gender, education, and other predictors of voter turnout and party preference.34 On average, </w:t>
      </w:r>
      <w:r w:rsidRPr="00B92D5C">
        <w:rPr>
          <w:rStyle w:val="StyleUnderline"/>
        </w:rPr>
        <w:t>between 1972 and 2000, it was estimated that 35% of the incarcerated population would have voted in presidential elections and 24% would have voted in US Senate races</w:t>
      </w:r>
      <w:r w:rsidRPr="00B92D5C">
        <w:rPr>
          <w:sz w:val="12"/>
        </w:rPr>
        <w:t xml:space="preserve">—both estimates are well below the observed turnout rate for the general population. </w:t>
      </w:r>
      <w:proofErr w:type="gramStart"/>
      <w:r w:rsidRPr="00B92D5C">
        <w:rPr>
          <w:sz w:val="12"/>
        </w:rPr>
        <w:t>In regard to</w:t>
      </w:r>
      <w:proofErr w:type="gramEnd"/>
      <w:r w:rsidRPr="00B92D5C">
        <w:rPr>
          <w:sz w:val="12"/>
        </w:rPr>
        <w:t xml:space="preserve"> party preference, </w:t>
      </w:r>
      <w:r w:rsidRPr="00B92D5C">
        <w:rPr>
          <w:rStyle w:val="StyleUnderline"/>
        </w:rPr>
        <w:t>the majority of the disenfranchised population would have voted Democratic</w:t>
      </w:r>
      <w:r w:rsidRPr="00B92D5C">
        <w:rPr>
          <w:sz w:val="12"/>
        </w:rPr>
        <w:t xml:space="preserve"> in </w:t>
      </w:r>
      <w:r w:rsidRPr="00B92D5C">
        <w:rPr>
          <w:rStyle w:val="Emphasis"/>
        </w:rPr>
        <w:t>each presidential and Senate election</w:t>
      </w:r>
      <w:r w:rsidRPr="00B92D5C">
        <w:rPr>
          <w:sz w:val="12"/>
        </w:rPr>
        <w:t xml:space="preserve">—with approximately 7 of every 10 disenfranchised votes being cast for the Democratic candidate. </w:t>
      </w:r>
      <w:proofErr w:type="spellStart"/>
      <w:r w:rsidRPr="00B92D5C">
        <w:rPr>
          <w:sz w:val="12"/>
        </w:rPr>
        <w:t>Uggen</w:t>
      </w:r>
      <w:proofErr w:type="spellEnd"/>
      <w:r w:rsidRPr="00B92D5C">
        <w:rPr>
          <w:sz w:val="12"/>
        </w:rPr>
        <w:t xml:space="preserve"> and </w:t>
      </w:r>
      <w:proofErr w:type="spellStart"/>
      <w:r w:rsidRPr="00B92D5C">
        <w:rPr>
          <w:sz w:val="12"/>
        </w:rPr>
        <w:t>Manza</w:t>
      </w:r>
      <w:proofErr w:type="spellEnd"/>
      <w:r w:rsidRPr="00B92D5C">
        <w:rPr>
          <w:sz w:val="12"/>
        </w:rPr>
        <w:t xml:space="preserve"> then adjusted </w:t>
      </w:r>
      <w:proofErr w:type="gramStart"/>
      <w:r w:rsidRPr="00B92D5C">
        <w:rPr>
          <w:sz w:val="12"/>
        </w:rPr>
        <w:t>real</w:t>
      </w:r>
      <w:proofErr w:type="gramEnd"/>
      <w:r w:rsidRPr="00B92D5C">
        <w:rPr>
          <w:sz w:val="12"/>
        </w:rPr>
        <w:t xml:space="preserve"> presidential and Senate election outcomes for these estimates of voting behavior. Between 1978 and 2000, it was estimated that 7 US Senate elections won by Republicans would have been won by Democrats if the incarcerated population had been able to vote. Although this number is relatively small compared with the total number of Senate elections held in that period, the reversal of these particular 7 elections would have resulted in the Democratic party gaining and sustaining majority control of the US Senate from 1986 to 2002. Using estimates of 30% for voter turnout and 70% for Democratic party preference for the 2000 presidential election, the analysis found that Al Gore would have defeated George W. Bush in Florida by more than 80 000 votes if the incarcerated population had been able to vote—in effect securing his victory in the presidential election. Using a similar methodology, </w:t>
      </w:r>
      <w:proofErr w:type="spellStart"/>
      <w:r w:rsidRPr="00B92D5C">
        <w:rPr>
          <w:rStyle w:val="StyleUnderline"/>
        </w:rPr>
        <w:t>Manza</w:t>
      </w:r>
      <w:proofErr w:type="spellEnd"/>
      <w:r w:rsidRPr="00B92D5C">
        <w:rPr>
          <w:rStyle w:val="StyleUnderline"/>
        </w:rPr>
        <w:t xml:space="preserve"> and </w:t>
      </w:r>
      <w:proofErr w:type="spellStart"/>
      <w:r w:rsidRPr="00B92D5C">
        <w:rPr>
          <w:rStyle w:val="StyleUnderline"/>
        </w:rPr>
        <w:t>Uggen</w:t>
      </w:r>
      <w:proofErr w:type="spellEnd"/>
      <w:r w:rsidRPr="00B92D5C">
        <w:rPr>
          <w:rStyle w:val="StyleUnderline"/>
        </w:rPr>
        <w:t xml:space="preserve"> expanded their analysis to disfranchised persons on probation or parole and ex-felons who had completed their sentences but were still unable to vote</w:t>
      </w:r>
      <w:r w:rsidRPr="00B92D5C">
        <w:rPr>
          <w:sz w:val="12"/>
        </w:rPr>
        <w:t xml:space="preserve">.35 They found that </w:t>
      </w:r>
      <w:r w:rsidRPr="00B92D5C">
        <w:rPr>
          <w:rStyle w:val="Emphasis"/>
        </w:rPr>
        <w:t>the outcomes of 3 US Senate elections between 1978 and 2000 would have been reversed if disenfranchised ex-felons had been able to vote</w:t>
      </w:r>
      <w:r w:rsidRPr="00B92D5C">
        <w:rPr>
          <w:sz w:val="12"/>
        </w:rPr>
        <w:t xml:space="preserve"> and that </w:t>
      </w:r>
      <w:r w:rsidRPr="00B92D5C">
        <w:rPr>
          <w:rStyle w:val="StyleUnderline"/>
        </w:rPr>
        <w:t>5 US Senate elections would have been reversed if persons on probation and parole had been able to vote</w:t>
      </w:r>
      <w:r w:rsidRPr="00B92D5C">
        <w:rPr>
          <w:sz w:val="12"/>
        </w:rPr>
        <w:t xml:space="preserve">. </w:t>
      </w:r>
      <w:r w:rsidRPr="00B92D5C">
        <w:rPr>
          <w:rStyle w:val="Emphasis"/>
        </w:rPr>
        <w:t>All these election reversals would have favored the Democratic party</w:t>
      </w:r>
      <w:r w:rsidRPr="00B92D5C">
        <w:rPr>
          <w:sz w:val="12"/>
        </w:rPr>
        <w:t xml:space="preserve">. Using exceedingly conservative estimates for both voter turnout and party preference, </w:t>
      </w:r>
      <w:proofErr w:type="spellStart"/>
      <w:r w:rsidRPr="00B92D5C">
        <w:rPr>
          <w:sz w:val="12"/>
        </w:rPr>
        <w:t>Manza</w:t>
      </w:r>
      <w:proofErr w:type="spellEnd"/>
      <w:r w:rsidRPr="00B92D5C">
        <w:rPr>
          <w:sz w:val="12"/>
        </w:rPr>
        <w:t xml:space="preserve"> and </w:t>
      </w:r>
      <w:proofErr w:type="spellStart"/>
      <w:r w:rsidRPr="00B92D5C">
        <w:rPr>
          <w:sz w:val="12"/>
        </w:rPr>
        <w:t>Uggen</w:t>
      </w:r>
      <w:proofErr w:type="spellEnd"/>
      <w:r w:rsidRPr="00B92D5C">
        <w:rPr>
          <w:sz w:val="12"/>
        </w:rPr>
        <w:t xml:space="preserve"> concluded that </w:t>
      </w:r>
      <w:r w:rsidRPr="00B92D5C">
        <w:rPr>
          <w:rStyle w:val="StyleUnderline"/>
        </w:rPr>
        <w:t>Gore would have defeated Bush</w:t>
      </w:r>
      <w:r w:rsidRPr="00B92D5C">
        <w:rPr>
          <w:sz w:val="12"/>
        </w:rPr>
        <w:t xml:space="preserve"> in Florida in the 2000 presidential election </w:t>
      </w:r>
      <w:r w:rsidRPr="00B92D5C">
        <w:rPr>
          <w:rStyle w:val="StyleUnderline"/>
        </w:rPr>
        <w:t>even if only ex-felons who had completed their sentences had been able to vote</w:t>
      </w:r>
      <w:r w:rsidRPr="00B92D5C">
        <w:rPr>
          <w:sz w:val="12"/>
        </w:rPr>
        <w:t xml:space="preserve">. Skewed policy decisions. </w:t>
      </w:r>
      <w:proofErr w:type="spellStart"/>
      <w:r w:rsidRPr="00B92D5C">
        <w:rPr>
          <w:sz w:val="12"/>
        </w:rPr>
        <w:t>Uggen</w:t>
      </w:r>
      <w:proofErr w:type="spellEnd"/>
      <w:r w:rsidRPr="00B92D5C">
        <w:rPr>
          <w:sz w:val="12"/>
        </w:rPr>
        <w:t xml:space="preserve"> and </w:t>
      </w:r>
      <w:proofErr w:type="spellStart"/>
      <w:r w:rsidRPr="00B92D5C">
        <w:rPr>
          <w:sz w:val="12"/>
        </w:rPr>
        <w:t>Manza’s</w:t>
      </w:r>
      <w:proofErr w:type="spellEnd"/>
      <w:r w:rsidRPr="00B92D5C">
        <w:rPr>
          <w:sz w:val="12"/>
        </w:rPr>
        <w:t xml:space="preserve"> research suggests that </w:t>
      </w:r>
      <w:r w:rsidRPr="00B92D5C">
        <w:rPr>
          <w:rStyle w:val="Emphasis"/>
        </w:rPr>
        <w:t>felon disenfranchisement polices skew election outcomes in favor of the Republican party</w:t>
      </w:r>
      <w:r w:rsidRPr="00B92D5C">
        <w:rPr>
          <w:sz w:val="12"/>
        </w:rPr>
        <w:t>, but do these election outcomes contribute to racial health disparities? An in-depth analysis of partisan support for federal legislation related to health disparities is beyond the scope of this article, but evidence suggests that the Democratic party is more supportive of legislation intended to reduce health disparities.</w:t>
      </w:r>
    </w:p>
    <w:p w14:paraId="693A5B6A" w14:textId="77777777" w:rsidR="007D144B" w:rsidRPr="00452731" w:rsidRDefault="007D144B" w:rsidP="007D144B"/>
    <w:p w14:paraId="51F8B36A" w14:textId="62F6F21D" w:rsidR="00ED2832" w:rsidRDefault="00ED2832" w:rsidP="00ED2832">
      <w:pPr>
        <w:pStyle w:val="Heading3"/>
      </w:pPr>
      <w:r>
        <w:t>Plan Unpopular</w:t>
      </w:r>
    </w:p>
    <w:p w14:paraId="4D07CC57" w14:textId="77777777" w:rsidR="00ED2832" w:rsidRDefault="00ED2832" w:rsidP="00ED2832">
      <w:pPr>
        <w:pStyle w:val="Heading4"/>
      </w:pPr>
      <w:r>
        <w:t xml:space="preserve">The plan is divisive </w:t>
      </w:r>
    </w:p>
    <w:p w14:paraId="3F37067D" w14:textId="77777777" w:rsidR="00ED2832" w:rsidRPr="00ED2832" w:rsidRDefault="00ED2832" w:rsidP="00ED2832"/>
    <w:p w14:paraId="3D00BDEE" w14:textId="77777777" w:rsidR="00ED2832" w:rsidRDefault="00ED2832" w:rsidP="00ED2832">
      <w:pPr>
        <w:rPr>
          <w:rStyle w:val="Style13ptBold"/>
        </w:rPr>
      </w:pPr>
      <w:r>
        <w:rPr>
          <w:rStyle w:val="Style13ptBold"/>
        </w:rPr>
        <w:t>Ewald ‘12</w:t>
      </w:r>
    </w:p>
    <w:p w14:paraId="6083291A" w14:textId="77777777" w:rsidR="00ED2832" w:rsidRDefault="00ED2832" w:rsidP="00ED2832">
      <w:r w:rsidRPr="0012468B">
        <w:t>(Alec,</w:t>
      </w:r>
      <w:r>
        <w:t xml:space="preserve"> Associate Professor American Politics and Constitutional Law. </w:t>
      </w:r>
      <w:r w:rsidRPr="0012468B">
        <w:t>University of Vermont,</w:t>
      </w:r>
      <w:r>
        <w:t xml:space="preserve"> Current research is on the “collateral consequences” of criminal convictions </w:t>
      </w:r>
      <w:r w:rsidRPr="0012468B">
        <w:t>“Collateral Consequences</w:t>
      </w:r>
      <w:r>
        <w:t xml:space="preserve"> </w:t>
      </w:r>
      <w:r w:rsidRPr="0012468B">
        <w:t xml:space="preserve">in the American States,” </w:t>
      </w:r>
      <w:r>
        <w:t xml:space="preserve">SOCIAL SCIENCE QUARTERLY, </w:t>
      </w:r>
      <w:proofErr w:type="spellStart"/>
      <w:r w:rsidRPr="0012468B">
        <w:t>pg</w:t>
      </w:r>
      <w:proofErr w:type="spellEnd"/>
      <w:r w:rsidRPr="0012468B">
        <w:t xml:space="preserve"> online @ SSRN //um-</w:t>
      </w:r>
      <w:proofErr w:type="spellStart"/>
      <w:r w:rsidRPr="0012468B">
        <w:t>ef</w:t>
      </w:r>
      <w:proofErr w:type="spellEnd"/>
      <w:r w:rsidRPr="0012468B">
        <w:t>)</w:t>
      </w:r>
    </w:p>
    <w:p w14:paraId="22CCBBE4" w14:textId="77777777" w:rsidR="00ED2832" w:rsidRPr="000E6945" w:rsidRDefault="00ED2832" w:rsidP="00ED2832">
      <w:pPr>
        <w:rPr>
          <w:sz w:val="12"/>
        </w:rPr>
      </w:pPr>
      <w:r w:rsidRPr="00CB6C8C">
        <w:rPr>
          <w:rStyle w:val="StyleUnderline"/>
        </w:rPr>
        <w:t xml:space="preserve">The question of how an increasing </w:t>
      </w:r>
      <w:proofErr w:type="gramStart"/>
      <w:r w:rsidRPr="00CB6C8C">
        <w:rPr>
          <w:rStyle w:val="StyleUnderline"/>
        </w:rPr>
        <w:t>African-American</w:t>
      </w:r>
      <w:proofErr w:type="gramEnd"/>
      <w:r w:rsidRPr="00CB6C8C">
        <w:rPr>
          <w:rStyle w:val="StyleUnderline"/>
        </w:rPr>
        <w:t xml:space="preserve"> population might</w:t>
      </w:r>
      <w:r>
        <w:rPr>
          <w:rStyle w:val="StyleUnderline"/>
        </w:rPr>
        <w:t xml:space="preserve"> </w:t>
      </w:r>
      <w:r w:rsidRPr="00CB6C8C">
        <w:rPr>
          <w:rStyle w:val="StyleUnderline"/>
        </w:rPr>
        <w:t>influence collateral-consequences policies has a second piece</w:t>
      </w:r>
      <w:r w:rsidRPr="000E6945">
        <w:rPr>
          <w:sz w:val="12"/>
        </w:rPr>
        <w:t xml:space="preserve">, however, one focusing on black legislators and their potential influence on policy, and </w:t>
      </w:r>
      <w:r w:rsidRPr="00CB6C8C">
        <w:rPr>
          <w:rStyle w:val="Emphasis"/>
        </w:rPr>
        <w:t>perhaps cutting in the other direction</w:t>
      </w:r>
      <w:r w:rsidRPr="000E6945">
        <w:rPr>
          <w:sz w:val="12"/>
        </w:rPr>
        <w:t xml:space="preserve">. Scholars distinguish “descriptive” and “substantive” components of representation (Pitkin, 1967); the former refers to a match between the demographic characteristics (gender, race, religion, age) of constituents and those they elect, while the latter denotes shared interests and the achievement or at least pursuit of specific policies. Of course, </w:t>
      </w:r>
      <w:r w:rsidRPr="00CB6C8C">
        <w:rPr>
          <w:rStyle w:val="StyleUnderline"/>
        </w:rPr>
        <w:t>neither whites nor blacks have monolithic interests</w:t>
      </w:r>
      <w:r w:rsidRPr="000E6945">
        <w:rPr>
          <w:sz w:val="12"/>
        </w:rPr>
        <w:t xml:space="preserve">, </w:t>
      </w:r>
      <w:r w:rsidRPr="00CB6C8C">
        <w:rPr>
          <w:rStyle w:val="StyleUnderline"/>
        </w:rPr>
        <w:t>and substantive representation has both objective and subjective components</w:t>
      </w:r>
      <w:r w:rsidRPr="000E6945">
        <w:rPr>
          <w:sz w:val="12"/>
        </w:rPr>
        <w:t xml:space="preserve">; </w:t>
      </w:r>
      <w:r w:rsidRPr="00CB6C8C">
        <w:rPr>
          <w:rStyle w:val="Emphasis"/>
        </w:rPr>
        <w:t>however, African</w:t>
      </w:r>
      <w:r>
        <w:rPr>
          <w:rStyle w:val="Emphasis"/>
        </w:rPr>
        <w:t xml:space="preserve"> </w:t>
      </w:r>
      <w:r w:rsidRPr="00CB6C8C">
        <w:rPr>
          <w:rStyle w:val="Emphasis"/>
        </w:rPr>
        <w:t>Americans do have distinctive policy interests, and black legislators appear to</w:t>
      </w:r>
      <w:r>
        <w:rPr>
          <w:rStyle w:val="Emphasis"/>
        </w:rPr>
        <w:t xml:space="preserve"> </w:t>
      </w:r>
      <w:r w:rsidRPr="00CB6C8C">
        <w:rPr>
          <w:rStyle w:val="Emphasis"/>
        </w:rPr>
        <w:t>respond to their constituents’ interests in diverse ways</w:t>
      </w:r>
      <w:r w:rsidRPr="000E6945">
        <w:rPr>
          <w:sz w:val="12"/>
        </w:rPr>
        <w:t xml:space="preserve"> (Swain, 1995; Bratton and Haynie, 1999; Canon, 1999). Contemporary American </w:t>
      </w:r>
      <w:r w:rsidRPr="00CB6C8C">
        <w:rPr>
          <w:rStyle w:val="StyleUnderline"/>
        </w:rPr>
        <w:t>criminal-justice</w:t>
      </w:r>
      <w:r>
        <w:rPr>
          <w:rStyle w:val="StyleUnderline"/>
        </w:rPr>
        <w:t xml:space="preserve"> </w:t>
      </w:r>
      <w:r w:rsidRPr="00CB6C8C">
        <w:rPr>
          <w:rStyle w:val="StyleUnderline"/>
        </w:rPr>
        <w:t>policies have had severe effects for African Americans</w:t>
      </w:r>
      <w:r w:rsidRPr="000E6945">
        <w:rPr>
          <w:sz w:val="12"/>
        </w:rPr>
        <w:t xml:space="preserve"> (Beckett and Western, 2001; Western, 2006; Alexander, 2010), as every black legislator would know well. </w:t>
      </w:r>
      <w:r w:rsidRPr="00CB6C8C">
        <w:rPr>
          <w:rStyle w:val="Emphasis"/>
        </w:rPr>
        <w:t>Yet in this policy arena, black politicians may well experience conflicting pressures</w:t>
      </w:r>
      <w:r w:rsidRPr="000E6945">
        <w:rPr>
          <w:sz w:val="12"/>
        </w:rPr>
        <w:t xml:space="preserve">. </w:t>
      </w:r>
      <w:r w:rsidRPr="00CB6C8C">
        <w:rPr>
          <w:rStyle w:val="Emphasis"/>
        </w:rPr>
        <w:t>African Americans in the United States are not just severely</w:t>
      </w:r>
      <w:r>
        <w:rPr>
          <w:rStyle w:val="Emphasis"/>
        </w:rPr>
        <w:t xml:space="preserve"> </w:t>
      </w:r>
      <w:r w:rsidRPr="00CB6C8C">
        <w:rPr>
          <w:rStyle w:val="Emphasis"/>
        </w:rPr>
        <w:t>affected by criminal-justice policies, but are also disproportionately victimized</w:t>
      </w:r>
      <w:r>
        <w:rPr>
          <w:rStyle w:val="Emphasis"/>
        </w:rPr>
        <w:t xml:space="preserve"> </w:t>
      </w:r>
      <w:r w:rsidRPr="00CB6C8C">
        <w:rPr>
          <w:rStyle w:val="Emphasis"/>
        </w:rPr>
        <w:t>by crime</w:t>
      </w:r>
      <w:r w:rsidRPr="000E6945">
        <w:rPr>
          <w:sz w:val="12"/>
        </w:rPr>
        <w:t xml:space="preserve"> (Alexander, 2010). And of course, </w:t>
      </w:r>
      <w:proofErr w:type="gramStart"/>
      <w:r w:rsidRPr="000E6945">
        <w:rPr>
          <w:sz w:val="12"/>
        </w:rPr>
        <w:t>African-American</w:t>
      </w:r>
      <w:proofErr w:type="gramEnd"/>
      <w:r w:rsidRPr="000E6945">
        <w:rPr>
          <w:sz w:val="12"/>
        </w:rPr>
        <w:t xml:space="preserve"> </w:t>
      </w:r>
      <w:r w:rsidRPr="00CB6C8C">
        <w:rPr>
          <w:rStyle w:val="StyleUnderline"/>
        </w:rPr>
        <w:t>legislators seek</w:t>
      </w:r>
      <w:r>
        <w:rPr>
          <w:rStyle w:val="StyleUnderline"/>
        </w:rPr>
        <w:t xml:space="preserve"> </w:t>
      </w:r>
      <w:r w:rsidRPr="00CB6C8C">
        <w:rPr>
          <w:rStyle w:val="StyleUnderline"/>
        </w:rPr>
        <w:t>the votes of whites as well as blacks, while competing in an electoral environment where criminal-justice language often carries racial subtext</w:t>
      </w:r>
      <w:r w:rsidRPr="000E6945">
        <w:rPr>
          <w:sz w:val="12"/>
        </w:rPr>
        <w:t xml:space="preserve"> (Beckett, 1997; </w:t>
      </w:r>
      <w:proofErr w:type="spellStart"/>
      <w:r w:rsidRPr="000E6945">
        <w:rPr>
          <w:sz w:val="12"/>
        </w:rPr>
        <w:t>Mendelberg</w:t>
      </w:r>
      <w:proofErr w:type="spellEnd"/>
      <w:r w:rsidRPr="000E6945">
        <w:rPr>
          <w:sz w:val="12"/>
        </w:rPr>
        <w:t xml:space="preserve">, 2001). Evidence of </w:t>
      </w:r>
      <w:proofErr w:type="gramStart"/>
      <w:r w:rsidRPr="000E6945">
        <w:rPr>
          <w:sz w:val="12"/>
        </w:rPr>
        <w:t>African-American</w:t>
      </w:r>
      <w:proofErr w:type="gramEnd"/>
      <w:r w:rsidRPr="000E6945">
        <w:rPr>
          <w:sz w:val="12"/>
        </w:rPr>
        <w:t xml:space="preserve"> legislators’ ability to achieve policy outcomes beneficial to black constituents has often “eluded scholars” (</w:t>
      </w:r>
      <w:proofErr w:type="spellStart"/>
      <w:r w:rsidRPr="000E6945">
        <w:rPr>
          <w:sz w:val="12"/>
        </w:rPr>
        <w:t>Preuhs</w:t>
      </w:r>
      <w:proofErr w:type="spellEnd"/>
      <w:r w:rsidRPr="000E6945">
        <w:rPr>
          <w:sz w:val="12"/>
        </w:rPr>
        <w:t xml:space="preserve">, 2006:597). Morgan found that </w:t>
      </w:r>
      <w:r w:rsidRPr="00CB6C8C">
        <w:rPr>
          <w:rStyle w:val="StyleUnderline"/>
        </w:rPr>
        <w:t>greater minority representation in Dallas diversified the</w:t>
      </w:r>
      <w:r>
        <w:rPr>
          <w:rStyle w:val="StyleUnderline"/>
        </w:rPr>
        <w:t xml:space="preserve"> </w:t>
      </w:r>
      <w:r w:rsidRPr="00CB6C8C">
        <w:rPr>
          <w:rStyle w:val="StyleUnderline"/>
        </w:rPr>
        <w:t xml:space="preserve">political agenda and improved distribution of resources across </w:t>
      </w:r>
      <w:proofErr w:type="gramStart"/>
      <w:r w:rsidRPr="00CB6C8C">
        <w:rPr>
          <w:rStyle w:val="StyleUnderline"/>
        </w:rPr>
        <w:t>districts, but</w:t>
      </w:r>
      <w:proofErr w:type="gramEnd"/>
      <w:r w:rsidRPr="00CB6C8C">
        <w:rPr>
          <w:rStyle w:val="StyleUnderline"/>
        </w:rPr>
        <w:t xml:space="preserve"> had</w:t>
      </w:r>
      <w:r>
        <w:rPr>
          <w:rStyle w:val="StyleUnderline"/>
        </w:rPr>
        <w:t xml:space="preserve"> </w:t>
      </w:r>
      <w:r w:rsidRPr="00CB6C8C">
        <w:rPr>
          <w:rStyle w:val="StyleUnderline"/>
        </w:rPr>
        <w:t>“only minimal effect on substantive issues important to minorities”</w:t>
      </w:r>
      <w:r w:rsidRPr="000E6945">
        <w:rPr>
          <w:sz w:val="12"/>
        </w:rPr>
        <w:t xml:space="preserve"> (Morgan, 2004:267). </w:t>
      </w:r>
      <w:proofErr w:type="spellStart"/>
      <w:r w:rsidRPr="000E6945">
        <w:rPr>
          <w:sz w:val="12"/>
        </w:rPr>
        <w:t>Preuhs</w:t>
      </w:r>
      <w:proofErr w:type="spellEnd"/>
      <w:r w:rsidRPr="000E6945">
        <w:rPr>
          <w:sz w:val="12"/>
        </w:rPr>
        <w:t xml:space="preserve"> concluded that minority lawmakers </w:t>
      </w:r>
      <w:proofErr w:type="gramStart"/>
      <w:r w:rsidRPr="000E6945">
        <w:rPr>
          <w:sz w:val="12"/>
        </w:rPr>
        <w:t>are able to</w:t>
      </w:r>
      <w:proofErr w:type="gramEnd"/>
      <w:r w:rsidRPr="000E6945">
        <w:rPr>
          <w:sz w:val="12"/>
        </w:rPr>
        <w:t xml:space="preserve"> influence state welfare benefit levels, but only in a “conditional indirect” way (</w:t>
      </w:r>
      <w:proofErr w:type="spellStart"/>
      <w:r w:rsidRPr="000E6945">
        <w:rPr>
          <w:sz w:val="12"/>
        </w:rPr>
        <w:t>Preuhs</w:t>
      </w:r>
      <w:proofErr w:type="spellEnd"/>
      <w:r w:rsidRPr="000E6945">
        <w:rPr>
          <w:sz w:val="12"/>
        </w:rPr>
        <w:t xml:space="preserve">, 2006). Yates showed that black political pressure might ameliorate racial disparities in incarceration rates (Yates, 1997); similarly, Yates and Fording concluded that the presence of black legislators attenuated somewhat the high imprisonment rates characteristic of states with high minority populations (Yates and Fording, 2005). Percival’s study of states’ prisoner-rehabilitation services found that increasing numbers of black state legislators had a positive effect on the availability of such programs, somewhat offsetting the negative impact of increasingly minority populations (Percival, 2009). Research on recent efforts at disenfranchisement reform suggests that entrepreneurship by </w:t>
      </w:r>
      <w:proofErr w:type="gramStart"/>
      <w:r w:rsidRPr="000E6945">
        <w:rPr>
          <w:sz w:val="12"/>
        </w:rPr>
        <w:t>African-American</w:t>
      </w:r>
      <w:proofErr w:type="gramEnd"/>
      <w:r w:rsidRPr="000E6945">
        <w:rPr>
          <w:sz w:val="12"/>
        </w:rPr>
        <w:t xml:space="preserve"> legislators has been integral to such 8 Social Science Quarterly changes. Case studies have identified policy innovation by </w:t>
      </w:r>
      <w:proofErr w:type="gramStart"/>
      <w:r w:rsidRPr="000E6945">
        <w:rPr>
          <w:sz w:val="12"/>
        </w:rPr>
        <w:t>African-American</w:t>
      </w:r>
      <w:proofErr w:type="gramEnd"/>
      <w:r w:rsidRPr="000E6945">
        <w:rPr>
          <w:sz w:val="12"/>
        </w:rPr>
        <w:t xml:space="preserve"> and Latino legislators as a key driver of disenfranchisement reform in California and Connecticut (Campbell, 2007; </w:t>
      </w:r>
      <w:proofErr w:type="spellStart"/>
      <w:r w:rsidRPr="000E6945">
        <w:rPr>
          <w:sz w:val="12"/>
        </w:rPr>
        <w:t>McMiller</w:t>
      </w:r>
      <w:proofErr w:type="spellEnd"/>
      <w:r w:rsidRPr="000E6945">
        <w:rPr>
          <w:sz w:val="12"/>
        </w:rPr>
        <w:t xml:space="preserve">, 2008). More generally, </w:t>
      </w:r>
      <w:proofErr w:type="gramStart"/>
      <w:r w:rsidRPr="000E6945">
        <w:rPr>
          <w:sz w:val="12"/>
        </w:rPr>
        <w:t>African-American</w:t>
      </w:r>
      <w:proofErr w:type="gramEnd"/>
      <w:r w:rsidRPr="000E6945">
        <w:rPr>
          <w:sz w:val="12"/>
        </w:rPr>
        <w:t xml:space="preserve"> legislators have introduced, sponsored, or co-sponsored both failed and successful bills placed in the hopper in many states (</w:t>
      </w:r>
      <w:proofErr w:type="spellStart"/>
      <w:r w:rsidRPr="000E6945">
        <w:rPr>
          <w:sz w:val="12"/>
        </w:rPr>
        <w:t>Preuhs</w:t>
      </w:r>
      <w:proofErr w:type="spellEnd"/>
      <w:r w:rsidRPr="000E6945">
        <w:rPr>
          <w:sz w:val="12"/>
        </w:rPr>
        <w:t>, 2001:738; Ewald, 2009:533).</w:t>
      </w:r>
    </w:p>
    <w:p w14:paraId="6F8F0CC9" w14:textId="77777777" w:rsidR="008550B5" w:rsidRPr="003653F6" w:rsidRDefault="008550B5" w:rsidP="008550B5"/>
    <w:p w14:paraId="5DEA6A36" w14:textId="77777777" w:rsidR="008550B5" w:rsidRDefault="008550B5" w:rsidP="008550B5"/>
    <w:p w14:paraId="458280C1" w14:textId="77777777" w:rsidR="007D144B" w:rsidRDefault="007D144B" w:rsidP="007D144B">
      <w:pPr>
        <w:pStyle w:val="Heading3"/>
      </w:pPr>
      <w:r>
        <w:t xml:space="preserve">1AR Plan unpopular w/Public </w:t>
      </w:r>
    </w:p>
    <w:p w14:paraId="3A923E3C" w14:textId="77777777" w:rsidR="007D144B" w:rsidRDefault="007D144B" w:rsidP="007D144B"/>
    <w:p w14:paraId="176A60A3" w14:textId="77777777" w:rsidR="007D144B" w:rsidRDefault="007D144B" w:rsidP="007D144B">
      <w:pPr>
        <w:pStyle w:val="Heading4"/>
      </w:pPr>
      <w:r>
        <w:t>The plan is a massive boon for black voters --- but would be UNPOPULAR with the public</w:t>
      </w:r>
    </w:p>
    <w:p w14:paraId="670A02B6" w14:textId="77777777" w:rsidR="007D144B" w:rsidRDefault="007D144B" w:rsidP="007D144B"/>
    <w:p w14:paraId="0616F47C" w14:textId="77777777" w:rsidR="007D144B" w:rsidRDefault="007D144B" w:rsidP="007D144B">
      <w:pPr>
        <w:rPr>
          <w:rStyle w:val="Style13ptBold"/>
        </w:rPr>
      </w:pPr>
      <w:r>
        <w:rPr>
          <w:rStyle w:val="Style13ptBold"/>
        </w:rPr>
        <w:t>Lopez ‘19</w:t>
      </w:r>
    </w:p>
    <w:p w14:paraId="39ADEFE5" w14:textId="77777777" w:rsidR="007D144B" w:rsidRPr="009D674A" w:rsidRDefault="007D144B" w:rsidP="007D144B">
      <w:r w:rsidRPr="00641BB3">
        <w:t xml:space="preserve">(“The Democratic debate over letting people in prison vote, explained,” </w:t>
      </w:r>
      <w:proofErr w:type="spellStart"/>
      <w:r w:rsidRPr="00641BB3">
        <w:t>pg</w:t>
      </w:r>
      <w:proofErr w:type="spellEnd"/>
      <w:r w:rsidRPr="00641BB3">
        <w:t xml:space="preserve"> online @ </w:t>
      </w:r>
      <w:hyperlink r:id="rId75" w:history="1">
        <w:r w:rsidRPr="00641BB3">
          <w:rPr>
            <w:rStyle w:val="Hyperlink"/>
          </w:rPr>
          <w:t>https://www.vox.com/policy-and-politics/2019/5/13/18535423/prisoner-felon-voting-rights-bernie-sanders-2020</w:t>
        </w:r>
      </w:hyperlink>
      <w:r w:rsidRPr="00641BB3">
        <w:t xml:space="preserve"> //um-</w:t>
      </w:r>
      <w:proofErr w:type="spellStart"/>
      <w:r w:rsidRPr="00641BB3">
        <w:t>ef</w:t>
      </w:r>
      <w:proofErr w:type="spellEnd"/>
      <w:r w:rsidRPr="00641BB3">
        <w:t>)</w:t>
      </w:r>
    </w:p>
    <w:p w14:paraId="60D8FC88" w14:textId="77777777" w:rsidR="007D144B" w:rsidRPr="007D144B" w:rsidRDefault="007D144B" w:rsidP="007D144B">
      <w:pPr>
        <w:rPr>
          <w:sz w:val="12"/>
        </w:rPr>
      </w:pPr>
      <w:r w:rsidRPr="007D144B">
        <w:rPr>
          <w:rStyle w:val="StyleUnderline"/>
        </w:rPr>
        <w:t>As of 2016, 6.1 million people were prevented from voting due to a felony conviction</w:t>
      </w:r>
      <w:r w:rsidRPr="007D144B">
        <w:rPr>
          <w:sz w:val="12"/>
        </w:rPr>
        <w:t xml:space="preserve">, and about 1.3 million were in state or federal prison, the Sentencing Project, an advocacy group, found. </w:t>
      </w:r>
      <w:r w:rsidRPr="007D144B">
        <w:rPr>
          <w:rStyle w:val="StyleUnderline"/>
        </w:rPr>
        <w:t xml:space="preserve">Since black Americans are more likely to go to prison, these laws have a disproportionate impact on </w:t>
      </w:r>
      <w:r w:rsidRPr="007D144B">
        <w:rPr>
          <w:rStyle w:val="Emphasis"/>
        </w:rPr>
        <w:t>black voters</w:t>
      </w:r>
      <w:r w:rsidRPr="007D144B">
        <w:rPr>
          <w:sz w:val="12"/>
        </w:rPr>
        <w:t xml:space="preserve">, in part reflecting their roots in the Jim Crow era: More than 20 percent of black voters were disenfranchised in Florida, Kentucky, Tennessee, and Virginia in 2016. There appears to be some support for giving people convicted of felonies their voting rights back. Last fall, Florida voted to let most people with felony records vote once they complete their sentences — </w:t>
      </w:r>
      <w:r w:rsidRPr="007D144B">
        <w:rPr>
          <w:rStyle w:val="StyleUnderline"/>
        </w:rPr>
        <w:t>giving the right to vote back to, potentially, more than 1 million people</w:t>
      </w:r>
      <w:r w:rsidRPr="007D144B">
        <w:rPr>
          <w:sz w:val="12"/>
        </w:rPr>
        <w:t xml:space="preserve"> (although that’s now in question as Republican lawmakers place new restrictions on who can vote). What Sanders is calling for, though, goes much further, </w:t>
      </w:r>
      <w:r w:rsidRPr="007D144B">
        <w:rPr>
          <w:rStyle w:val="StyleUnderline"/>
        </w:rPr>
        <w:t>enfranchising literally hundreds of thousands or millions of people across the country — in a way that could especially benefit black voters</w:t>
      </w:r>
      <w:r w:rsidRPr="007D144B">
        <w:rPr>
          <w:sz w:val="12"/>
        </w:rPr>
        <w:t xml:space="preserve">. For some Democrats, who have paid more attention to voting rights in recent years, and for activists with the ACLU who are aiming to get candidates on the record on this topic, </w:t>
      </w:r>
      <w:proofErr w:type="gramStart"/>
      <w:r w:rsidRPr="007D144B">
        <w:rPr>
          <w:sz w:val="12"/>
        </w:rPr>
        <w:t>it’s</w:t>
      </w:r>
      <w:proofErr w:type="gramEnd"/>
      <w:r w:rsidRPr="007D144B">
        <w:rPr>
          <w:sz w:val="12"/>
        </w:rPr>
        <w:t xml:space="preserve"> a logical next step. </w:t>
      </w:r>
      <w:r w:rsidRPr="007D144B">
        <w:rPr>
          <w:rStyle w:val="StyleUnderline"/>
        </w:rPr>
        <w:t xml:space="preserve">But the discussion has shown there are limits in how far even some Democrats — let alone the public — are willing to go in expanding voting rights. The polls so far show that giving people in prison the right to vote is unpopular among </w:t>
      </w:r>
      <w:proofErr w:type="gramStart"/>
      <w:r w:rsidRPr="007D144B">
        <w:rPr>
          <w:rStyle w:val="StyleUnderline"/>
        </w:rPr>
        <w:t>the majority of</w:t>
      </w:r>
      <w:proofErr w:type="gramEnd"/>
      <w:r w:rsidRPr="007D144B">
        <w:rPr>
          <w:rStyle w:val="StyleUnderline"/>
        </w:rPr>
        <w:t xml:space="preserve"> voters and Democrats.</w:t>
      </w:r>
      <w:r w:rsidRPr="007D144B">
        <w:rPr>
          <w:sz w:val="12"/>
        </w:rPr>
        <w:t xml:space="preserve"> And in a Democratic primary where so much of the attention, even beyond policy specifics, is going to finding the candidate who can beat President Donald Trump, </w:t>
      </w:r>
      <w:r w:rsidRPr="007D144B">
        <w:rPr>
          <w:rStyle w:val="StyleUnderline"/>
        </w:rPr>
        <w:t>that unpopularity is drawing concerns about whether a politically risky issue like this one should be discussed at all</w:t>
      </w:r>
      <w:r w:rsidRPr="007D144B">
        <w:rPr>
          <w:sz w:val="12"/>
        </w:rPr>
        <w:t>.</w:t>
      </w:r>
    </w:p>
    <w:p w14:paraId="7F5CCD29" w14:textId="77777777" w:rsidR="007D144B" w:rsidRDefault="007D144B" w:rsidP="007D144B"/>
    <w:p w14:paraId="062AD8C0" w14:textId="77777777" w:rsidR="008550B5" w:rsidRDefault="008550B5" w:rsidP="00A43C3D">
      <w:pPr>
        <w:pStyle w:val="Heading2"/>
      </w:pPr>
      <w:r>
        <w:t xml:space="preserve">AT: Crime DA </w:t>
      </w:r>
    </w:p>
    <w:p w14:paraId="658519E5" w14:textId="77777777" w:rsidR="009365C8" w:rsidRDefault="009365C8" w:rsidP="008550B5">
      <w:pPr>
        <w:rPr>
          <w:rStyle w:val="Style13ptBold"/>
        </w:rPr>
      </w:pPr>
    </w:p>
    <w:p w14:paraId="7F32F522" w14:textId="1FF3674B" w:rsidR="00EE15FC" w:rsidRDefault="00323D4F" w:rsidP="00323D4F">
      <w:pPr>
        <w:pStyle w:val="Heading3"/>
      </w:pPr>
      <w:r>
        <w:t xml:space="preserve">CC </w:t>
      </w:r>
      <w:proofErr w:type="gramStart"/>
      <w:r>
        <w:t>Don’t</w:t>
      </w:r>
      <w:proofErr w:type="gramEnd"/>
      <w:r>
        <w:t xml:space="preserve"> Deter</w:t>
      </w:r>
    </w:p>
    <w:p w14:paraId="57CE7E43" w14:textId="77777777" w:rsidR="009365C8" w:rsidRPr="009365C8" w:rsidRDefault="009365C8" w:rsidP="009365C8"/>
    <w:p w14:paraId="6628B0C9" w14:textId="0FC54D35" w:rsidR="00EE15FC" w:rsidRDefault="00EE15FC" w:rsidP="00EE15FC">
      <w:pPr>
        <w:pStyle w:val="Heading4"/>
      </w:pPr>
      <w:r>
        <w:t xml:space="preserve">Collateral consequences </w:t>
      </w:r>
      <w:proofErr w:type="gramStart"/>
      <w:r>
        <w:t>don’t</w:t>
      </w:r>
      <w:proofErr w:type="gramEnd"/>
      <w:r>
        <w:t xml:space="preserve"> deter crime – most criminals don’t even know about them</w:t>
      </w:r>
    </w:p>
    <w:p w14:paraId="1F2FA2FA" w14:textId="2B8540BC" w:rsidR="00EE15FC" w:rsidRDefault="00EE15FC" w:rsidP="00EE15FC"/>
    <w:p w14:paraId="5BD09D7B" w14:textId="77777777" w:rsidR="00EE15FC" w:rsidRPr="00DE03C5" w:rsidRDefault="00EE15FC" w:rsidP="00EE15FC">
      <w:pPr>
        <w:rPr>
          <w:rStyle w:val="Style13ptBold"/>
        </w:rPr>
      </w:pPr>
      <w:proofErr w:type="spellStart"/>
      <w:r w:rsidRPr="00DE03C5">
        <w:rPr>
          <w:rStyle w:val="Style13ptBold"/>
        </w:rPr>
        <w:t>Pinard</w:t>
      </w:r>
      <w:proofErr w:type="spellEnd"/>
      <w:r w:rsidRPr="00DE03C5">
        <w:rPr>
          <w:rStyle w:val="Style13ptBold"/>
        </w:rPr>
        <w:t xml:space="preserve"> ‘10</w:t>
      </w:r>
    </w:p>
    <w:p w14:paraId="321146A9" w14:textId="593E23B4" w:rsidR="00EE15FC" w:rsidRPr="00EE15FC" w:rsidRDefault="00EE15FC" w:rsidP="00EE15FC">
      <w:r>
        <w:t xml:space="preserve">(Michael, Professor, University of Maryland School of Law, “COLLATERAL CONSEQUENCES OF CRIMINAL CONVICTIONS: CONFRONTING ISSUES OF RACE AND DIGNITY, 85 N.Y.U.L. Rev. 457,” </w:t>
      </w:r>
      <w:proofErr w:type="spellStart"/>
      <w:r>
        <w:t>pg</w:t>
      </w:r>
      <w:proofErr w:type="spellEnd"/>
      <w:r>
        <w:t xml:space="preserve"> lexis//um-</w:t>
      </w:r>
      <w:proofErr w:type="spellStart"/>
      <w:r>
        <w:t>ef</w:t>
      </w:r>
      <w:proofErr w:type="spellEnd"/>
      <w:r>
        <w:t>)</w:t>
      </w:r>
    </w:p>
    <w:p w14:paraId="0E0157E0" w14:textId="77777777" w:rsidR="008550B5" w:rsidRDefault="008550B5" w:rsidP="008550B5">
      <w:r>
        <w:t>2. General Deterrence</w:t>
      </w:r>
    </w:p>
    <w:p w14:paraId="6494DE0D" w14:textId="77777777" w:rsidR="008550B5" w:rsidRDefault="008550B5" w:rsidP="008550B5">
      <w:r>
        <w:t xml:space="preserve"> </w:t>
      </w:r>
      <w:r w:rsidRPr="00EE15FC">
        <w:rPr>
          <w:rStyle w:val="Emphasis"/>
        </w:rPr>
        <w:t>One might also argue that collateral consequences unrelated to the underlying criminal act are still legitimate because they serve deterrence purposes and thus enhance public safety</w:t>
      </w:r>
      <w:r>
        <w:t xml:space="preserve">. </w:t>
      </w:r>
      <w:r w:rsidRPr="00EE15FC">
        <w:rPr>
          <w:rStyle w:val="StyleUnderline"/>
        </w:rPr>
        <w:t>The idea here is that deterrence could be a plausible goal even when the nexus between the criminal act and the collateral penalty is tenuous or nonexistent</w:t>
      </w:r>
      <w:r>
        <w:t xml:space="preserve">. In this context, </w:t>
      </w:r>
      <w:r w:rsidRPr="00EE15FC">
        <w:rPr>
          <w:rStyle w:val="StyleUnderline"/>
        </w:rPr>
        <w:t>denying public housing to an individual convicted of any misdemeanor</w:t>
      </w:r>
      <w:r>
        <w:t xml:space="preserve"> (or, in some jurisdictions, even a noncriminal violation)  293 </w:t>
      </w:r>
      <w:r w:rsidRPr="00EE15FC">
        <w:rPr>
          <w:rStyle w:val="StyleUnderline"/>
        </w:rPr>
        <w:t>may not be the result of any assumption that the particular individual would pose a danger to his or her neighbors</w:t>
      </w:r>
      <w:r>
        <w:t xml:space="preserve">. </w:t>
      </w:r>
      <w:r w:rsidRPr="00EE15FC">
        <w:rPr>
          <w:rStyle w:val="StyleUnderline"/>
        </w:rPr>
        <w:t>Rather, the penalty serves to deter individuals living in public housing and prospective public housing tenants from engaging in criminal activity</w:t>
      </w:r>
      <w:r>
        <w:t>.</w:t>
      </w:r>
    </w:p>
    <w:p w14:paraId="3E1782F9" w14:textId="77777777" w:rsidR="008550B5" w:rsidRDefault="008550B5" w:rsidP="008550B5">
      <w:r>
        <w:t xml:space="preserve">However, </w:t>
      </w:r>
      <w:r w:rsidRPr="00EE15FC">
        <w:rPr>
          <w:rStyle w:val="StyleUnderline"/>
        </w:rPr>
        <w:t>there are reasons to doubt that deterrence explains the proliferation of collateral consequences in recent decades</w:t>
      </w:r>
      <w:r>
        <w:t xml:space="preserve">. A basic precept of general deterrence theory is that individuals, to be deterred by a penalty, must be aware of its existence.  294 </w:t>
      </w:r>
      <w:r w:rsidRPr="00EE15FC">
        <w:rPr>
          <w:rStyle w:val="StyleUnderline"/>
        </w:rPr>
        <w:t xml:space="preserve">For deterrence to work, the fear of the resulting penalty must outweigh the benefits </w:t>
      </w:r>
      <w:proofErr w:type="gramStart"/>
      <w:r w:rsidRPr="00EE15FC">
        <w:rPr>
          <w:rStyle w:val="StyleUnderline"/>
        </w:rPr>
        <w:t>that</w:t>
      </w:r>
      <w:r>
        <w:t xml:space="preserve">  [</w:t>
      </w:r>
      <w:proofErr w:type="gramEnd"/>
      <w:r>
        <w:t xml:space="preserve">*509]  </w:t>
      </w:r>
      <w:r w:rsidRPr="00EE15FC">
        <w:rPr>
          <w:rStyle w:val="StyleUnderline"/>
        </w:rPr>
        <w:t>would flow from the criminal act</w:t>
      </w:r>
      <w:r>
        <w:t xml:space="preserve">.  295 </w:t>
      </w:r>
      <w:r w:rsidRPr="00EE15FC">
        <w:rPr>
          <w:rStyle w:val="Emphasis"/>
        </w:rPr>
        <w:t>However, collateral consequences are often invisible to potential offenders</w:t>
      </w:r>
      <w:r>
        <w:t xml:space="preserve">.  296 </w:t>
      </w:r>
      <w:r w:rsidRPr="00EE15FC">
        <w:rPr>
          <w:rStyle w:val="Emphasis"/>
        </w:rPr>
        <w:t>Actors in the criminal justice system</w:t>
      </w:r>
      <w:r>
        <w:t xml:space="preserve"> - defendants, defense attorneys, prosecutors, and even judges - </w:t>
      </w:r>
      <w:r w:rsidRPr="00EE15FC">
        <w:rPr>
          <w:rStyle w:val="Emphasis"/>
        </w:rPr>
        <w:t>are also largely unaware of the scope of collateral consequences</w:t>
      </w:r>
      <w:r>
        <w:t xml:space="preserve">  297 because these consequences are not considered part of the "criminal" punishment; are deemed to be separate from the criminal justice system;  298 and derive from a complex and scattered mix of statutes, regulations, and policies. </w:t>
      </w:r>
      <w:r w:rsidRPr="00EE15FC">
        <w:rPr>
          <w:rStyle w:val="StyleUnderline"/>
        </w:rPr>
        <w:t xml:space="preserve">Thus, unlike "direct" sentencing consequences, such as jail/prison sentences, probation, and </w:t>
      </w:r>
      <w:proofErr w:type="gramStart"/>
      <w:r w:rsidRPr="00EE15FC">
        <w:rPr>
          <w:rStyle w:val="StyleUnderline"/>
        </w:rPr>
        <w:t>fines,  299</w:t>
      </w:r>
      <w:proofErr w:type="gramEnd"/>
      <w:r w:rsidRPr="00EE15FC">
        <w:rPr>
          <w:rStyle w:val="StyleUnderline"/>
        </w:rPr>
        <w:t xml:space="preserve"> collateral consequences are largely unknown to the audience that a deterrence-based policy would seek to reach</w:t>
      </w:r>
      <w:r>
        <w:t>.</w:t>
      </w:r>
    </w:p>
    <w:p w14:paraId="70744B9F" w14:textId="33E95B0B" w:rsidR="00EE15FC" w:rsidRDefault="00323D4F" w:rsidP="00323D4F">
      <w:pPr>
        <w:pStyle w:val="Heading3"/>
      </w:pPr>
      <w:r>
        <w:t>T: Housing = Crime</w:t>
      </w:r>
    </w:p>
    <w:p w14:paraId="1A56713E" w14:textId="77777777" w:rsidR="00323D4F" w:rsidRPr="00323D4F" w:rsidRDefault="00323D4F" w:rsidP="00323D4F"/>
    <w:p w14:paraId="11E662CE" w14:textId="26FF147D" w:rsidR="00174EF8" w:rsidRDefault="00174EF8" w:rsidP="00174EF8">
      <w:pPr>
        <w:pStyle w:val="Heading4"/>
      </w:pPr>
      <w:r>
        <w:t xml:space="preserve">Turn: </w:t>
      </w:r>
      <w:proofErr w:type="gramStart"/>
      <w:r>
        <w:t>lacking of</w:t>
      </w:r>
      <w:proofErr w:type="gramEnd"/>
      <w:r>
        <w:t xml:space="preserve"> housing and health care INCREASES recidivism and lowering barriers reduces crime</w:t>
      </w:r>
    </w:p>
    <w:p w14:paraId="22C1B9DB" w14:textId="1A7F40B0" w:rsidR="00174EF8" w:rsidRDefault="00174EF8" w:rsidP="00174EF8"/>
    <w:p w14:paraId="1EE157FD" w14:textId="2111450D" w:rsidR="00174EF8" w:rsidRDefault="00174EF8" w:rsidP="00174EF8">
      <w:pPr>
        <w:rPr>
          <w:rStyle w:val="Style13ptBold"/>
        </w:rPr>
      </w:pPr>
      <w:r>
        <w:rPr>
          <w:rStyle w:val="Style13ptBold"/>
        </w:rPr>
        <w:t>Baily ‘16</w:t>
      </w:r>
    </w:p>
    <w:p w14:paraId="2E92C270" w14:textId="05D38EFD" w:rsidR="00174EF8" w:rsidRPr="00174EF8" w:rsidRDefault="00174EF8" w:rsidP="00174EF8">
      <w:r w:rsidRPr="00174EF8">
        <w:t xml:space="preserve">(Peggy, Vice President for Housing Policy, “Helping Ex-Offenders Get Housing and Health Care,” </w:t>
      </w:r>
      <w:proofErr w:type="spellStart"/>
      <w:r w:rsidRPr="00174EF8">
        <w:t>pg</w:t>
      </w:r>
      <w:proofErr w:type="spellEnd"/>
      <w:r w:rsidRPr="00174EF8">
        <w:t xml:space="preserve"> online @ </w:t>
      </w:r>
      <w:hyperlink r:id="rId76" w:history="1">
        <w:r w:rsidRPr="00174EF8">
          <w:rPr>
            <w:rStyle w:val="Hyperlink"/>
          </w:rPr>
          <w:t>https://www.cbpp.org/blog/helping-ex-offenders-get-housing-and-health-care</w:t>
        </w:r>
      </w:hyperlink>
      <w:r w:rsidRPr="00174EF8">
        <w:t xml:space="preserve"> //um-</w:t>
      </w:r>
      <w:proofErr w:type="spellStart"/>
      <w:r w:rsidRPr="00174EF8">
        <w:t>ef</w:t>
      </w:r>
      <w:proofErr w:type="spellEnd"/>
      <w:r w:rsidRPr="00174EF8">
        <w:t>)</w:t>
      </w:r>
    </w:p>
    <w:p w14:paraId="16ED0FF0" w14:textId="49DF0445" w:rsidR="00174EF8" w:rsidRPr="0027036D" w:rsidRDefault="00174EF8" w:rsidP="00174EF8">
      <w:pPr>
        <w:rPr>
          <w:sz w:val="14"/>
        </w:rPr>
      </w:pPr>
      <w:r w:rsidRPr="0027036D">
        <w:rPr>
          <w:rStyle w:val="StyleUnderline"/>
        </w:rPr>
        <w:t>Avoiding legal trouble is much easier if ex-offenders can avoid homelessness and have access to health care</w:t>
      </w:r>
      <w:r w:rsidRPr="0027036D">
        <w:rPr>
          <w:sz w:val="14"/>
        </w:rPr>
        <w:t xml:space="preserve">, </w:t>
      </w:r>
      <w:r w:rsidRPr="0027036D">
        <w:rPr>
          <w:rStyle w:val="Emphasis"/>
        </w:rPr>
        <w:t>particularly mental health counseling and medication</w:t>
      </w:r>
      <w:r w:rsidRPr="0027036D">
        <w:rPr>
          <w:sz w:val="14"/>
        </w:rPr>
        <w:t>.</w:t>
      </w:r>
      <w:r w:rsidR="0027036D" w:rsidRPr="0027036D">
        <w:rPr>
          <w:sz w:val="14"/>
        </w:rPr>
        <w:t xml:space="preserve"> </w:t>
      </w:r>
      <w:r w:rsidRPr="0027036D">
        <w:rPr>
          <w:sz w:val="14"/>
        </w:rPr>
        <w:t>Recent guidance from the Department of Housing and Urban Development (HUD) and the Center for Medicaid and CHIP Services (CMCS) aims to improve access to housing and health insurance for ex-offenders.</w:t>
      </w:r>
      <w:r w:rsidR="0027036D" w:rsidRPr="0027036D">
        <w:rPr>
          <w:sz w:val="14"/>
        </w:rPr>
        <w:t xml:space="preserve"> </w:t>
      </w:r>
      <w:r w:rsidRPr="0027036D">
        <w:rPr>
          <w:sz w:val="14"/>
        </w:rPr>
        <w:t xml:space="preserve">The guidance sets the right goals; now </w:t>
      </w:r>
      <w:proofErr w:type="gramStart"/>
      <w:r w:rsidRPr="0027036D">
        <w:rPr>
          <w:sz w:val="14"/>
        </w:rPr>
        <w:t>it’s</w:t>
      </w:r>
      <w:proofErr w:type="gramEnd"/>
      <w:r w:rsidRPr="0027036D">
        <w:rPr>
          <w:sz w:val="14"/>
        </w:rPr>
        <w:t xml:space="preserve"> up to states and localities to enforce and implement the guidance to achieve its purpose.</w:t>
      </w:r>
      <w:r w:rsidR="0027036D" w:rsidRPr="0027036D">
        <w:rPr>
          <w:sz w:val="14"/>
        </w:rPr>
        <w:t xml:space="preserve"> </w:t>
      </w:r>
      <w:r w:rsidRPr="0027036D">
        <w:rPr>
          <w:rStyle w:val="StyleUnderline"/>
        </w:rPr>
        <w:t>People leaving jail and prison are three to six times likelier than others to suffer from mental illness, studies show, and 20 percent of ex-offenders with mental illness become homeless</w:t>
      </w:r>
      <w:r w:rsidRPr="0027036D">
        <w:rPr>
          <w:sz w:val="14"/>
        </w:rPr>
        <w:t>.</w:t>
      </w:r>
      <w:r w:rsidR="0027036D" w:rsidRPr="0027036D">
        <w:rPr>
          <w:sz w:val="14"/>
        </w:rPr>
        <w:t xml:space="preserve"> </w:t>
      </w:r>
      <w:r w:rsidRPr="0027036D">
        <w:rPr>
          <w:sz w:val="14"/>
        </w:rPr>
        <w:t xml:space="preserve">Also, </w:t>
      </w:r>
      <w:r w:rsidRPr="0027036D">
        <w:rPr>
          <w:rStyle w:val="Emphasis"/>
        </w:rPr>
        <w:t>people who were homeless after jail or prison stays are seven times likelier to re-offend during the first month of release.  Lowering barriers to housing and health care can therefore lower recidivism rates</w:t>
      </w:r>
      <w:r w:rsidRPr="0027036D">
        <w:rPr>
          <w:sz w:val="14"/>
        </w:rPr>
        <w:t>.</w:t>
      </w:r>
    </w:p>
    <w:p w14:paraId="100AC228" w14:textId="27A489CB" w:rsidR="00323D4F" w:rsidRDefault="00323D4F" w:rsidP="00323D4F">
      <w:pPr>
        <w:pStyle w:val="Heading3"/>
      </w:pPr>
      <w:r>
        <w:t>T: No Jobs = Crime</w:t>
      </w:r>
    </w:p>
    <w:p w14:paraId="6E46EDE3" w14:textId="77777777" w:rsidR="00323D4F" w:rsidRPr="00323D4F" w:rsidRDefault="00323D4F" w:rsidP="00323D4F"/>
    <w:p w14:paraId="4856D14D" w14:textId="77777777" w:rsidR="000D0457" w:rsidRDefault="000D0457" w:rsidP="000D0457">
      <w:pPr>
        <w:pStyle w:val="Heading4"/>
      </w:pPr>
      <w:r>
        <w:t>And, federal law stops felons from accesses job markets --- results in recidivism</w:t>
      </w:r>
    </w:p>
    <w:p w14:paraId="45A84E30" w14:textId="77777777" w:rsidR="000D0457" w:rsidRPr="000D0457" w:rsidRDefault="000D0457" w:rsidP="000D0457"/>
    <w:p w14:paraId="64CC71C2" w14:textId="77777777" w:rsidR="000D0457" w:rsidRDefault="000D0457" w:rsidP="000D0457">
      <w:pPr>
        <w:rPr>
          <w:rStyle w:val="Style13ptBold"/>
        </w:rPr>
      </w:pPr>
      <w:proofErr w:type="spellStart"/>
      <w:r>
        <w:rPr>
          <w:rStyle w:val="Style13ptBold"/>
        </w:rPr>
        <w:t>Finzen</w:t>
      </w:r>
      <w:proofErr w:type="spellEnd"/>
      <w:r>
        <w:rPr>
          <w:rStyle w:val="Style13ptBold"/>
        </w:rPr>
        <w:t xml:space="preserve"> ‘5</w:t>
      </w:r>
    </w:p>
    <w:p w14:paraId="12351604" w14:textId="77777777" w:rsidR="000D0457" w:rsidRDefault="000D0457" w:rsidP="000D0457">
      <w:r w:rsidRPr="004F286F">
        <w:t xml:space="preserve">(Margaret, J.D., Georgetown University Law Center, 2005, “Systems of Oppression: The Collateral Consequences of Incarceration and Their Effects on Black Communities,” </w:t>
      </w:r>
      <w:proofErr w:type="spellStart"/>
      <w:r w:rsidRPr="004F286F">
        <w:t>pg</w:t>
      </w:r>
      <w:proofErr w:type="spellEnd"/>
      <w:r w:rsidRPr="004F286F">
        <w:t xml:space="preserve"> lexis//um-</w:t>
      </w:r>
      <w:proofErr w:type="spellStart"/>
      <w:r w:rsidRPr="004F286F">
        <w:t>ef</w:t>
      </w:r>
      <w:proofErr w:type="spellEnd"/>
      <w:r w:rsidRPr="004F286F">
        <w:t>)</w:t>
      </w:r>
    </w:p>
    <w:p w14:paraId="199A5892" w14:textId="77777777" w:rsidR="000D0457" w:rsidRPr="000D0457" w:rsidRDefault="000D0457" w:rsidP="000D0457">
      <w:pPr>
        <w:rPr>
          <w:sz w:val="10"/>
        </w:rPr>
      </w:pPr>
      <w:r w:rsidRPr="000D0457">
        <w:rPr>
          <w:sz w:val="10"/>
        </w:rPr>
        <w:t xml:space="preserve">F. Loss of Employment Opportunities Many ex-offenders are unable to obtain employment after their release from prison due to social and legal barriers, despite the grave need for employment opportunities in order to prevent relapse and recidivism. First, many social barriers to gainful employment exist because employers are suspicious of ex-offenders, and improved technology makes it increasingly easy for employers to conduct criminal background checks of potential employees. 125 "Evidence suggests that employers do in fact make use of criminal history records" and that those unwilling to hire ex-offenders "are most concerned about the general trustworthiness of the ex-offender rather than anything specifically related to the offense or the job in question." 126 A1996 survey in five major United States cities found that, for relatively unskilled jobs, roughly 65% of all employers would not knowingly hire an ex-offender, regardless of the offense, "and between 30% and 40% actually checked the criminal history records of their most recently hired employee." 127 Second, many legal restrictions on employment for ex-offenders exist in both the federal and state arenas. </w:t>
      </w:r>
      <w:r w:rsidRPr="000D0457">
        <w:rPr>
          <w:rStyle w:val="StyleUnderline"/>
        </w:rPr>
        <w:t>Felons are prohibited from obtaining certain kinds of employment due to federal laws</w:t>
      </w:r>
      <w:r w:rsidRPr="000D0457">
        <w:rPr>
          <w:sz w:val="10"/>
        </w:rPr>
        <w:t xml:space="preserve">, such as the inability to hold federal office for five years upon conviction of a felony for inciting or participating in a riot; 128 removal from office, and ineligibility for any federal office, of a collecting or disbursing officer upon conviction of trading in public funds or property; 129 and the permanent inability to enlist in any service of the armed forces, unless an exception is made. 130 Furthermore, while </w:t>
      </w:r>
      <w:r w:rsidRPr="000D0457">
        <w:rPr>
          <w:rStyle w:val="StyleUnderline"/>
        </w:rPr>
        <w:t>a felony conviction</w:t>
      </w:r>
      <w:r w:rsidRPr="000D0457">
        <w:rPr>
          <w:sz w:val="10"/>
        </w:rPr>
        <w:t xml:space="preserve"> does not disqualify a person from federal employment aside from specific statutory disqualifications, it </w:t>
      </w:r>
      <w:r w:rsidRPr="000D0457">
        <w:rPr>
          <w:rStyle w:val="StyleUnderline"/>
        </w:rPr>
        <w:t>is a factor to be considered in determining an individual's suitability for employment</w:t>
      </w:r>
      <w:r w:rsidRPr="000D0457">
        <w:rPr>
          <w:sz w:val="10"/>
        </w:rPr>
        <w:t xml:space="preserve">, according to the Office of Personnel Management. 131 A number of </w:t>
      </w:r>
      <w:r w:rsidRPr="000D0457">
        <w:rPr>
          <w:rStyle w:val="StyleUnderline"/>
        </w:rPr>
        <w:t>additional federal statutes further hamper a convicted felon's ability to obtain</w:t>
      </w:r>
      <w:r>
        <w:rPr>
          <w:rStyle w:val="StyleUnderline"/>
        </w:rPr>
        <w:t xml:space="preserve"> </w:t>
      </w:r>
      <w:r w:rsidRPr="000D0457">
        <w:rPr>
          <w:rStyle w:val="StyleUnderline"/>
        </w:rPr>
        <w:t>[*316]</w:t>
      </w:r>
      <w:r>
        <w:rPr>
          <w:rStyle w:val="StyleUnderline"/>
        </w:rPr>
        <w:t xml:space="preserve"> </w:t>
      </w:r>
      <w:r w:rsidRPr="000D0457">
        <w:rPr>
          <w:rStyle w:val="StyleUnderline"/>
        </w:rPr>
        <w:t>steady employment</w:t>
      </w:r>
      <w:r w:rsidRPr="000D0457">
        <w:rPr>
          <w:sz w:val="10"/>
        </w:rPr>
        <w:t xml:space="preserve">, such as the statute that denies certain federal funds from states that do not adopt laws automatically revoking driver's licenses for six months from individuals convicted of drug offenses. 132 </w:t>
      </w:r>
      <w:r w:rsidRPr="000D0457">
        <w:rPr>
          <w:rStyle w:val="StyleUnderline"/>
        </w:rPr>
        <w:t>This statute makes it hard for a felon to get to work and prohibits him from accepting any job that involves driving</w:t>
      </w:r>
      <w:r w:rsidRPr="000D0457">
        <w:rPr>
          <w:sz w:val="10"/>
        </w:rPr>
        <w:t xml:space="preserve">. Also, the ban on an ex-offender's ability to sell or possess firearms prevents an ex-felon from working in the gun industry as well as prohibits him from obtaining jobs such as peace officer or security guard. 133 Even more restrictive than the several federal statutes that impinge on employment are the numerous state statutes that limit employment opportunities and vary from state to state. 134 State governments </w:t>
      </w:r>
      <w:proofErr w:type="gramStart"/>
      <w:r w:rsidRPr="000D0457">
        <w:rPr>
          <w:sz w:val="10"/>
        </w:rPr>
        <w:t>have the ability to</w:t>
      </w:r>
      <w:proofErr w:type="gramEnd"/>
      <w:r w:rsidRPr="000D0457">
        <w:rPr>
          <w:sz w:val="10"/>
        </w:rPr>
        <w:t xml:space="preserve"> control employment opportunities and benefits through their general power to confer licenses. 135 Modern occupational licensing laws regulate professional, unskilled, and semi-skilled occupations. Bruce May reports that "typical examples of occupations regulated are: ambulance drivers, billiard room employees, attorneys, physicians, pharmacists, nurses, barbers, embalmers, septic tank cleaners, real estate professionals, accountants, contractors, and sellers of alcoholic beverages." 136 Occupational licensing laws exclude ex-offenders either directly by expressly barring ex-offenders from engaging in certain occupations, or indirectly by requiring ex-offenders to have good moral character in order to receive certain licenses and using a record of conviction as evidence of bad moral character. 137 The problem with most licensing statutes that bar ex-felons from employment is that they indiscriminately bar all ex-felons from the employment in question; the statutes are not narrowly tailored to bar only individuals guilty of engaging in certain kinds of conduct from working in certain kinds of jobs. 138 While most everyone would agree that a law preventing a convicted child [*317] molester from working in a day care center is a good law to have in force, a law preventing a drug user from working as a beautician does not serve any purpose but to further punish. 139 </w:t>
      </w:r>
      <w:r w:rsidRPr="000D0457">
        <w:rPr>
          <w:rStyle w:val="StyleUnderline"/>
        </w:rPr>
        <w:t xml:space="preserve">The combination of stigma as a result of conviction along with legal restrictions barring access to many jobs serves to further decrease employment opportunities for ex-offenders already facing employment barriers prior to their </w:t>
      </w:r>
      <w:proofErr w:type="gramStart"/>
      <w:r w:rsidRPr="000D0457">
        <w:rPr>
          <w:rStyle w:val="StyleUnderline"/>
        </w:rPr>
        <w:t>incarceration, and</w:t>
      </w:r>
      <w:proofErr w:type="gramEnd"/>
      <w:r w:rsidRPr="000D0457">
        <w:rPr>
          <w:rStyle w:val="StyleUnderline"/>
        </w:rPr>
        <w:t xml:space="preserve"> has a disproportionate impact on Black communities</w:t>
      </w:r>
      <w:r w:rsidRPr="000D0457">
        <w:rPr>
          <w:sz w:val="10"/>
        </w:rPr>
        <w:t xml:space="preserve">. Allard's study discovered that "[a] significant number of women under criminal justice supervision experienced high levels of low-wage work, underemployment, and unemployment prior to their arrest." 140 Only half of the mothers in state prison reported employment in the month before their arrest, and 52% of Black women reported no job or business prior to their arrest in comparison to 44% of White women. 141 The Bureau of Justice Statistics states that 36% of jail inmates in 1996 were unemployed prior to entering jail, and 64% of jail inmates in 1996 had monthly incomes of under $ 1,000 in the month before their arrest. 142 In addition, inmates are unlikely to improve their future employability since the advent of "get tough" policies drastically reduced their ability to learn marketable skills while incarcerated. 143 The inability to gain or improve valuable labor skills while in prison is particularly frustrating since many inmates enter prison without the education that is necessary to succeed in the job market and could greatly benefit from skills training. Bruce Western found that "racial disparity in incarceration is partly explained by the relatively low level of schooling of young Black men compared with that of young White men." 144 In addition, among high school dropouts, Black people are four times more likely than White people to be in prison or jail. 145 While research shows that "young, unskilled minority men who are most likely to go to jail have poor job opportunities even in the absence of incarceration," Western argues that much of the statistical research does not account for the more complicated economic effects of incarceration on poor and minority communities. 146 Spending time in prison is an experience that can permanently change the course of an individual's life. 147 Furthermore, minority men in low-wage jobs who do not go to prison are more likely to settle into a stable path of earnings growth "while ex-convicts follow an unstable trajectory of [*318] irregular employment." 148 Finally, unemployment and high incarceration rates have significant effects on entire communities. Employers are less likely to hire individuals from certain well-known high-crime neighborhoods because they will simply assume that all individuals coming from that neighborhood are ex-convicts. 149 Also, </w:t>
      </w:r>
      <w:r w:rsidRPr="000D0457">
        <w:rPr>
          <w:rStyle w:val="StyleUnderline"/>
        </w:rPr>
        <w:t>poor urban communities with high incarceration rates are likely to have large numbers of idle young men recently released from prison or jail who associate with one another rather than meeting individuals who can provide them with access to legitimate forms of employment</w:t>
      </w:r>
      <w:r w:rsidRPr="000D0457">
        <w:rPr>
          <w:sz w:val="10"/>
        </w:rPr>
        <w:t xml:space="preserve">. In turn, </w:t>
      </w:r>
      <w:r w:rsidRPr="000D0457">
        <w:rPr>
          <w:rStyle w:val="StyleUnderline"/>
        </w:rPr>
        <w:t>by not finding legitimate employment themselves, the young men are unable to replicate the pattern that exists in so many successful, high-income communities of friends providing one another with job opportunities</w:t>
      </w:r>
      <w:r w:rsidRPr="000D0457">
        <w:rPr>
          <w:sz w:val="10"/>
        </w:rPr>
        <w:t xml:space="preserve">. 150 Furthermore, </w:t>
      </w:r>
      <w:r w:rsidRPr="000D0457">
        <w:rPr>
          <w:rStyle w:val="Emphasis"/>
        </w:rPr>
        <w:t>the inability to obtain steady employment is likely to lead to higher rates of recidivism</w:t>
      </w:r>
      <w:r w:rsidRPr="000D0457">
        <w:rPr>
          <w:sz w:val="10"/>
        </w:rPr>
        <w:t>. Joan Petersilia writes that "</w:t>
      </w:r>
      <w:proofErr w:type="gramStart"/>
      <w:r w:rsidRPr="000D0457">
        <w:rPr>
          <w:sz w:val="10"/>
        </w:rPr>
        <w:t>the majority of</w:t>
      </w:r>
      <w:proofErr w:type="gramEnd"/>
      <w:r w:rsidRPr="000D0457">
        <w:rPr>
          <w:sz w:val="10"/>
        </w:rPr>
        <w:t xml:space="preserve"> inmates leave prison with no savings, no immediate entitlement to unemployment benefits, and few employment prospects. </w:t>
      </w:r>
      <w:r w:rsidRPr="000D0457">
        <w:rPr>
          <w:rStyle w:val="StyleUnderline"/>
        </w:rPr>
        <w:t>One year after release, as many as 60% of former inmates are not employed in the regular labor market</w:t>
      </w:r>
      <w:r w:rsidRPr="000D0457">
        <w:rPr>
          <w:sz w:val="10"/>
        </w:rPr>
        <w:t>."   151</w:t>
      </w:r>
    </w:p>
    <w:p w14:paraId="6D37C974" w14:textId="26AFAA0A" w:rsidR="002457A9" w:rsidRDefault="00323D4F" w:rsidP="00323D4F">
      <w:pPr>
        <w:pStyle w:val="Heading4"/>
      </w:pPr>
      <w:r>
        <w:t>CC’s limit access to resources --- causes an increase in crime</w:t>
      </w:r>
    </w:p>
    <w:p w14:paraId="3C1B0179" w14:textId="77777777" w:rsidR="00323D4F" w:rsidRPr="00323D4F" w:rsidRDefault="00323D4F" w:rsidP="00323D4F"/>
    <w:p w14:paraId="7316C7B8" w14:textId="77777777" w:rsidR="0086397F" w:rsidRDefault="0086397F" w:rsidP="0086397F">
      <w:pPr>
        <w:rPr>
          <w:rStyle w:val="Style13ptBold"/>
        </w:rPr>
      </w:pPr>
      <w:r>
        <w:rPr>
          <w:rStyle w:val="Style13ptBold"/>
        </w:rPr>
        <w:t>Murray ‘20</w:t>
      </w:r>
    </w:p>
    <w:p w14:paraId="4BF8E1A4" w14:textId="77777777" w:rsidR="0086397F" w:rsidRPr="0086397F" w:rsidRDefault="0086397F" w:rsidP="0086397F">
      <w:r w:rsidRPr="0086397F">
        <w:t xml:space="preserve">(Brian, Associate Professor of Law, Seton Hall University School of Law, “ARE COLLATERAL CONSEQUENCES </w:t>
      </w:r>
      <w:proofErr w:type="gramStart"/>
      <w:r w:rsidRPr="0086397F">
        <w:t>DESERVED?,</w:t>
      </w:r>
      <w:proofErr w:type="gramEnd"/>
      <w:r w:rsidRPr="0086397F">
        <w:t xml:space="preserve">” </w:t>
      </w:r>
      <w:proofErr w:type="spellStart"/>
      <w:r w:rsidRPr="0086397F">
        <w:t>pg</w:t>
      </w:r>
      <w:proofErr w:type="spellEnd"/>
      <w:r w:rsidRPr="0086397F">
        <w:t xml:space="preserve"> SSRN //um-</w:t>
      </w:r>
      <w:proofErr w:type="spellStart"/>
      <w:r w:rsidRPr="0086397F">
        <w:t>ef</w:t>
      </w:r>
      <w:proofErr w:type="spellEnd"/>
      <w:r w:rsidRPr="0086397F">
        <w:t>)</w:t>
      </w:r>
    </w:p>
    <w:p w14:paraId="29290C71" w14:textId="24E4CE96" w:rsidR="00B02075" w:rsidRPr="003827B8" w:rsidRDefault="00B02075" w:rsidP="002457A9">
      <w:pPr>
        <w:rPr>
          <w:sz w:val="12"/>
        </w:rPr>
      </w:pPr>
      <w:r w:rsidRPr="003827B8">
        <w:rPr>
          <w:sz w:val="12"/>
        </w:rPr>
        <w:t xml:space="preserve">This Article makes no claim as to whether certain collateral consequences, as components of a direct sentence, would be appropriately just punishment.14 It is possible many would pass that test. What it does argue, however, is this: utilitarian purposes of punishment—think public-safety rationales—more easily allow collateral consequences to proliferate than retributive principles and, as a result, are less equipped to restrain them.15 Their </w:t>
      </w:r>
      <w:proofErr w:type="spellStart"/>
      <w:r w:rsidRPr="003827B8">
        <w:rPr>
          <w:sz w:val="12"/>
        </w:rPr>
        <w:t>incapacitative</w:t>
      </w:r>
      <w:proofErr w:type="spellEnd"/>
      <w:r w:rsidRPr="003827B8">
        <w:rPr>
          <w:sz w:val="12"/>
        </w:rPr>
        <w:t xml:space="preserve">- and deterrence-based rationales, and concerns for welfare maximization, allow for the convenient blurring of the criminal-civil line.16 </w:t>
      </w:r>
      <w:r w:rsidRPr="00B02075">
        <w:rPr>
          <w:rStyle w:val="StyleUnderline"/>
        </w:rPr>
        <w:t>Designed to prevent future crime, many collateral consequences are</w:t>
      </w:r>
      <w:r w:rsidRPr="003827B8">
        <w:rPr>
          <w:sz w:val="12"/>
        </w:rPr>
        <w:t xml:space="preserve"> </w:t>
      </w:r>
      <w:r w:rsidRPr="00B02075">
        <w:rPr>
          <w:rStyle w:val="StyleUnderline"/>
        </w:rPr>
        <w:t>blunt instruments that may actually inhibit full reentry, ultimately disrupting</w:t>
      </w:r>
      <w:r>
        <w:rPr>
          <w:rStyle w:val="StyleUnderline"/>
        </w:rPr>
        <w:t xml:space="preserve"> </w:t>
      </w:r>
      <w:r w:rsidRPr="00B02075">
        <w:rPr>
          <w:rStyle w:val="StyleUnderline"/>
        </w:rPr>
        <w:t>the social order aimed to be restored.</w:t>
      </w:r>
      <w:r w:rsidRPr="003827B8">
        <w:rPr>
          <w:sz w:val="12"/>
        </w:rPr>
        <w:t xml:space="preserve">17 </w:t>
      </w:r>
      <w:r w:rsidRPr="00B02075">
        <w:rPr>
          <w:rStyle w:val="StyleUnderline"/>
        </w:rPr>
        <w:t>When the primary goals of punishment are safety, security, and minimizing future crime</w:t>
      </w:r>
      <w:r w:rsidRPr="003827B8">
        <w:rPr>
          <w:sz w:val="12"/>
        </w:rPr>
        <w:t xml:space="preserve"> (or predicting dangerousness), </w:t>
      </w:r>
      <w:r w:rsidRPr="00B02075">
        <w:rPr>
          <w:rStyle w:val="StyleUnderline"/>
        </w:rPr>
        <w:t>the temptation to enact collateral consequences is harder to resist</w:t>
      </w:r>
      <w:r>
        <w:rPr>
          <w:rStyle w:val="StyleUnderline"/>
        </w:rPr>
        <w:t xml:space="preserve"> </w:t>
      </w:r>
      <w:r w:rsidRPr="00B02075">
        <w:rPr>
          <w:rStyle w:val="StyleUnderline"/>
        </w:rPr>
        <w:t>and more difficult to critique</w:t>
      </w:r>
      <w:r w:rsidRPr="003827B8">
        <w:rPr>
          <w:sz w:val="12"/>
        </w:rPr>
        <w:t xml:space="preserve">. </w:t>
      </w:r>
      <w:r w:rsidRPr="00B02075">
        <w:rPr>
          <w:rStyle w:val="Emphasis"/>
        </w:rPr>
        <w:t>They are perceived as low-cost interventions</w:t>
      </w:r>
      <w:r>
        <w:rPr>
          <w:rStyle w:val="Emphasis"/>
        </w:rPr>
        <w:t xml:space="preserve"> </w:t>
      </w:r>
      <w:r w:rsidRPr="00B02075">
        <w:rPr>
          <w:rStyle w:val="Emphasis"/>
        </w:rPr>
        <w:t>that can heighten public safety through minimizing risk, making them politically palatable, especially for the risk averse</w:t>
      </w:r>
      <w:r w:rsidRPr="003827B8">
        <w:rPr>
          <w:sz w:val="12"/>
        </w:rPr>
        <w:t xml:space="preserve">.18 </w:t>
      </w:r>
      <w:r w:rsidRPr="00B02075">
        <w:rPr>
          <w:rStyle w:val="StyleUnderline"/>
        </w:rPr>
        <w:t>They isolate ex-offenders</w:t>
      </w:r>
      <w:r>
        <w:rPr>
          <w:rStyle w:val="StyleUnderline"/>
        </w:rPr>
        <w:t xml:space="preserve"> </w:t>
      </w:r>
      <w:r w:rsidRPr="00B02075">
        <w:rPr>
          <w:rStyle w:val="StyleUnderline"/>
        </w:rPr>
        <w:t xml:space="preserve">beyond what is just and necessary and </w:t>
      </w:r>
      <w:r w:rsidRPr="00B02075">
        <w:rPr>
          <w:rStyle w:val="Emphasis"/>
        </w:rPr>
        <w:t>counterproductively can incentivize</w:t>
      </w:r>
      <w:r>
        <w:rPr>
          <w:rStyle w:val="Emphasis"/>
        </w:rPr>
        <w:t xml:space="preserve"> </w:t>
      </w:r>
      <w:r w:rsidRPr="00B02075">
        <w:rPr>
          <w:rStyle w:val="Emphasis"/>
        </w:rPr>
        <w:t xml:space="preserve">more criminal behavior. </w:t>
      </w:r>
      <w:r w:rsidRPr="003827B8">
        <w:rPr>
          <w:sz w:val="12"/>
        </w:rPr>
        <w:t>And that is precisely today’s predicament: a pervasive network of collateral consequences designed to control human beings and their relationships with others, all in the name of mitigating risk and deterring future criminal behavior.19 Many are, in a phrase, undeserved extra punishment.</w:t>
      </w:r>
    </w:p>
    <w:p w14:paraId="236F095F" w14:textId="77777777" w:rsidR="005A2525" w:rsidRDefault="005A2525" w:rsidP="005A2525">
      <w:pPr>
        <w:pStyle w:val="Heading4"/>
      </w:pPr>
      <w:r>
        <w:t>And, collateral consequences gut employment --- which is key to stop recidivism</w:t>
      </w:r>
    </w:p>
    <w:p w14:paraId="75C745C5" w14:textId="77777777" w:rsidR="005A2525" w:rsidRDefault="005A2525" w:rsidP="005A2525"/>
    <w:p w14:paraId="78CC829C" w14:textId="77777777" w:rsidR="005A2525" w:rsidRDefault="005A2525" w:rsidP="005A2525">
      <w:pPr>
        <w:rPr>
          <w:rStyle w:val="Style13ptBold"/>
        </w:rPr>
      </w:pPr>
      <w:r>
        <w:rPr>
          <w:rStyle w:val="Style13ptBold"/>
        </w:rPr>
        <w:t>Levin ‘18</w:t>
      </w:r>
    </w:p>
    <w:p w14:paraId="58BB982D" w14:textId="77777777" w:rsidR="005A2525" w:rsidRPr="000D0457" w:rsidRDefault="005A2525" w:rsidP="005A2525">
      <w:r w:rsidRPr="00ED64DF">
        <w:t xml:space="preserve">(Benjamin, Associate Professor, University of Colorado Law School, “CRIMINAL EMPLOYMENT LAW,” </w:t>
      </w:r>
      <w:r>
        <w:t xml:space="preserve">Cardozo Law Review, </w:t>
      </w:r>
      <w:proofErr w:type="spellStart"/>
      <w:r w:rsidRPr="00ED64DF">
        <w:t>pg</w:t>
      </w:r>
      <w:proofErr w:type="spellEnd"/>
      <w:r w:rsidRPr="00ED64DF">
        <w:t xml:space="preserve"> </w:t>
      </w:r>
      <w:hyperlink r:id="rId77" w:history="1">
        <w:r w:rsidRPr="002A2A9B">
          <w:rPr>
            <w:rStyle w:val="Hyperlink"/>
          </w:rPr>
          <w:t>http://cardozolawreview.com/criminal-employment-law-criminal-records/</w:t>
        </w:r>
      </w:hyperlink>
      <w:r>
        <w:t xml:space="preserve"> </w:t>
      </w:r>
      <w:r w:rsidRPr="00ED64DF">
        <w:t>//um-</w:t>
      </w:r>
      <w:proofErr w:type="spellStart"/>
      <w:r w:rsidRPr="00ED64DF">
        <w:t>ef</w:t>
      </w:r>
      <w:proofErr w:type="spellEnd"/>
      <w:r w:rsidRPr="00ED64DF">
        <w:t>)</w:t>
      </w:r>
    </w:p>
    <w:p w14:paraId="2FC9D9C7" w14:textId="77777777" w:rsidR="005A2525" w:rsidRPr="00B61D16" w:rsidRDefault="005A2525" w:rsidP="005A2525">
      <w:pPr>
        <w:rPr>
          <w:sz w:val="10"/>
        </w:rPr>
      </w:pPr>
      <w:r w:rsidRPr="00B61D16">
        <w:rPr>
          <w:sz w:val="10"/>
        </w:rPr>
        <w:t xml:space="preserve">The shadow of criminal law looms large over the U.S. labor market. A criminal record sharply decreases a job applicant’s likelihood of gaining employment, and employers’ refusal to hire formerly incarcerated applicants has led to a growing population of unemployed and underemployed people with criminal records.1 Every year, more than 600,000 people are released from prison, but, a year after release, over seventy-five percent of them remain jobless.2 </w:t>
      </w:r>
      <w:r w:rsidRPr="00B61D16">
        <w:rPr>
          <w:rStyle w:val="StyleUnderline"/>
        </w:rPr>
        <w:t>While parole boards treat employment as a powerful guard against recidivism,3 the legal system imposes a range of structural obstacles that make it very hard for people with criminal records to find work</w:t>
      </w:r>
      <w:r w:rsidRPr="00B61D16">
        <w:rPr>
          <w:sz w:val="10"/>
        </w:rPr>
        <w:t xml:space="preserve">. </w:t>
      </w:r>
      <w:r w:rsidRPr="00B61D16">
        <w:rPr>
          <w:rStyle w:val="StyleUnderline"/>
        </w:rPr>
        <w:t>The difficulty finding and keeping a job thus serves as a significant</w:t>
      </w:r>
      <w:r>
        <w:rPr>
          <w:rStyle w:val="StyleUnderline"/>
        </w:rPr>
        <w:t xml:space="preserve"> </w:t>
      </w:r>
      <w:r w:rsidRPr="00B61D16">
        <w:rPr>
          <w:rStyle w:val="StyleUnderline"/>
        </w:rPr>
        <w:t>collateral consequence of the criminal justice system</w:t>
      </w:r>
      <w:r w:rsidRPr="00B61D16">
        <w:rPr>
          <w:sz w:val="10"/>
        </w:rPr>
        <w:t xml:space="preserve">—a harm that accompanies criminal conviction, charge, and even arrest.4 While incarceration, probation, and other formal vehicles of punishment are explicitly designed to respond to law breaking, these </w:t>
      </w:r>
      <w:r w:rsidRPr="00B61D16">
        <w:rPr>
          <w:rStyle w:val="StyleUnderline"/>
        </w:rPr>
        <w:t>formal sanctions</w:t>
      </w:r>
      <w:r>
        <w:rPr>
          <w:rStyle w:val="StyleUnderline"/>
        </w:rPr>
        <w:t xml:space="preserve"> </w:t>
      </w:r>
      <w:r w:rsidRPr="00B61D16">
        <w:rPr>
          <w:rStyle w:val="StyleUnderline"/>
        </w:rPr>
        <w:t>are only one effect of conviction</w:t>
      </w:r>
      <w:r w:rsidRPr="00B61D16">
        <w:rPr>
          <w:sz w:val="10"/>
        </w:rPr>
        <w:t xml:space="preserve">. As the carceral state has expanded, so too have civil </w:t>
      </w:r>
      <w:r w:rsidRPr="00B61D16">
        <w:rPr>
          <w:rStyle w:val="StyleUnderline"/>
        </w:rPr>
        <w:t>consequences of conviction</w:t>
      </w:r>
      <w:r w:rsidRPr="00B61D16">
        <w:rPr>
          <w:sz w:val="10"/>
        </w:rPr>
        <w:t>—consequences that</w:t>
      </w:r>
      <w:r w:rsidRPr="00B61D16">
        <w:rPr>
          <w:rStyle w:val="StyleUnderline"/>
        </w:rPr>
        <w:t xml:space="preserve"> have</w:t>
      </w:r>
      <w:r>
        <w:rPr>
          <w:rStyle w:val="StyleUnderline"/>
        </w:rPr>
        <w:t xml:space="preserve"> </w:t>
      </w:r>
      <w:r w:rsidRPr="00B61D16">
        <w:rPr>
          <w:rStyle w:val="StyleUnderline"/>
        </w:rPr>
        <w:t>proliferated and grown more severe</w:t>
      </w:r>
      <w:r w:rsidRPr="00B61D16">
        <w:rPr>
          <w:sz w:val="10"/>
        </w:rPr>
        <w:t>.</w:t>
      </w:r>
      <w:r w:rsidRPr="00B61D16">
        <w:rPr>
          <w:rStyle w:val="StyleUnderline"/>
        </w:rPr>
        <w:t>5 Loss of employment opportunities</w:t>
      </w:r>
      <w:r w:rsidRPr="00B61D16">
        <w:rPr>
          <w:sz w:val="10"/>
        </w:rPr>
        <w:t xml:space="preserve"> (along with loss of housing, disenfranchisement, ineligibility for public benefits, and deportation) </w:t>
      </w:r>
      <w:r w:rsidRPr="00B61D16">
        <w:rPr>
          <w:rStyle w:val="StyleUnderline"/>
        </w:rPr>
        <w:t>may result in greater and longer-lasting</w:t>
      </w:r>
      <w:r>
        <w:rPr>
          <w:rStyle w:val="StyleUnderline"/>
        </w:rPr>
        <w:t xml:space="preserve"> </w:t>
      </w:r>
      <w:r w:rsidRPr="00B61D16">
        <w:rPr>
          <w:rStyle w:val="StyleUnderline"/>
        </w:rPr>
        <w:t>harms than the traditional forms of statutorily or judicially mandated</w:t>
      </w:r>
      <w:r>
        <w:rPr>
          <w:rStyle w:val="StyleUnderline"/>
        </w:rPr>
        <w:t xml:space="preserve"> </w:t>
      </w:r>
      <w:r w:rsidRPr="00B61D16">
        <w:rPr>
          <w:rStyle w:val="StyleUnderline"/>
        </w:rPr>
        <w:t>punishment</w:t>
      </w:r>
      <w:r w:rsidRPr="00B61D16">
        <w:rPr>
          <w:sz w:val="10"/>
        </w:rPr>
        <w:t xml:space="preserve">.6 </w:t>
      </w:r>
      <w:r w:rsidRPr="00B61D16">
        <w:rPr>
          <w:rStyle w:val="Emphasis"/>
        </w:rPr>
        <w:t>These consequences have wreaked havoc in low-income</w:t>
      </w:r>
      <w:r>
        <w:rPr>
          <w:rStyle w:val="Emphasis"/>
        </w:rPr>
        <w:t xml:space="preserve"> </w:t>
      </w:r>
      <w:r w:rsidRPr="00B61D16">
        <w:rPr>
          <w:rStyle w:val="Emphasis"/>
        </w:rPr>
        <w:t>communities, particularly low-income communities of color</w:t>
      </w:r>
      <w:r w:rsidRPr="00B61D16">
        <w:rPr>
          <w:sz w:val="10"/>
        </w:rPr>
        <w:t>.7 Scholars have grappled with ways to reduce these collateral costs or ways to make them more transparent, so that criminal defendants might weigh them when considering guilty pleas, judges might factor them into sentencing determinations, and legislators might act to mitigate their effects.8 However, the role of private employers in this shadow criminal system remains underexplored.</w:t>
      </w:r>
    </w:p>
    <w:p w14:paraId="0674B0D6" w14:textId="77777777" w:rsidR="007529E8" w:rsidRPr="007529E8" w:rsidRDefault="007529E8" w:rsidP="007529E8"/>
    <w:p w14:paraId="03B2AD4C" w14:textId="7DB35490" w:rsidR="00687E07" w:rsidRDefault="00687E07" w:rsidP="00371F90">
      <w:pPr>
        <w:pStyle w:val="Heading1"/>
      </w:pPr>
      <w:r>
        <w:t>CP Answers</w:t>
      </w:r>
    </w:p>
    <w:p w14:paraId="63C01152" w14:textId="5A655E1D" w:rsidR="00687E07" w:rsidRDefault="00687E07" w:rsidP="00687E07"/>
    <w:p w14:paraId="7DD86AE1" w14:textId="1E60EAF8" w:rsidR="00687E07" w:rsidRDefault="00560D3D" w:rsidP="00560D3D">
      <w:pPr>
        <w:pStyle w:val="Heading2"/>
      </w:pPr>
      <w:r>
        <w:t xml:space="preserve">AT: </w:t>
      </w:r>
      <w:r w:rsidR="00687E07">
        <w:t xml:space="preserve">States CP </w:t>
      </w:r>
    </w:p>
    <w:p w14:paraId="00F20E89" w14:textId="0722E019" w:rsidR="0012468B" w:rsidRDefault="0012468B" w:rsidP="0012468B"/>
    <w:p w14:paraId="673B2A2F" w14:textId="149A7BC1" w:rsidR="00CB6C8C" w:rsidRDefault="00560D3D" w:rsidP="00560D3D">
      <w:pPr>
        <w:pStyle w:val="Heading3"/>
      </w:pPr>
      <w:r>
        <w:t>Fed key – Housing</w:t>
      </w:r>
    </w:p>
    <w:p w14:paraId="622A5913" w14:textId="681B387D" w:rsidR="004D58DB" w:rsidRDefault="0066490D" w:rsidP="004D58DB">
      <w:pPr>
        <w:pStyle w:val="Heading4"/>
      </w:pPr>
      <w:r>
        <w:t>Federal housing da</w:t>
      </w:r>
    </w:p>
    <w:p w14:paraId="4C47D3E2" w14:textId="3F8A8DB1" w:rsidR="004D58DB" w:rsidRDefault="004D58DB" w:rsidP="004D58DB"/>
    <w:p w14:paraId="416A8296" w14:textId="6F96786C" w:rsidR="004D58DB" w:rsidRDefault="004D58DB" w:rsidP="004D58DB">
      <w:pPr>
        <w:rPr>
          <w:rStyle w:val="Style13ptBold"/>
        </w:rPr>
      </w:pPr>
      <w:r>
        <w:rPr>
          <w:rStyle w:val="Style13ptBold"/>
        </w:rPr>
        <w:t>Ewald and Smith ‘8</w:t>
      </w:r>
    </w:p>
    <w:p w14:paraId="7A96B29A" w14:textId="3F527BD8" w:rsidR="004D58DB" w:rsidRPr="00A26226" w:rsidRDefault="004D58DB" w:rsidP="00A26226">
      <w:r w:rsidRPr="00A26226">
        <w:t>(Alec,</w:t>
      </w:r>
      <w:r w:rsidR="00A26226">
        <w:t xml:space="preserve"> Associate Professor American Politics and Constitutional Law. University of Vermont, Current research is on the “collateral consequences” of criminal convictions</w:t>
      </w:r>
      <w:r w:rsidRPr="00A26226">
        <w:t xml:space="preserve"> and Marnie, THE JUSTICE SYSTEM JOURNAL, </w:t>
      </w:r>
      <w:proofErr w:type="spellStart"/>
      <w:r w:rsidRPr="00A26226">
        <w:t>pg</w:t>
      </w:r>
      <w:proofErr w:type="spellEnd"/>
      <w:r w:rsidRPr="00A26226">
        <w:t xml:space="preserve"> online @</w:t>
      </w:r>
      <w:r w:rsidR="00A26226" w:rsidRPr="00A26226">
        <w:t xml:space="preserve"> https://www.ncsc.org/__data/assets/pdf_file/0022/16465/collateral-consequences.pdf</w:t>
      </w:r>
      <w:r w:rsidRPr="00A26226">
        <w:t xml:space="preserve"> //um-</w:t>
      </w:r>
      <w:proofErr w:type="spellStart"/>
      <w:r w:rsidRPr="00A26226">
        <w:t>ef</w:t>
      </w:r>
      <w:proofErr w:type="spellEnd"/>
      <w:r w:rsidRPr="00A26226">
        <w:t>)</w:t>
      </w:r>
    </w:p>
    <w:p w14:paraId="4E83DBE2" w14:textId="058A5ACE" w:rsidR="001515B9" w:rsidRDefault="004D58DB" w:rsidP="004D58DB">
      <w:r w:rsidRPr="0066490D">
        <w:rPr>
          <w:sz w:val="12"/>
        </w:rPr>
        <w:t xml:space="preserve">More than two million Americans are now in prison or jail, and approximately seven million adults are under criminal supervision of one form or another (Bureau of Justice Statistics, 2006). Those figures give the United States the dubious distinction of having the world’s highest incarceration rate (Gottschalk, 2006). About 600,000 offenders are released from U.S. prisons and jails in a typical year, more than four times the rate of thirty years ago (Pinaire, </w:t>
      </w:r>
      <w:proofErr w:type="spellStart"/>
      <w:r w:rsidRPr="0066490D">
        <w:rPr>
          <w:sz w:val="12"/>
        </w:rPr>
        <w:t>Heumann</w:t>
      </w:r>
      <w:proofErr w:type="spellEnd"/>
      <w:r w:rsidRPr="0066490D">
        <w:rPr>
          <w:sz w:val="12"/>
        </w:rPr>
        <w:t xml:space="preserve">, and </w:t>
      </w:r>
      <w:proofErr w:type="spellStart"/>
      <w:r w:rsidRPr="0066490D">
        <w:rPr>
          <w:sz w:val="12"/>
        </w:rPr>
        <w:t>Lerman</w:t>
      </w:r>
      <w:proofErr w:type="spellEnd"/>
      <w:r w:rsidRPr="0066490D">
        <w:rPr>
          <w:sz w:val="12"/>
        </w:rPr>
        <w:t xml:space="preserve">, 2006). Such figures have helped draw the attention of scholars, practitioners, and the public to what are known as the “collateral” consequences of criminal convictions. Beyond their formal sentence, people convicted of felonies and some misdemeanors in </w:t>
      </w:r>
      <w:r w:rsidRPr="00751CFE">
        <w:rPr>
          <w:rStyle w:val="StyleUnderline"/>
        </w:rPr>
        <w:t>U.S. courts face a number of penalties, restrictions, and disabilities called “collateral” because they lie not in the penal code</w:t>
      </w:r>
      <w:r w:rsidRPr="0066490D">
        <w:rPr>
          <w:sz w:val="12"/>
        </w:rPr>
        <w:t xml:space="preserve"> b</w:t>
      </w:r>
      <w:r w:rsidRPr="00751CFE">
        <w:rPr>
          <w:rStyle w:val="StyleUnderline"/>
        </w:rPr>
        <w:t>ut in state and federal gun-ownership and voting laws, juror-qualification standards, professional-licensure requirements, entitlement-eligibility rules, and so on</w:t>
      </w:r>
      <w:r w:rsidRPr="0066490D">
        <w:rPr>
          <w:sz w:val="12"/>
        </w:rPr>
        <w:t xml:space="preserve">. </w:t>
      </w:r>
      <w:r w:rsidRPr="0066490D">
        <w:rPr>
          <w:rStyle w:val="Emphasis"/>
          <w:highlight w:val="cyan"/>
        </w:rPr>
        <w:t xml:space="preserve">Some restrictions are </w:t>
      </w:r>
      <w:r w:rsidRPr="0066490D">
        <w:rPr>
          <w:rStyle w:val="StyleUnderline"/>
          <w:highlight w:val="cyan"/>
        </w:rPr>
        <w:t>contained in</w:t>
      </w:r>
      <w:r w:rsidRPr="0066490D">
        <w:rPr>
          <w:rStyle w:val="Emphasis"/>
          <w:highlight w:val="cyan"/>
        </w:rPr>
        <w:t xml:space="preserve"> federal law</w:t>
      </w:r>
      <w:r w:rsidRPr="0066490D">
        <w:rPr>
          <w:sz w:val="12"/>
          <w:highlight w:val="cyan"/>
        </w:rPr>
        <w:t xml:space="preserve">, </w:t>
      </w:r>
      <w:r w:rsidRPr="0066490D">
        <w:rPr>
          <w:rStyle w:val="Emphasis"/>
          <w:highlight w:val="cyan"/>
        </w:rPr>
        <w:t xml:space="preserve">such as limits or </w:t>
      </w:r>
      <w:r w:rsidRPr="0066490D">
        <w:rPr>
          <w:rStyle w:val="StyleUnderline"/>
          <w:highlight w:val="cyan"/>
        </w:rPr>
        <w:t>outright</w:t>
      </w:r>
      <w:r w:rsidRPr="0066490D">
        <w:rPr>
          <w:rStyle w:val="Emphasis"/>
          <w:highlight w:val="cyan"/>
        </w:rPr>
        <w:t xml:space="preserve"> bars</w:t>
      </w:r>
      <w:r w:rsidRPr="00751CFE">
        <w:rPr>
          <w:rStyle w:val="Emphasis"/>
        </w:rPr>
        <w:t xml:space="preserve"> for drug offenders </w:t>
      </w:r>
      <w:r w:rsidRPr="0066490D">
        <w:rPr>
          <w:rStyle w:val="Emphasis"/>
          <w:highlight w:val="cyan"/>
        </w:rPr>
        <w:t>on access to federal housing</w:t>
      </w:r>
      <w:r w:rsidRPr="00751CFE">
        <w:rPr>
          <w:rStyle w:val="Emphasis"/>
        </w:rPr>
        <w:t>, Social Security, student loans, and federal employment.</w:t>
      </w:r>
      <w:r w:rsidRPr="0066490D">
        <w:rPr>
          <w:sz w:val="12"/>
        </w:rPr>
        <w:t xml:space="preserve"> But most are scattered throughout various parts of state law. Collateral consequences continue to restrict offenders after their actual sentence has ended; indeed, some apply indefinitely, barring a formal pardon or other administrative release.</w:t>
      </w:r>
      <w:r w:rsidR="0066490D" w:rsidRPr="0066490D">
        <w:rPr>
          <w:sz w:val="12"/>
        </w:rPr>
        <w:t xml:space="preserve"> </w:t>
      </w:r>
      <w:r w:rsidR="001515B9" w:rsidRPr="0066490D">
        <w:rPr>
          <w:sz w:val="12"/>
        </w:rPr>
        <w:t>How a Criminal Record Can Affect Housing Opportunities</w:t>
      </w:r>
      <w:r w:rsidR="00746754" w:rsidRPr="0066490D">
        <w:rPr>
          <w:sz w:val="12"/>
        </w:rPr>
        <w:t xml:space="preserve"> </w:t>
      </w:r>
      <w:r w:rsidR="001515B9" w:rsidRPr="001515B9">
        <w:rPr>
          <w:rStyle w:val="StyleUnderline"/>
        </w:rPr>
        <w:t xml:space="preserve">Individuals with criminal convictions face barriers to both </w:t>
      </w:r>
      <w:r w:rsidR="001515B9" w:rsidRPr="001515B9">
        <w:rPr>
          <w:rStyle w:val="Emphasis"/>
        </w:rPr>
        <w:t>public and private housing</w:t>
      </w:r>
      <w:r w:rsidR="001515B9" w:rsidRPr="0066490D">
        <w:rPr>
          <w:sz w:val="12"/>
        </w:rPr>
        <w:t xml:space="preserve">. </w:t>
      </w:r>
      <w:r w:rsidR="001515B9" w:rsidRPr="0066490D">
        <w:rPr>
          <w:rStyle w:val="Emphasis"/>
          <w:highlight w:val="cyan"/>
        </w:rPr>
        <w:t>Federal laws</w:t>
      </w:r>
      <w:r w:rsidR="001515B9" w:rsidRPr="0066490D">
        <w:rPr>
          <w:sz w:val="12"/>
          <w:highlight w:val="cyan"/>
        </w:rPr>
        <w:t xml:space="preserve"> </w:t>
      </w:r>
      <w:r w:rsidR="001515B9" w:rsidRPr="0066490D">
        <w:rPr>
          <w:rStyle w:val="StyleUnderline"/>
          <w:highlight w:val="cyan"/>
        </w:rPr>
        <w:t>prohibit</w:t>
      </w:r>
      <w:r w:rsidR="001515B9" w:rsidRPr="001515B9">
        <w:rPr>
          <w:rStyle w:val="StyleUnderline"/>
        </w:rPr>
        <w:t xml:space="preserve"> individuals with certain types of criminal records from </w:t>
      </w:r>
      <w:r w:rsidR="001515B9" w:rsidRPr="0066490D">
        <w:rPr>
          <w:rStyle w:val="StyleUnderline"/>
          <w:highlight w:val="cyan"/>
        </w:rPr>
        <w:t>living in public or subsidized housing</w:t>
      </w:r>
      <w:r w:rsidR="001515B9" w:rsidRPr="001515B9">
        <w:rPr>
          <w:rStyle w:val="StyleUnderline"/>
        </w:rPr>
        <w:t xml:space="preserve"> and/or living in certain geographical areas, and private </w:t>
      </w:r>
      <w:r w:rsidR="001515B9" w:rsidRPr="0066490D">
        <w:rPr>
          <w:rStyle w:val="StyleUnderline"/>
          <w:highlight w:val="cyan"/>
        </w:rPr>
        <w:t>housing providers may</w:t>
      </w:r>
      <w:r w:rsidR="001515B9" w:rsidRPr="0066490D">
        <w:rPr>
          <w:sz w:val="12"/>
          <w:highlight w:val="cyan"/>
        </w:rPr>
        <w:t xml:space="preserve"> </w:t>
      </w:r>
      <w:r w:rsidR="001515B9" w:rsidRPr="0066490D">
        <w:rPr>
          <w:rStyle w:val="Emphasis"/>
          <w:highlight w:val="cyan"/>
        </w:rPr>
        <w:t>implement policies that restrict individuals with arrests or criminal convictions</w:t>
      </w:r>
      <w:r w:rsidR="001515B9" w:rsidRPr="0066490D">
        <w:rPr>
          <w:sz w:val="12"/>
        </w:rPr>
        <w:t xml:space="preserve">.409F 410 Many formerly incarcerated people return to low-income communities, and the National Low Income Housing Coalition estimates that only 35 affordable rental units exist for every 100 “extremely low-income” households.410F 411 Coupled with the collateral consequences that formerly incarcerated individuals face when trying to earn a living, </w:t>
      </w:r>
      <w:r w:rsidR="001515B9" w:rsidRPr="001515B9">
        <w:rPr>
          <w:rStyle w:val="Emphasis"/>
        </w:rPr>
        <w:t xml:space="preserve">formerly incarcerated individuals </w:t>
      </w:r>
      <w:r w:rsidR="001515B9" w:rsidRPr="0066490D">
        <w:rPr>
          <w:rStyle w:val="Emphasis"/>
          <w:highlight w:val="cyan"/>
        </w:rPr>
        <w:t>face a high risk of housing insecurity and homelessness</w:t>
      </w:r>
      <w:r w:rsidR="001515B9" w:rsidRPr="0066490D">
        <w:rPr>
          <w:sz w:val="12"/>
        </w:rPr>
        <w:t>.41F</w:t>
      </w:r>
      <w:r w:rsidR="00746754" w:rsidRPr="0066490D">
        <w:rPr>
          <w:sz w:val="12"/>
        </w:rPr>
        <w:t xml:space="preserve"> </w:t>
      </w:r>
      <w:r w:rsidR="001515B9" w:rsidRPr="0066490D">
        <w:rPr>
          <w:sz w:val="12"/>
        </w:rPr>
        <w:t>412 While landlords have an understandable interest in safety,412F</w:t>
      </w:r>
      <w:r w:rsidR="00746754" w:rsidRPr="0066490D">
        <w:rPr>
          <w:sz w:val="12"/>
        </w:rPr>
        <w:t xml:space="preserve"> </w:t>
      </w:r>
      <w:r w:rsidR="001515B9" w:rsidRPr="0066490D">
        <w:rPr>
          <w:sz w:val="12"/>
        </w:rPr>
        <w:t>413</w:t>
      </w:r>
      <w:r w:rsidR="00746754" w:rsidRPr="0066490D">
        <w:rPr>
          <w:sz w:val="12"/>
        </w:rPr>
        <w:t xml:space="preserve"> </w:t>
      </w:r>
      <w:r w:rsidR="001515B9" w:rsidRPr="0066490D">
        <w:rPr>
          <w:sz w:val="12"/>
        </w:rPr>
        <w:t>barring formerly incarcerated persons—regardless of the basis for conviction—from tenancy does</w:t>
      </w:r>
      <w:r w:rsidR="00746754" w:rsidRPr="0066490D">
        <w:rPr>
          <w:sz w:val="12"/>
        </w:rPr>
        <w:t xml:space="preserve"> </w:t>
      </w:r>
      <w:r w:rsidR="001515B9" w:rsidRPr="0066490D">
        <w:rPr>
          <w:sz w:val="12"/>
        </w:rPr>
        <w:t xml:space="preserve">not categorically serve that interest. In addition, </w:t>
      </w:r>
      <w:r w:rsidR="001515B9" w:rsidRPr="00746754">
        <w:rPr>
          <w:rStyle w:val="StyleUnderline"/>
        </w:rPr>
        <w:t>high barriers to housing have severe implications</w:t>
      </w:r>
      <w:r w:rsidR="001515B9" w:rsidRPr="0066490D">
        <w:rPr>
          <w:sz w:val="12"/>
        </w:rPr>
        <w:t>.</w:t>
      </w:r>
      <w:r w:rsidR="00746754" w:rsidRPr="0066490D">
        <w:rPr>
          <w:sz w:val="12"/>
        </w:rPr>
        <w:t xml:space="preserve"> </w:t>
      </w:r>
      <w:r w:rsidR="001515B9" w:rsidRPr="0066490D">
        <w:rPr>
          <w:sz w:val="12"/>
        </w:rPr>
        <w:t>This section reviews overarching civil rights issues related to housing barriers for persons with</w:t>
      </w:r>
      <w:r w:rsidR="00746754" w:rsidRPr="0066490D">
        <w:rPr>
          <w:sz w:val="12"/>
        </w:rPr>
        <w:t xml:space="preserve"> </w:t>
      </w:r>
      <w:r w:rsidR="001515B9" w:rsidRPr="0066490D">
        <w:rPr>
          <w:sz w:val="12"/>
        </w:rPr>
        <w:t xml:space="preserve">felony convictions, and the subsequent sections discuss </w:t>
      </w:r>
      <w:proofErr w:type="gramStart"/>
      <w:r w:rsidR="001515B9" w:rsidRPr="0066490D">
        <w:rPr>
          <w:sz w:val="12"/>
        </w:rPr>
        <w:t>particular barriers</w:t>
      </w:r>
      <w:proofErr w:type="gramEnd"/>
      <w:r w:rsidR="001515B9" w:rsidRPr="0066490D">
        <w:rPr>
          <w:sz w:val="12"/>
        </w:rPr>
        <w:t xml:space="preserve"> for public and private</w:t>
      </w:r>
      <w:r w:rsidR="00746754" w:rsidRPr="0066490D">
        <w:rPr>
          <w:sz w:val="12"/>
        </w:rPr>
        <w:t xml:space="preserve"> </w:t>
      </w:r>
      <w:r w:rsidR="001515B9" w:rsidRPr="0066490D">
        <w:rPr>
          <w:sz w:val="12"/>
        </w:rPr>
        <w:t>housing.</w:t>
      </w:r>
      <w:r w:rsidR="00746754" w:rsidRPr="0066490D">
        <w:rPr>
          <w:sz w:val="12"/>
        </w:rPr>
        <w:t xml:space="preserve"> </w:t>
      </w:r>
      <w:r w:rsidR="001515B9" w:rsidRPr="0066490D">
        <w:rPr>
          <w:sz w:val="12"/>
        </w:rPr>
        <w:t>Without a stable residence, it is difficult for formerly incarcerated individuals to reconnect with</w:t>
      </w:r>
      <w:r w:rsidR="00746754" w:rsidRPr="0066490D">
        <w:rPr>
          <w:sz w:val="12"/>
        </w:rPr>
        <w:t xml:space="preserve"> </w:t>
      </w:r>
      <w:r w:rsidR="001515B9" w:rsidRPr="0066490D">
        <w:rPr>
          <w:sz w:val="12"/>
        </w:rPr>
        <w:t>society.413F</w:t>
      </w:r>
      <w:r w:rsidR="00746754" w:rsidRPr="0066490D">
        <w:rPr>
          <w:sz w:val="12"/>
        </w:rPr>
        <w:t xml:space="preserve"> </w:t>
      </w:r>
      <w:r w:rsidR="001515B9" w:rsidRPr="0066490D">
        <w:rPr>
          <w:sz w:val="12"/>
        </w:rPr>
        <w:t>414 In turn, this difficulty can lead to increased rates of recidivism.41F</w:t>
      </w:r>
      <w:r w:rsidR="00746754" w:rsidRPr="0066490D">
        <w:rPr>
          <w:sz w:val="12"/>
        </w:rPr>
        <w:t xml:space="preserve"> </w:t>
      </w:r>
      <w:r w:rsidR="001515B9" w:rsidRPr="0066490D">
        <w:rPr>
          <w:sz w:val="12"/>
        </w:rPr>
        <w:t>415 Kate Walz, Director</w:t>
      </w:r>
      <w:r w:rsidR="00746754" w:rsidRPr="0066490D">
        <w:rPr>
          <w:sz w:val="12"/>
        </w:rPr>
        <w:t xml:space="preserve"> </w:t>
      </w:r>
      <w:r w:rsidR="001515B9" w:rsidRPr="0066490D">
        <w:rPr>
          <w:sz w:val="12"/>
        </w:rPr>
        <w:t>of Housing Justice and Director of Litigation at the Sargent Shriver National Center on Poverty</w:t>
      </w:r>
      <w:r w:rsidR="00746754" w:rsidRPr="0066490D">
        <w:rPr>
          <w:sz w:val="12"/>
        </w:rPr>
        <w:t xml:space="preserve"> </w:t>
      </w:r>
      <w:r w:rsidR="001515B9" w:rsidRPr="0066490D">
        <w:rPr>
          <w:sz w:val="12"/>
        </w:rPr>
        <w:t>Law, offered a snapshot of the challenges confronting formerly incarcerated individuals who seek</w:t>
      </w:r>
      <w:r w:rsidR="0066490D" w:rsidRPr="0066490D">
        <w:rPr>
          <w:sz w:val="12"/>
        </w:rPr>
        <w:t xml:space="preserve"> </w:t>
      </w:r>
      <w:r w:rsidR="001515B9" w:rsidRPr="0066490D">
        <w:rPr>
          <w:sz w:val="12"/>
        </w:rPr>
        <w:t>adequate housing:</w:t>
      </w:r>
      <w:r w:rsidR="0066490D" w:rsidRPr="0066490D">
        <w:rPr>
          <w:sz w:val="12"/>
        </w:rPr>
        <w:t xml:space="preserve"> </w:t>
      </w:r>
      <w:r w:rsidR="001515B9" w:rsidRPr="0066490D">
        <w:rPr>
          <w:sz w:val="12"/>
        </w:rPr>
        <w:t>For many, a common question emerges on the first night: “Where will I sleep?” But</w:t>
      </w:r>
      <w:r w:rsidR="00746754" w:rsidRPr="0066490D">
        <w:rPr>
          <w:sz w:val="12"/>
        </w:rPr>
        <w:t xml:space="preserve"> </w:t>
      </w:r>
      <w:r w:rsidR="001515B9" w:rsidRPr="0066490D">
        <w:rPr>
          <w:sz w:val="12"/>
        </w:rPr>
        <w:t>often, securing safe, decent and affordable housing will present a significant</w:t>
      </w:r>
      <w:r w:rsidR="00746754" w:rsidRPr="0066490D">
        <w:rPr>
          <w:sz w:val="12"/>
        </w:rPr>
        <w:t xml:space="preserve"> </w:t>
      </w:r>
      <w:r w:rsidR="001515B9" w:rsidRPr="0066490D">
        <w:rPr>
          <w:sz w:val="12"/>
        </w:rPr>
        <w:t xml:space="preserve">challenge for people long after they have left the criminal justice system… </w:t>
      </w:r>
      <w:r w:rsidR="001515B9" w:rsidRPr="00292BE5">
        <w:rPr>
          <w:rStyle w:val="StyleUnderline"/>
          <w:highlight w:val="cyan"/>
        </w:rPr>
        <w:t>Housing</w:t>
      </w:r>
      <w:r w:rsidR="00746754" w:rsidRPr="00292BE5">
        <w:rPr>
          <w:rStyle w:val="StyleUnderline"/>
          <w:highlight w:val="cyan"/>
        </w:rPr>
        <w:t xml:space="preserve"> </w:t>
      </w:r>
      <w:r w:rsidR="001515B9" w:rsidRPr="00292BE5">
        <w:rPr>
          <w:rStyle w:val="StyleUnderline"/>
          <w:highlight w:val="cyan"/>
        </w:rPr>
        <w:t>barriers for justice-involved individuals can also severely restrain their ability to</w:t>
      </w:r>
      <w:r w:rsidR="00746754" w:rsidRPr="00292BE5">
        <w:rPr>
          <w:rStyle w:val="StyleUnderline"/>
          <w:highlight w:val="cyan"/>
        </w:rPr>
        <w:t xml:space="preserve"> </w:t>
      </w:r>
      <w:r w:rsidR="001515B9" w:rsidRPr="00292BE5">
        <w:rPr>
          <w:rStyle w:val="StyleUnderline"/>
          <w:highlight w:val="cyan"/>
        </w:rPr>
        <w:t>reintegrate back into their communities by exacerbating other collateral</w:t>
      </w:r>
      <w:r w:rsidR="00746754" w:rsidRPr="00292BE5">
        <w:rPr>
          <w:rStyle w:val="StyleUnderline"/>
          <w:highlight w:val="cyan"/>
        </w:rPr>
        <w:t xml:space="preserve"> </w:t>
      </w:r>
      <w:r w:rsidR="001515B9" w:rsidRPr="00292BE5">
        <w:rPr>
          <w:rStyle w:val="StyleUnderline"/>
          <w:highlight w:val="cyan"/>
        </w:rPr>
        <w:t>consequences</w:t>
      </w:r>
      <w:r w:rsidR="001515B9" w:rsidRPr="0066490D">
        <w:rPr>
          <w:sz w:val="12"/>
        </w:rPr>
        <w:t>.415F</w:t>
      </w:r>
      <w:r w:rsidR="00746754" w:rsidRPr="0066490D">
        <w:rPr>
          <w:sz w:val="12"/>
        </w:rPr>
        <w:t xml:space="preserve"> </w:t>
      </w:r>
      <w:r w:rsidR="001515B9" w:rsidRPr="0066490D">
        <w:rPr>
          <w:sz w:val="12"/>
        </w:rPr>
        <w:t>416</w:t>
      </w:r>
      <w:r w:rsidR="00746754" w:rsidRPr="0066490D">
        <w:rPr>
          <w:sz w:val="12"/>
        </w:rPr>
        <w:t xml:space="preserve"> </w:t>
      </w:r>
      <w:r w:rsidR="001515B9" w:rsidRPr="0066490D">
        <w:rPr>
          <w:sz w:val="12"/>
        </w:rPr>
        <w:t>These housing challenges persist beyond the immediate reentry period because initial housing</w:t>
      </w:r>
      <w:r w:rsidR="00746754" w:rsidRPr="0066490D">
        <w:rPr>
          <w:sz w:val="12"/>
        </w:rPr>
        <w:t xml:space="preserve"> </w:t>
      </w:r>
      <w:r w:rsidR="001515B9" w:rsidRPr="0066490D">
        <w:rPr>
          <w:sz w:val="12"/>
        </w:rPr>
        <w:t>arrangements are often temporary, and securing permanent housing is a more difficult feat.416F</w:t>
      </w:r>
      <w:r w:rsidR="00746754" w:rsidRPr="0066490D">
        <w:rPr>
          <w:sz w:val="12"/>
        </w:rPr>
        <w:t xml:space="preserve"> </w:t>
      </w:r>
      <w:r w:rsidR="001515B9" w:rsidRPr="0066490D">
        <w:rPr>
          <w:sz w:val="12"/>
        </w:rPr>
        <w:t>417</w:t>
      </w:r>
      <w:r w:rsidR="00746754" w:rsidRPr="0066490D">
        <w:rPr>
          <w:sz w:val="12"/>
        </w:rPr>
        <w:t xml:space="preserve"> </w:t>
      </w:r>
      <w:r w:rsidR="001515B9" w:rsidRPr="0066490D">
        <w:rPr>
          <w:sz w:val="12"/>
        </w:rPr>
        <w:t>Some individuals are able to stay with family members or friends temporarily or for a lengthy</w:t>
      </w:r>
      <w:r w:rsidR="00746754" w:rsidRPr="0066490D">
        <w:rPr>
          <w:sz w:val="12"/>
        </w:rPr>
        <w:t xml:space="preserve"> </w:t>
      </w:r>
      <w:r w:rsidR="001515B9" w:rsidRPr="0066490D">
        <w:rPr>
          <w:sz w:val="12"/>
        </w:rPr>
        <w:t>period.417F</w:t>
      </w:r>
      <w:r w:rsidR="00746754" w:rsidRPr="0066490D">
        <w:rPr>
          <w:sz w:val="12"/>
        </w:rPr>
        <w:t xml:space="preserve"> </w:t>
      </w:r>
      <w:r w:rsidR="001515B9" w:rsidRPr="0066490D">
        <w:rPr>
          <w:sz w:val="12"/>
        </w:rPr>
        <w:t>418 Some individuals may qualify for supportive housing programs (transitional or</w:t>
      </w:r>
      <w:r w:rsidR="00746754" w:rsidRPr="0066490D">
        <w:rPr>
          <w:sz w:val="12"/>
        </w:rPr>
        <w:t xml:space="preserve"> </w:t>
      </w:r>
      <w:r w:rsidR="001515B9" w:rsidRPr="0066490D">
        <w:rPr>
          <w:sz w:val="12"/>
        </w:rPr>
        <w:t>permanent, and depending on various eligibility requirements based on sex or any federal</w:t>
      </w:r>
      <w:r w:rsidR="00746754" w:rsidRPr="0066490D">
        <w:rPr>
          <w:sz w:val="12"/>
        </w:rPr>
        <w:t xml:space="preserve"> </w:t>
      </w:r>
      <w:r w:rsidR="001515B9" w:rsidRPr="0066490D">
        <w:rPr>
          <w:sz w:val="12"/>
        </w:rPr>
        <w:t>restrictions on eligibility), often serving individuals with mental health needs (and as noted before,</w:t>
      </w:r>
      <w:r w:rsidR="00746754" w:rsidRPr="0066490D">
        <w:rPr>
          <w:sz w:val="12"/>
        </w:rPr>
        <w:t xml:space="preserve"> </w:t>
      </w:r>
      <w:r w:rsidR="001515B9" w:rsidRPr="0066490D">
        <w:rPr>
          <w:sz w:val="12"/>
        </w:rPr>
        <w:t>over half of the incarcerated population in the U.S. reportedly has a mental health condition418F</w:t>
      </w:r>
      <w:r w:rsidR="0066490D" w:rsidRPr="0066490D">
        <w:rPr>
          <w:sz w:val="12"/>
        </w:rPr>
        <w:t xml:space="preserve"> </w:t>
      </w:r>
      <w:r w:rsidR="001515B9" w:rsidRPr="0066490D">
        <w:rPr>
          <w:sz w:val="12"/>
        </w:rPr>
        <w:t>419) or</w:t>
      </w:r>
      <w:r w:rsidR="0066490D" w:rsidRPr="0066490D">
        <w:rPr>
          <w:sz w:val="12"/>
        </w:rPr>
        <w:t xml:space="preserve"> </w:t>
      </w:r>
      <w:r w:rsidR="001515B9" w:rsidRPr="0066490D">
        <w:rPr>
          <w:sz w:val="12"/>
        </w:rPr>
        <w:t>physical disabilities (also as noted previously, the incarcerated population is twice as likely to have</w:t>
      </w:r>
      <w:r w:rsidR="00746754" w:rsidRPr="0066490D">
        <w:rPr>
          <w:sz w:val="12"/>
        </w:rPr>
        <w:t xml:space="preserve"> </w:t>
      </w:r>
      <w:r w:rsidR="001515B9" w:rsidRPr="0066490D">
        <w:rPr>
          <w:sz w:val="12"/>
        </w:rPr>
        <w:t>a mobility disorder, three to four times likelier to be blind or have a vision impairment, and two to</w:t>
      </w:r>
      <w:r w:rsidR="00746754" w:rsidRPr="0066490D">
        <w:rPr>
          <w:sz w:val="12"/>
        </w:rPr>
        <w:t xml:space="preserve"> </w:t>
      </w:r>
      <w:r w:rsidR="001515B9" w:rsidRPr="0066490D">
        <w:rPr>
          <w:sz w:val="12"/>
        </w:rPr>
        <w:t>three times likelier to be deaf or hard of hearing than the general U.S. population419F</w:t>
      </w:r>
      <w:r w:rsidR="00746754" w:rsidRPr="0066490D">
        <w:rPr>
          <w:sz w:val="12"/>
        </w:rPr>
        <w:t xml:space="preserve"> </w:t>
      </w:r>
      <w:r w:rsidR="001515B9" w:rsidRPr="0066490D">
        <w:rPr>
          <w:sz w:val="12"/>
        </w:rPr>
        <w:t>420), substance</w:t>
      </w:r>
      <w:r w:rsidR="00746754" w:rsidRPr="0066490D">
        <w:rPr>
          <w:sz w:val="12"/>
        </w:rPr>
        <w:t xml:space="preserve"> </w:t>
      </w:r>
      <w:r w:rsidR="001515B9" w:rsidRPr="0066490D">
        <w:rPr>
          <w:sz w:val="12"/>
        </w:rPr>
        <w:t>abuse disorders, chronic homelessness, or residential instability.420F</w:t>
      </w:r>
      <w:r w:rsidR="00746754" w:rsidRPr="0066490D">
        <w:rPr>
          <w:sz w:val="12"/>
        </w:rPr>
        <w:t xml:space="preserve"> </w:t>
      </w:r>
      <w:r w:rsidR="001515B9" w:rsidRPr="0066490D">
        <w:rPr>
          <w:sz w:val="12"/>
        </w:rPr>
        <w:t>421 Other individuals must rely on</w:t>
      </w:r>
      <w:r w:rsidR="00746754" w:rsidRPr="0066490D">
        <w:rPr>
          <w:sz w:val="12"/>
        </w:rPr>
        <w:t xml:space="preserve"> </w:t>
      </w:r>
      <w:r w:rsidR="001515B9" w:rsidRPr="0066490D">
        <w:rPr>
          <w:sz w:val="12"/>
        </w:rPr>
        <w:t>other subsidized housing programs (for low-income individuals) or private housing.421F</w:t>
      </w:r>
      <w:r w:rsidR="00746754" w:rsidRPr="0066490D">
        <w:rPr>
          <w:sz w:val="12"/>
        </w:rPr>
        <w:t xml:space="preserve"> </w:t>
      </w:r>
      <w:r w:rsidR="001515B9" w:rsidRPr="0066490D">
        <w:rPr>
          <w:sz w:val="12"/>
        </w:rPr>
        <w:t>422 One study</w:t>
      </w:r>
      <w:r w:rsidR="00746754" w:rsidRPr="0066490D">
        <w:rPr>
          <w:sz w:val="12"/>
        </w:rPr>
        <w:t xml:space="preserve"> </w:t>
      </w:r>
      <w:r w:rsidR="001515B9" w:rsidRPr="0066490D">
        <w:rPr>
          <w:sz w:val="12"/>
        </w:rPr>
        <w:t>found that nearly 8 in 10 formerly incarcerated individuals reported ineligibility or denial of</w:t>
      </w:r>
      <w:r w:rsidR="00746754" w:rsidRPr="0066490D">
        <w:rPr>
          <w:sz w:val="12"/>
        </w:rPr>
        <w:t xml:space="preserve"> </w:t>
      </w:r>
      <w:r w:rsidR="001515B9" w:rsidRPr="0066490D">
        <w:rPr>
          <w:sz w:val="12"/>
        </w:rPr>
        <w:t>housing because of their or a loved one’s conviction history.42F</w:t>
      </w:r>
      <w:r w:rsidR="00746754" w:rsidRPr="0066490D">
        <w:rPr>
          <w:sz w:val="12"/>
        </w:rPr>
        <w:t xml:space="preserve"> </w:t>
      </w:r>
      <w:r w:rsidR="001515B9" w:rsidRPr="0066490D">
        <w:rPr>
          <w:sz w:val="12"/>
        </w:rPr>
        <w:t>423 According to another study, men</w:t>
      </w:r>
      <w:r w:rsidR="00746754" w:rsidRPr="0066490D">
        <w:rPr>
          <w:sz w:val="12"/>
        </w:rPr>
        <w:t xml:space="preserve"> </w:t>
      </w:r>
      <w:r w:rsidR="001515B9" w:rsidRPr="0066490D">
        <w:rPr>
          <w:sz w:val="12"/>
        </w:rPr>
        <w:t>who had been incarcerated were twice as likely to become homeless as men without a history of</w:t>
      </w:r>
      <w:r w:rsidR="00746754" w:rsidRPr="0066490D">
        <w:rPr>
          <w:sz w:val="12"/>
        </w:rPr>
        <w:t xml:space="preserve"> </w:t>
      </w:r>
      <w:r w:rsidR="001515B9" w:rsidRPr="0066490D">
        <w:rPr>
          <w:sz w:val="12"/>
        </w:rPr>
        <w:t>incarceration.423F</w:t>
      </w:r>
      <w:r w:rsidR="0066490D" w:rsidRPr="0066490D">
        <w:rPr>
          <w:sz w:val="12"/>
        </w:rPr>
        <w:t xml:space="preserve"> </w:t>
      </w:r>
      <w:r w:rsidR="001515B9" w:rsidRPr="0066490D">
        <w:rPr>
          <w:sz w:val="12"/>
        </w:rPr>
        <w:t>424</w:t>
      </w:r>
      <w:r w:rsidR="0066490D" w:rsidRPr="0066490D">
        <w:rPr>
          <w:sz w:val="12"/>
        </w:rPr>
        <w:t xml:space="preserve"> </w:t>
      </w:r>
      <w:r w:rsidR="001515B9" w:rsidRPr="0066490D">
        <w:rPr>
          <w:sz w:val="12"/>
        </w:rPr>
        <w:t>Research confirms a clear connection between incarceration and homelessness: prior incarceration</w:t>
      </w:r>
      <w:r w:rsidR="00746754" w:rsidRPr="0066490D">
        <w:rPr>
          <w:sz w:val="12"/>
        </w:rPr>
        <w:t xml:space="preserve"> </w:t>
      </w:r>
      <w:r w:rsidR="001515B9" w:rsidRPr="0066490D">
        <w:rPr>
          <w:sz w:val="12"/>
        </w:rPr>
        <w:t>has been identified as a risk factor for homelessness, and individuals experiencing homelessness</w:t>
      </w:r>
      <w:r w:rsidR="00746754" w:rsidRPr="0066490D">
        <w:rPr>
          <w:sz w:val="12"/>
        </w:rPr>
        <w:t xml:space="preserve"> </w:t>
      </w:r>
      <w:r w:rsidR="001515B9" w:rsidRPr="0066490D">
        <w:rPr>
          <w:sz w:val="12"/>
        </w:rPr>
        <w:t>are vulnerable to incarceration.42F</w:t>
      </w:r>
      <w:r w:rsidR="00746754" w:rsidRPr="0066490D">
        <w:rPr>
          <w:sz w:val="12"/>
        </w:rPr>
        <w:t xml:space="preserve"> </w:t>
      </w:r>
      <w:r w:rsidR="001515B9" w:rsidRPr="0066490D">
        <w:rPr>
          <w:sz w:val="12"/>
        </w:rPr>
        <w:t>425 Many scholars argue that securing housing upon reentry is the</w:t>
      </w:r>
      <w:r w:rsidR="00746754" w:rsidRPr="0066490D">
        <w:rPr>
          <w:sz w:val="12"/>
        </w:rPr>
        <w:t xml:space="preserve"> </w:t>
      </w:r>
      <w:r w:rsidR="001515B9" w:rsidRPr="0066490D">
        <w:rPr>
          <w:sz w:val="12"/>
        </w:rPr>
        <w:t>most “pressing and immediate short-term need” for formerly incarcerated individuals.425F</w:t>
      </w:r>
      <w:r w:rsidR="00746754" w:rsidRPr="0066490D">
        <w:rPr>
          <w:sz w:val="12"/>
        </w:rPr>
        <w:t xml:space="preserve"> </w:t>
      </w:r>
      <w:r w:rsidR="001515B9" w:rsidRPr="0066490D">
        <w:rPr>
          <w:sz w:val="12"/>
        </w:rPr>
        <w:t>426 Formerly</w:t>
      </w:r>
      <w:r w:rsidR="00746754" w:rsidRPr="0066490D">
        <w:rPr>
          <w:sz w:val="12"/>
        </w:rPr>
        <w:t xml:space="preserve"> </w:t>
      </w:r>
      <w:r w:rsidR="001515B9" w:rsidRPr="0066490D">
        <w:rPr>
          <w:sz w:val="12"/>
        </w:rPr>
        <w:t>incarcerated individuals are especially likely to experience homelessness within the first 30 days</w:t>
      </w:r>
      <w:r w:rsidR="00746754" w:rsidRPr="0066490D">
        <w:rPr>
          <w:sz w:val="12"/>
        </w:rPr>
        <w:t xml:space="preserve"> </w:t>
      </w:r>
      <w:r w:rsidR="001515B9" w:rsidRPr="0066490D">
        <w:rPr>
          <w:sz w:val="12"/>
        </w:rPr>
        <w:t>after leaving prison.426F</w:t>
      </w:r>
      <w:r w:rsidR="00746754" w:rsidRPr="0066490D">
        <w:rPr>
          <w:sz w:val="12"/>
        </w:rPr>
        <w:t xml:space="preserve"> </w:t>
      </w:r>
      <w:r w:rsidR="001515B9" w:rsidRPr="0066490D">
        <w:rPr>
          <w:sz w:val="12"/>
        </w:rPr>
        <w:t>427 Furthermore, more than half of homeless individuals have reported being</w:t>
      </w:r>
      <w:r w:rsidR="00746754" w:rsidRPr="0066490D">
        <w:rPr>
          <w:sz w:val="12"/>
        </w:rPr>
        <w:t xml:space="preserve"> </w:t>
      </w:r>
      <w:r w:rsidR="001515B9" w:rsidRPr="0066490D">
        <w:rPr>
          <w:sz w:val="12"/>
        </w:rPr>
        <w:t>incarcerated at some point in their lives,427F</w:t>
      </w:r>
      <w:r w:rsidR="00746754" w:rsidRPr="0066490D">
        <w:rPr>
          <w:sz w:val="12"/>
        </w:rPr>
        <w:t xml:space="preserve"> </w:t>
      </w:r>
      <w:r w:rsidR="001515B9" w:rsidRPr="0066490D">
        <w:rPr>
          <w:sz w:val="12"/>
        </w:rPr>
        <w:t>428 and individuals who lack housing are more frequently</w:t>
      </w:r>
      <w:r w:rsidR="00746754" w:rsidRPr="0066490D">
        <w:rPr>
          <w:sz w:val="12"/>
        </w:rPr>
        <w:t xml:space="preserve"> </w:t>
      </w:r>
      <w:r w:rsidR="001515B9" w:rsidRPr="0066490D">
        <w:rPr>
          <w:sz w:val="12"/>
        </w:rPr>
        <w:t>arrested and rearrested than individuals with stable housing.428F</w:t>
      </w:r>
      <w:r w:rsidR="00746754" w:rsidRPr="0066490D">
        <w:rPr>
          <w:sz w:val="12"/>
        </w:rPr>
        <w:t xml:space="preserve"> </w:t>
      </w:r>
      <w:r w:rsidR="001515B9" w:rsidRPr="0066490D">
        <w:rPr>
          <w:sz w:val="12"/>
        </w:rPr>
        <w:t>429 Some research has shown that</w:t>
      </w:r>
      <w:r w:rsidR="00746754" w:rsidRPr="0066490D">
        <w:rPr>
          <w:sz w:val="12"/>
        </w:rPr>
        <w:t xml:space="preserve"> </w:t>
      </w:r>
      <w:r w:rsidR="001515B9" w:rsidRPr="0066490D">
        <w:rPr>
          <w:sz w:val="12"/>
        </w:rPr>
        <w:t>homeless people of color are more likely to have an incarceration history than white homeless</w:t>
      </w:r>
      <w:r w:rsidR="00746754" w:rsidRPr="0066490D">
        <w:rPr>
          <w:sz w:val="12"/>
        </w:rPr>
        <w:t xml:space="preserve"> </w:t>
      </w:r>
      <w:r w:rsidR="001515B9" w:rsidRPr="0066490D">
        <w:rPr>
          <w:sz w:val="12"/>
        </w:rPr>
        <w:t>individuals,429F</w:t>
      </w:r>
      <w:r w:rsidR="0066490D" w:rsidRPr="0066490D">
        <w:rPr>
          <w:sz w:val="12"/>
        </w:rPr>
        <w:t xml:space="preserve"> </w:t>
      </w:r>
      <w:r w:rsidR="001515B9" w:rsidRPr="0066490D">
        <w:rPr>
          <w:sz w:val="12"/>
        </w:rPr>
        <w:t>430 which can be explained in part by the disproportionately high rates of incarceration</w:t>
      </w:r>
      <w:r w:rsidR="00746754" w:rsidRPr="0066490D">
        <w:rPr>
          <w:sz w:val="12"/>
        </w:rPr>
        <w:t xml:space="preserve"> </w:t>
      </w:r>
      <w:r w:rsidR="001515B9" w:rsidRPr="0066490D">
        <w:rPr>
          <w:sz w:val="12"/>
        </w:rPr>
        <w:t>among people of color, particularly black men.430F</w:t>
      </w:r>
      <w:r w:rsidR="00746754" w:rsidRPr="0066490D">
        <w:rPr>
          <w:sz w:val="12"/>
        </w:rPr>
        <w:t xml:space="preserve"> </w:t>
      </w:r>
      <w:r w:rsidR="001515B9" w:rsidRPr="0066490D">
        <w:rPr>
          <w:sz w:val="12"/>
        </w:rPr>
        <w:t>431 Incarcerated persons with mental health</w:t>
      </w:r>
      <w:r w:rsidR="00746754" w:rsidRPr="0066490D">
        <w:rPr>
          <w:sz w:val="12"/>
        </w:rPr>
        <w:t xml:space="preserve"> </w:t>
      </w:r>
      <w:r w:rsidR="001515B9" w:rsidRPr="0066490D">
        <w:rPr>
          <w:sz w:val="12"/>
        </w:rPr>
        <w:t>diagnoses are also at a higher than average risk of becoming homeless upon reentry into society.431F</w:t>
      </w:r>
      <w:r w:rsidR="00746754" w:rsidRPr="0066490D">
        <w:rPr>
          <w:sz w:val="12"/>
        </w:rPr>
        <w:t xml:space="preserve"> </w:t>
      </w:r>
      <w:r w:rsidR="001515B9" w:rsidRPr="0066490D">
        <w:rPr>
          <w:sz w:val="12"/>
        </w:rPr>
        <w:t>432</w:t>
      </w:r>
      <w:r w:rsidR="00746754" w:rsidRPr="0066490D">
        <w:rPr>
          <w:sz w:val="12"/>
        </w:rPr>
        <w:t xml:space="preserve"> </w:t>
      </w:r>
      <w:r w:rsidR="001515B9" w:rsidRPr="0066490D">
        <w:rPr>
          <w:sz w:val="12"/>
        </w:rPr>
        <w:t>Throughout the U.S., many municipal laws prohibit certain public behaviors, such as sleeping or</w:t>
      </w:r>
      <w:r w:rsidR="00746754" w:rsidRPr="0066490D">
        <w:rPr>
          <w:sz w:val="12"/>
        </w:rPr>
        <w:t xml:space="preserve"> </w:t>
      </w:r>
      <w:r w:rsidR="001515B9" w:rsidRPr="0066490D">
        <w:rPr>
          <w:sz w:val="12"/>
        </w:rPr>
        <w:t>camping in public, begging, loitering, sleeping in vehicles, or sharing food with the homeless.432F</w:t>
      </w:r>
      <w:r w:rsidR="00746754" w:rsidRPr="0066490D">
        <w:rPr>
          <w:sz w:val="12"/>
        </w:rPr>
        <w:t xml:space="preserve"> </w:t>
      </w:r>
      <w:r w:rsidR="001515B9" w:rsidRPr="0066490D">
        <w:rPr>
          <w:sz w:val="12"/>
        </w:rPr>
        <w:t>433</w:t>
      </w:r>
      <w:r w:rsidR="00746754" w:rsidRPr="0066490D">
        <w:rPr>
          <w:sz w:val="12"/>
        </w:rPr>
        <w:t xml:space="preserve"> </w:t>
      </w:r>
      <w:r w:rsidR="001515B9" w:rsidRPr="0066490D">
        <w:rPr>
          <w:sz w:val="12"/>
        </w:rPr>
        <w:t>These laws criminalize the actions of homeless people who are trying to survive, and increase the</w:t>
      </w:r>
      <w:r w:rsidR="00746754" w:rsidRPr="0066490D">
        <w:rPr>
          <w:sz w:val="12"/>
        </w:rPr>
        <w:t xml:space="preserve"> </w:t>
      </w:r>
      <w:r w:rsidR="001515B9" w:rsidRPr="0066490D">
        <w:rPr>
          <w:sz w:val="12"/>
        </w:rPr>
        <w:t>chances that a homeless person will be arrested and then burdened with a criminal record.43F</w:t>
      </w:r>
      <w:r w:rsidR="00746754" w:rsidRPr="0066490D">
        <w:rPr>
          <w:sz w:val="12"/>
        </w:rPr>
        <w:t xml:space="preserve"> </w:t>
      </w:r>
      <w:r w:rsidR="001515B9" w:rsidRPr="0066490D">
        <w:rPr>
          <w:sz w:val="12"/>
        </w:rPr>
        <w:t>434 In</w:t>
      </w:r>
      <w:r w:rsidR="00746754" w:rsidRPr="0066490D">
        <w:rPr>
          <w:sz w:val="12"/>
        </w:rPr>
        <w:t xml:space="preserve"> </w:t>
      </w:r>
      <w:r w:rsidR="001515B9" w:rsidRPr="0066490D">
        <w:rPr>
          <w:sz w:val="12"/>
        </w:rPr>
        <w:t xml:space="preserve">turn, people exiting prison or jail are </w:t>
      </w:r>
      <w:r w:rsidR="001515B9" w:rsidRPr="0066490D">
        <w:rPr>
          <w:rStyle w:val="StyleUnderline"/>
        </w:rPr>
        <w:t>at risk of homelessness because of barriers that deny housing</w:t>
      </w:r>
      <w:r w:rsidR="00746754" w:rsidRPr="0066490D">
        <w:rPr>
          <w:sz w:val="12"/>
        </w:rPr>
        <w:t xml:space="preserve"> </w:t>
      </w:r>
      <w:r w:rsidR="001515B9" w:rsidRPr="0066490D">
        <w:rPr>
          <w:sz w:val="12"/>
        </w:rPr>
        <w:t>to people with criminal records.43F</w:t>
      </w:r>
      <w:r w:rsidR="00746754" w:rsidRPr="0066490D">
        <w:rPr>
          <w:sz w:val="12"/>
        </w:rPr>
        <w:t xml:space="preserve"> </w:t>
      </w:r>
      <w:r w:rsidR="001515B9" w:rsidRPr="0066490D">
        <w:rPr>
          <w:sz w:val="12"/>
        </w:rPr>
        <w:t>435 In certain localities, municipal officials, law enforcement, and</w:t>
      </w:r>
      <w:r w:rsidR="00746754" w:rsidRPr="0066490D">
        <w:rPr>
          <w:sz w:val="12"/>
        </w:rPr>
        <w:t xml:space="preserve"> </w:t>
      </w:r>
      <w:r w:rsidR="001515B9" w:rsidRPr="0066490D">
        <w:rPr>
          <w:sz w:val="12"/>
        </w:rPr>
        <w:t>policymakers have justified the laws governing public behavior as necessary to promote public</w:t>
      </w:r>
      <w:r w:rsidR="00746754" w:rsidRPr="0066490D">
        <w:rPr>
          <w:sz w:val="12"/>
        </w:rPr>
        <w:t xml:space="preserve"> </w:t>
      </w:r>
      <w:r w:rsidR="001515B9" w:rsidRPr="0066490D">
        <w:rPr>
          <w:sz w:val="12"/>
        </w:rPr>
        <w:t>safety, maintain the sanitation of public spaces, and reduce the visibility of homelessness so as not</w:t>
      </w:r>
      <w:r w:rsidR="00746754" w:rsidRPr="0066490D">
        <w:rPr>
          <w:sz w:val="12"/>
        </w:rPr>
        <w:t xml:space="preserve"> </w:t>
      </w:r>
      <w:r w:rsidR="001515B9" w:rsidRPr="0066490D">
        <w:rPr>
          <w:sz w:val="12"/>
        </w:rPr>
        <w:t>to deter customers from businesses.435F</w:t>
      </w:r>
      <w:r w:rsidR="00746754" w:rsidRPr="0066490D">
        <w:rPr>
          <w:sz w:val="12"/>
        </w:rPr>
        <w:t xml:space="preserve"> </w:t>
      </w:r>
      <w:r w:rsidR="001515B9" w:rsidRPr="0066490D">
        <w:rPr>
          <w:sz w:val="12"/>
        </w:rPr>
        <w:t>436 However, advocates argue that such policies are “unduly</w:t>
      </w:r>
      <w:r w:rsidR="00746754" w:rsidRPr="0066490D">
        <w:rPr>
          <w:sz w:val="12"/>
        </w:rPr>
        <w:t xml:space="preserve"> </w:t>
      </w:r>
      <w:r w:rsidR="001515B9" w:rsidRPr="0066490D">
        <w:rPr>
          <w:sz w:val="12"/>
        </w:rPr>
        <w:t>punitive,” and they can set up or perpetuate a vicious cycle.436F</w:t>
      </w:r>
      <w:r w:rsidR="00746754" w:rsidRPr="0066490D">
        <w:rPr>
          <w:sz w:val="12"/>
        </w:rPr>
        <w:t xml:space="preserve"> </w:t>
      </w:r>
      <w:r w:rsidR="001515B9" w:rsidRPr="0066490D">
        <w:rPr>
          <w:sz w:val="12"/>
        </w:rPr>
        <w:t>437 People who violate these laws</w:t>
      </w:r>
      <w:r w:rsidR="00746754" w:rsidRPr="0066490D">
        <w:rPr>
          <w:sz w:val="12"/>
        </w:rPr>
        <w:t xml:space="preserve"> </w:t>
      </w:r>
      <w:r w:rsidR="001515B9" w:rsidRPr="0066490D">
        <w:rPr>
          <w:sz w:val="12"/>
        </w:rPr>
        <w:t>typically receive citations that are generally punishable by a fine, unless the individual is unable</w:t>
      </w:r>
      <w:r w:rsidR="00746754" w:rsidRPr="0066490D">
        <w:rPr>
          <w:sz w:val="12"/>
        </w:rPr>
        <w:t xml:space="preserve"> </w:t>
      </w:r>
      <w:r w:rsidR="001515B9" w:rsidRPr="0066490D">
        <w:rPr>
          <w:sz w:val="12"/>
        </w:rPr>
        <w:t>to pay or plead to a citation, in which case an arrest warrant could be issued that could also lead to</w:t>
      </w:r>
      <w:r w:rsidR="00746754" w:rsidRPr="0066490D">
        <w:rPr>
          <w:sz w:val="12"/>
        </w:rPr>
        <w:t xml:space="preserve"> </w:t>
      </w:r>
      <w:r w:rsidR="001515B9" w:rsidRPr="0066490D">
        <w:rPr>
          <w:sz w:val="12"/>
        </w:rPr>
        <w:t>jail time.437F</w:t>
      </w:r>
      <w:r w:rsidR="00746754" w:rsidRPr="0066490D">
        <w:rPr>
          <w:sz w:val="12"/>
        </w:rPr>
        <w:t xml:space="preserve"> </w:t>
      </w:r>
      <w:r w:rsidR="001515B9" w:rsidRPr="0066490D">
        <w:rPr>
          <w:sz w:val="12"/>
        </w:rPr>
        <w:t>438 Individuals who cannot secure adequate housing post-incarceration are twice as likely</w:t>
      </w:r>
      <w:r w:rsidR="00746754" w:rsidRPr="0066490D">
        <w:rPr>
          <w:sz w:val="12"/>
        </w:rPr>
        <w:t xml:space="preserve"> </w:t>
      </w:r>
      <w:r w:rsidR="001515B9" w:rsidRPr="0066490D">
        <w:rPr>
          <w:sz w:val="12"/>
        </w:rPr>
        <w:t>to recidivate.438F</w:t>
      </w:r>
      <w:r w:rsidR="0066490D">
        <w:rPr>
          <w:sz w:val="12"/>
        </w:rPr>
        <w:t xml:space="preserve"> </w:t>
      </w:r>
      <w:r w:rsidR="001515B9">
        <w:t>439</w:t>
      </w:r>
    </w:p>
    <w:p w14:paraId="27CA5373" w14:textId="68D63183" w:rsidR="00560D3D" w:rsidRDefault="00560D3D" w:rsidP="00560D3D">
      <w:pPr>
        <w:pStyle w:val="Heading3"/>
      </w:pPr>
      <w:r>
        <w:t>Fed Key – SNAP</w:t>
      </w:r>
    </w:p>
    <w:p w14:paraId="46BAB032" w14:textId="6166CE3C" w:rsidR="001515B9" w:rsidRDefault="00CC6845" w:rsidP="00CC6845">
      <w:pPr>
        <w:pStyle w:val="Heading4"/>
      </w:pPr>
      <w:r>
        <w:t>SNAP and TANF DA</w:t>
      </w:r>
    </w:p>
    <w:p w14:paraId="4002C9E2" w14:textId="521281C2" w:rsidR="00CC6845" w:rsidRDefault="00CC6845" w:rsidP="00CC6845"/>
    <w:p w14:paraId="2B08D382" w14:textId="247E4D01" w:rsidR="00CC6845" w:rsidRPr="00CC6845" w:rsidRDefault="00CC6845" w:rsidP="00CC6845">
      <w:pPr>
        <w:rPr>
          <w:rStyle w:val="Style13ptBold"/>
        </w:rPr>
      </w:pPr>
      <w:r w:rsidRPr="00CC6845">
        <w:rPr>
          <w:rStyle w:val="Style13ptBold"/>
        </w:rPr>
        <w:t>R&amp;R ‘14</w:t>
      </w:r>
    </w:p>
    <w:p w14:paraId="1C5CD95C" w14:textId="3E45E45B" w:rsidR="00CC6845" w:rsidRDefault="00CC6845" w:rsidP="00CC6845">
      <w:r>
        <w:t xml:space="preserve">(Root and Rebound, “DID YOU KNOW? There’s a Federal Lifetime Ban on Cash Assistance &amp; Food Stamps for People with Felony Drug Convictions,” </w:t>
      </w:r>
      <w:proofErr w:type="spellStart"/>
      <w:r>
        <w:t>pg</w:t>
      </w:r>
      <w:proofErr w:type="spellEnd"/>
      <w:r>
        <w:t xml:space="preserve"> online @ https://rootrebound.wordpress.com/2014/01/24/did-you-know-theres-a-federal-lifetime-ban-on-cash-assistance-food-stamps-for-people-with-felony-drug-convictions/)</w:t>
      </w:r>
    </w:p>
    <w:p w14:paraId="336F29A3" w14:textId="7AAE4804" w:rsidR="00CC6845" w:rsidRPr="00494987" w:rsidRDefault="00CC6845" w:rsidP="00CC6845">
      <w:pPr>
        <w:rPr>
          <w:sz w:val="12"/>
        </w:rPr>
      </w:pPr>
      <w:r w:rsidRPr="00494987">
        <w:rPr>
          <w:sz w:val="12"/>
        </w:rPr>
        <w:t xml:space="preserve">In past posts on the Root &amp; Rebound blog, </w:t>
      </w:r>
      <w:proofErr w:type="gramStart"/>
      <w:r w:rsidRPr="00494987">
        <w:rPr>
          <w:sz w:val="12"/>
        </w:rPr>
        <w:t>we’ve</w:t>
      </w:r>
      <w:proofErr w:type="gramEnd"/>
      <w:r w:rsidRPr="00494987">
        <w:rPr>
          <w:sz w:val="12"/>
        </w:rPr>
        <w:t xml:space="preserve"> talked about </w:t>
      </w:r>
      <w:r w:rsidRPr="00494987">
        <w:rPr>
          <w:rStyle w:val="StyleUnderline"/>
        </w:rPr>
        <w:t>the “collateral consequences” of a criminal conviction</w:t>
      </w:r>
      <w:r w:rsidRPr="00494987">
        <w:rPr>
          <w:sz w:val="12"/>
        </w:rPr>
        <w:t xml:space="preserve">, and what is meant by that term. After a person gets out of prison or jail, </w:t>
      </w:r>
      <w:r w:rsidRPr="00494987">
        <w:rPr>
          <w:rStyle w:val="StyleUnderline"/>
        </w:rPr>
        <w:t xml:space="preserve">the punishments and restrictions imposed by law </w:t>
      </w:r>
      <w:proofErr w:type="gramStart"/>
      <w:r w:rsidRPr="00494987">
        <w:rPr>
          <w:rStyle w:val="StyleUnderline"/>
        </w:rPr>
        <w:t>don’t</w:t>
      </w:r>
      <w:proofErr w:type="gramEnd"/>
      <w:r w:rsidRPr="00494987">
        <w:rPr>
          <w:rStyle w:val="StyleUnderline"/>
        </w:rPr>
        <w:t xml:space="preserve"> stop.</w:t>
      </w:r>
      <w:r w:rsidRPr="00494987">
        <w:rPr>
          <w:sz w:val="12"/>
        </w:rPr>
        <w:t xml:space="preserve"> We also shared with you a state-by-state guide being developed by the American Bar Association tracking federal and state civil legal consequences triggered by different types of convictions. That resource is great for understanding how a person will be legally affected by his or her criminal record. Today, in trying to expand on our readers’ and our own understanding of the ways in which people face legal barriers after incarceration, we want to highlight a federal law that severely limits reentering people from getting back on their feet.</w:t>
      </w:r>
      <w:r w:rsidR="00494987" w:rsidRPr="00494987">
        <w:rPr>
          <w:sz w:val="12"/>
        </w:rPr>
        <w:t xml:space="preserve"> </w:t>
      </w:r>
      <w:r w:rsidRPr="00494987">
        <w:rPr>
          <w:sz w:val="12"/>
        </w:rPr>
        <w:t>The Personal Responsibility and Work Opportunity Reconciliation Act (</w:t>
      </w:r>
      <w:r w:rsidRPr="00494987">
        <w:rPr>
          <w:rStyle w:val="StyleUnderline"/>
        </w:rPr>
        <w:t>PRWORA), passed by Congress in 1996, permanently bars people with drug-related felony convictions from receiving federal cash assistance</w:t>
      </w:r>
      <w:r w:rsidRPr="00494987">
        <w:rPr>
          <w:sz w:val="12"/>
        </w:rPr>
        <w:t xml:space="preserve"> (known as Temporary Assistance for Needy Families or “</w:t>
      </w:r>
      <w:r w:rsidRPr="00494987">
        <w:rPr>
          <w:rStyle w:val="StyleUnderline"/>
        </w:rPr>
        <w:t>TANF</w:t>
      </w:r>
      <w:r w:rsidRPr="00494987">
        <w:rPr>
          <w:sz w:val="12"/>
        </w:rPr>
        <w:t xml:space="preserve"> ban”) </w:t>
      </w:r>
      <w:r w:rsidRPr="00494987">
        <w:rPr>
          <w:rStyle w:val="StyleUnderline"/>
        </w:rPr>
        <w:t>and food stamps</w:t>
      </w:r>
      <w:r w:rsidRPr="00494987">
        <w:rPr>
          <w:sz w:val="12"/>
        </w:rPr>
        <w:t xml:space="preserve"> (known as Supplemental Nutrition Assistance Program </w:t>
      </w:r>
      <w:r w:rsidRPr="00494987">
        <w:rPr>
          <w:rStyle w:val="StyleUnderline"/>
        </w:rPr>
        <w:t>or “SNAP</w:t>
      </w:r>
      <w:r w:rsidRPr="00494987">
        <w:rPr>
          <w:sz w:val="12"/>
        </w:rPr>
        <w:t xml:space="preserve"> ban”) </w:t>
      </w:r>
      <w:r w:rsidRPr="00494987">
        <w:rPr>
          <w:rStyle w:val="Emphasis"/>
        </w:rPr>
        <w:t>during their entire lifetimes</w:t>
      </w:r>
      <w:r w:rsidRPr="00494987">
        <w:rPr>
          <w:sz w:val="12"/>
        </w:rPr>
        <w:t>, unless their state opts out or modifies the federal law. The federal ban on cash assistance and food stamps is imposed ONLY for drug-related crimes. Although the federal law (codified at 21 U.S.C. 862a) gives states the power to opt out, a 2011 review of state policies by the Legal Action Center documents that still today, three-quarters of the states enforce the ban in full or in part: 37 state fully or partially enforce the TANF ban, while 34 states either fully or partially enforce the SNAP ban. Of these states, about half have modified the ban to allow individuals with felony drug convictions to receive TANF or SNAP benefits under certain circumstances.</w:t>
      </w:r>
    </w:p>
    <w:p w14:paraId="1779CDD3" w14:textId="77777777" w:rsidR="00A26226" w:rsidRPr="00A26226" w:rsidRDefault="00A26226" w:rsidP="00A26226"/>
    <w:p w14:paraId="7C74496E" w14:textId="77777777" w:rsidR="00A26226" w:rsidRDefault="00A26226" w:rsidP="004D58DB"/>
    <w:p w14:paraId="51B59E66" w14:textId="33602B46" w:rsidR="004D58DB" w:rsidRDefault="007B32AD" w:rsidP="007B32AD">
      <w:pPr>
        <w:pStyle w:val="Heading3"/>
      </w:pPr>
      <w:r>
        <w:t xml:space="preserve">Fed Key – LL </w:t>
      </w:r>
    </w:p>
    <w:p w14:paraId="0B68EBDB" w14:textId="532CF8B7" w:rsidR="007B32AD" w:rsidRDefault="007B32AD" w:rsidP="007B32AD"/>
    <w:p w14:paraId="7C0F66C3" w14:textId="77777777" w:rsidR="007B32AD" w:rsidRDefault="007B32AD" w:rsidP="007B32AD">
      <w:pPr>
        <w:pStyle w:val="Heading4"/>
      </w:pPr>
      <w:r>
        <w:t>Multiple federal benefits</w:t>
      </w:r>
    </w:p>
    <w:p w14:paraId="75E62FD0" w14:textId="77777777" w:rsidR="007B32AD" w:rsidRDefault="007B32AD" w:rsidP="007B32AD"/>
    <w:p w14:paraId="1AC52AD6" w14:textId="77777777" w:rsidR="007B32AD" w:rsidRDefault="007B32AD" w:rsidP="007B32AD">
      <w:pPr>
        <w:rPr>
          <w:rStyle w:val="Style13ptBold"/>
        </w:rPr>
      </w:pPr>
      <w:proofErr w:type="spellStart"/>
      <w:r>
        <w:rPr>
          <w:rStyle w:val="Style13ptBold"/>
        </w:rPr>
        <w:t>Wikstrom</w:t>
      </w:r>
      <w:proofErr w:type="spellEnd"/>
      <w:r>
        <w:rPr>
          <w:rStyle w:val="Style13ptBold"/>
        </w:rPr>
        <w:t xml:space="preserve"> ‘12</w:t>
      </w:r>
    </w:p>
    <w:p w14:paraId="1909195A" w14:textId="77777777" w:rsidR="007B32AD" w:rsidRDefault="007B32AD" w:rsidP="007B32AD">
      <w:r w:rsidRPr="008561DE">
        <w:t xml:space="preserve">(Derek, J.D., Northwestern University School of Law, 2012; B.A., Political Science, The City College of New York, 2009, ““No Logical Stopping-Point”: The Consequences Of Padilla V. </w:t>
      </w:r>
      <w:proofErr w:type="spellStart"/>
      <w:r w:rsidRPr="008561DE">
        <w:t>KenTucky’s</w:t>
      </w:r>
      <w:proofErr w:type="spellEnd"/>
      <w:r w:rsidRPr="008561DE">
        <w:t xml:space="preserve"> Inevitable Expansion,” </w:t>
      </w:r>
      <w:proofErr w:type="spellStart"/>
      <w:r w:rsidRPr="008561DE">
        <w:t>pg</w:t>
      </w:r>
      <w:proofErr w:type="spellEnd"/>
      <w:r w:rsidRPr="008561DE">
        <w:t xml:space="preserve"> online @ </w:t>
      </w:r>
      <w:hyperlink r:id="rId78" w:history="1">
        <w:r w:rsidRPr="008561DE">
          <w:rPr>
            <w:rStyle w:val="Hyperlink"/>
          </w:rPr>
          <w:t>https://scholarlycommons.law.northwestern.edu/cgi/viewcontent.cgi?article=1141&amp;context=nulr</w:t>
        </w:r>
      </w:hyperlink>
      <w:r w:rsidRPr="008561DE">
        <w:t xml:space="preserve"> //um-</w:t>
      </w:r>
      <w:proofErr w:type="spellStart"/>
      <w:r w:rsidRPr="008561DE">
        <w:t>ef</w:t>
      </w:r>
      <w:proofErr w:type="spellEnd"/>
      <w:r w:rsidRPr="008561DE">
        <w:t>)</w:t>
      </w:r>
    </w:p>
    <w:p w14:paraId="0D1E61B9" w14:textId="77777777" w:rsidR="007B32AD" w:rsidRPr="007B32AD" w:rsidRDefault="007B32AD" w:rsidP="007B32AD">
      <w:pPr>
        <w:rPr>
          <w:sz w:val="12"/>
        </w:rPr>
      </w:pPr>
      <w:r w:rsidRPr="007B32AD">
        <w:rPr>
          <w:sz w:val="12"/>
        </w:rPr>
        <w:t>Numerous other consequences of guilty pleas are “serious,” and are potentially life changing, but are nevertheless considered collateral. Civil forfeiture, for instance, is a collateral consequence of a guilty plea.89 So too is the loss of certain public benefits.90 G</w:t>
      </w:r>
      <w:r w:rsidRPr="007B32AD">
        <w:rPr>
          <w:rStyle w:val="StyleUnderline"/>
        </w:rPr>
        <w:t>overnment benefits that can become</w:t>
      </w:r>
      <w:r>
        <w:rPr>
          <w:rStyle w:val="StyleUnderline"/>
        </w:rPr>
        <w:t xml:space="preserve"> </w:t>
      </w:r>
      <w:r w:rsidRPr="007B32AD">
        <w:rPr>
          <w:rStyle w:val="StyleUnderline"/>
        </w:rPr>
        <w:t>unavailable due to a criminal conviction include welfare benefits such as</w:t>
      </w:r>
      <w:r>
        <w:rPr>
          <w:rStyle w:val="StyleUnderline"/>
        </w:rPr>
        <w:t xml:space="preserve"> </w:t>
      </w:r>
      <w:r w:rsidRPr="007B32AD">
        <w:rPr>
          <w:rStyle w:val="StyleUnderline"/>
        </w:rPr>
        <w:t>food stamps or coverage under the Temporary Assistance for Needy</w:t>
      </w:r>
      <w:r>
        <w:rPr>
          <w:rStyle w:val="StyleUnderline"/>
        </w:rPr>
        <w:t xml:space="preserve"> </w:t>
      </w:r>
      <w:r w:rsidRPr="007B32AD">
        <w:rPr>
          <w:rStyle w:val="StyleUnderline"/>
        </w:rPr>
        <w:t>Families</w:t>
      </w:r>
      <w:r w:rsidRPr="007B32AD">
        <w:rPr>
          <w:sz w:val="12"/>
        </w:rPr>
        <w:t xml:space="preserve"> Act, </w:t>
      </w:r>
      <w:r w:rsidRPr="007B32AD">
        <w:rPr>
          <w:rStyle w:val="Emphasis"/>
        </w:rPr>
        <w:t>federal student loans</w:t>
      </w:r>
      <w:r w:rsidRPr="007B32AD">
        <w:rPr>
          <w:sz w:val="12"/>
        </w:rPr>
        <w:t xml:space="preserve">, and even the </w:t>
      </w:r>
      <w:r w:rsidRPr="007B32AD">
        <w:rPr>
          <w:rStyle w:val="Emphasis"/>
        </w:rPr>
        <w:t>availability of public</w:t>
      </w:r>
      <w:r>
        <w:rPr>
          <w:rStyle w:val="Emphasis"/>
        </w:rPr>
        <w:t xml:space="preserve"> </w:t>
      </w:r>
      <w:r w:rsidRPr="007B32AD">
        <w:rPr>
          <w:rStyle w:val="Emphasis"/>
        </w:rPr>
        <w:t>housing</w:t>
      </w:r>
      <w:r w:rsidRPr="007B32AD">
        <w:rPr>
          <w:sz w:val="12"/>
        </w:rPr>
        <w:t xml:space="preserve">.91 </w:t>
      </w:r>
      <w:r w:rsidRPr="007B32AD">
        <w:rPr>
          <w:rStyle w:val="Emphasis"/>
        </w:rPr>
        <w:t>Courts have considered the loss of such federal benefits a</w:t>
      </w:r>
      <w:r>
        <w:rPr>
          <w:rStyle w:val="Emphasis"/>
        </w:rPr>
        <w:t xml:space="preserve"> </w:t>
      </w:r>
      <w:r w:rsidRPr="007B32AD">
        <w:rPr>
          <w:rStyle w:val="Emphasis"/>
        </w:rPr>
        <w:t>collateral consequence</w:t>
      </w:r>
      <w:r w:rsidRPr="007B32AD">
        <w:rPr>
          <w:sz w:val="12"/>
        </w:rPr>
        <w:t xml:space="preserve">.92 Similarly, the loss of the ability to obtain a driver’s license93 or passport94 due to a guilty plea has been ruled a collateral consequence. </w:t>
      </w:r>
    </w:p>
    <w:p w14:paraId="7F4E5B3E" w14:textId="77777777" w:rsidR="007B32AD" w:rsidRPr="007B32AD" w:rsidRDefault="007B32AD" w:rsidP="007B32AD"/>
    <w:p w14:paraId="3F50E92F" w14:textId="7FEC6696" w:rsidR="004D58DB" w:rsidRDefault="000D0457" w:rsidP="000D0457">
      <w:pPr>
        <w:pStyle w:val="Heading3"/>
      </w:pPr>
      <w:r>
        <w:t>Fed Key – Employment</w:t>
      </w:r>
    </w:p>
    <w:p w14:paraId="0257D1CC" w14:textId="2B28918A" w:rsidR="000D0457" w:rsidRDefault="000D0457" w:rsidP="000D0457"/>
    <w:p w14:paraId="4E641726" w14:textId="643BED18" w:rsidR="000D0457" w:rsidRDefault="000D0457" w:rsidP="000D0457">
      <w:pPr>
        <w:pStyle w:val="Heading4"/>
      </w:pPr>
      <w:r>
        <w:t>And, federal law stops felons from accesses job markets --- results in recidivism</w:t>
      </w:r>
    </w:p>
    <w:p w14:paraId="61168204" w14:textId="77777777" w:rsidR="000D0457" w:rsidRPr="000D0457" w:rsidRDefault="000D0457" w:rsidP="000D0457"/>
    <w:p w14:paraId="5C1B1BD6" w14:textId="77777777" w:rsidR="000D0457" w:rsidRDefault="000D0457" w:rsidP="000D0457">
      <w:pPr>
        <w:rPr>
          <w:rStyle w:val="Style13ptBold"/>
        </w:rPr>
      </w:pPr>
      <w:proofErr w:type="spellStart"/>
      <w:r>
        <w:rPr>
          <w:rStyle w:val="Style13ptBold"/>
        </w:rPr>
        <w:t>Finzen</w:t>
      </w:r>
      <w:proofErr w:type="spellEnd"/>
      <w:r>
        <w:rPr>
          <w:rStyle w:val="Style13ptBold"/>
        </w:rPr>
        <w:t xml:space="preserve"> ‘5</w:t>
      </w:r>
    </w:p>
    <w:p w14:paraId="1707C7FF" w14:textId="77777777" w:rsidR="000D0457" w:rsidRDefault="000D0457" w:rsidP="000D0457">
      <w:r w:rsidRPr="004F286F">
        <w:t xml:space="preserve">(Margaret, J.D., Georgetown University Law Center, 2005, “Systems of Oppression: The Collateral Consequences of Incarceration and Their Effects on Black Communities,” </w:t>
      </w:r>
      <w:proofErr w:type="spellStart"/>
      <w:r w:rsidRPr="004F286F">
        <w:t>pg</w:t>
      </w:r>
      <w:proofErr w:type="spellEnd"/>
      <w:r w:rsidRPr="004F286F">
        <w:t xml:space="preserve"> lexis//um-</w:t>
      </w:r>
      <w:proofErr w:type="spellStart"/>
      <w:r w:rsidRPr="004F286F">
        <w:t>ef</w:t>
      </w:r>
      <w:proofErr w:type="spellEnd"/>
      <w:r w:rsidRPr="004F286F">
        <w:t>)</w:t>
      </w:r>
    </w:p>
    <w:p w14:paraId="209040A7" w14:textId="77777777" w:rsidR="000D0457" w:rsidRPr="000D0457" w:rsidRDefault="000D0457" w:rsidP="000D0457">
      <w:pPr>
        <w:rPr>
          <w:sz w:val="10"/>
        </w:rPr>
      </w:pPr>
      <w:r w:rsidRPr="000D0457">
        <w:rPr>
          <w:sz w:val="10"/>
        </w:rPr>
        <w:t xml:space="preserve">F. Loss of Employment Opportunities Many ex-offenders are unable to obtain employment after their release from prison due to social and legal barriers, despite the grave need for employment opportunities in order to prevent relapse and recidivism. First, many social barriers to gainful employment exist because employers are suspicious of ex-offenders, and improved technology makes it increasingly easy for employers to conduct criminal background checks of potential employees. 125 "Evidence suggests that employers do in fact make use of criminal history records" and that those unwilling to hire ex-offenders "are most concerned about the general trustworthiness of the ex-offender rather than anything specifically related to the offense or the job in question." 126 A1996 survey in five major United States cities found that, for relatively unskilled jobs, roughly 65% of all employers would not knowingly hire an ex-offender, regardless of the offense, "and between 30% and 40% actually checked the criminal history records of their most recently hired employee." 127 Second, many legal restrictions on employment for ex-offenders exist in both the federal and state arenas. </w:t>
      </w:r>
      <w:r w:rsidRPr="000D0457">
        <w:rPr>
          <w:rStyle w:val="StyleUnderline"/>
        </w:rPr>
        <w:t>Felons are prohibited from obtaining certain kinds of employment due to federal laws</w:t>
      </w:r>
      <w:r w:rsidRPr="000D0457">
        <w:rPr>
          <w:sz w:val="10"/>
        </w:rPr>
        <w:t xml:space="preserve">, such as the inability to hold federal office for five years upon conviction of a felony for inciting or participating in a riot; 128 removal from office, and ineligibility for any federal office, of a collecting or disbursing officer upon conviction of trading in public funds or property; 129 and the permanent inability to enlist in any service of the armed forces, unless an exception is made. 130 Furthermore, while </w:t>
      </w:r>
      <w:r w:rsidRPr="000D0457">
        <w:rPr>
          <w:rStyle w:val="StyleUnderline"/>
        </w:rPr>
        <w:t>a felony conviction</w:t>
      </w:r>
      <w:r w:rsidRPr="000D0457">
        <w:rPr>
          <w:sz w:val="10"/>
        </w:rPr>
        <w:t xml:space="preserve"> does not disqualify a person from federal employment aside from specific statutory disqualifications, it </w:t>
      </w:r>
      <w:r w:rsidRPr="000D0457">
        <w:rPr>
          <w:rStyle w:val="StyleUnderline"/>
        </w:rPr>
        <w:t>is a factor to be considered in determining an individual's suitability for employment</w:t>
      </w:r>
      <w:r w:rsidRPr="000D0457">
        <w:rPr>
          <w:sz w:val="10"/>
        </w:rPr>
        <w:t xml:space="preserve">, according to the Office of Personnel Management. 131 A number of </w:t>
      </w:r>
      <w:r w:rsidRPr="000D0457">
        <w:rPr>
          <w:rStyle w:val="StyleUnderline"/>
        </w:rPr>
        <w:t>additional federal statutes further hamper a convicted felon's ability to obtain</w:t>
      </w:r>
      <w:r>
        <w:rPr>
          <w:rStyle w:val="StyleUnderline"/>
        </w:rPr>
        <w:t xml:space="preserve"> </w:t>
      </w:r>
      <w:r w:rsidRPr="000D0457">
        <w:rPr>
          <w:rStyle w:val="StyleUnderline"/>
        </w:rPr>
        <w:t>[*316]</w:t>
      </w:r>
      <w:r>
        <w:rPr>
          <w:rStyle w:val="StyleUnderline"/>
        </w:rPr>
        <w:t xml:space="preserve"> </w:t>
      </w:r>
      <w:r w:rsidRPr="000D0457">
        <w:rPr>
          <w:rStyle w:val="StyleUnderline"/>
        </w:rPr>
        <w:t>steady employment</w:t>
      </w:r>
      <w:r w:rsidRPr="000D0457">
        <w:rPr>
          <w:sz w:val="10"/>
        </w:rPr>
        <w:t xml:space="preserve">, such as the statute that denies certain federal funds from states that do not adopt laws automatically revoking driver's licenses for six months from individuals convicted of drug offenses. 132 </w:t>
      </w:r>
      <w:r w:rsidRPr="000D0457">
        <w:rPr>
          <w:rStyle w:val="StyleUnderline"/>
        </w:rPr>
        <w:t>This statute makes it hard for a felon to get to work and prohibits him from accepting any job that involves driving</w:t>
      </w:r>
      <w:r w:rsidRPr="000D0457">
        <w:rPr>
          <w:sz w:val="10"/>
        </w:rPr>
        <w:t xml:space="preserve">. Also, the ban on an ex-offender's ability to sell or possess firearms prevents an ex-felon from working in the gun industry as well as prohibits him from obtaining jobs such as peace officer or security guard. 133 Even more restrictive than the several federal statutes that impinge on employment are the numerous state statutes that limit employment opportunities and vary from state to state. 134 State governments </w:t>
      </w:r>
      <w:proofErr w:type="gramStart"/>
      <w:r w:rsidRPr="000D0457">
        <w:rPr>
          <w:sz w:val="10"/>
        </w:rPr>
        <w:t>have the ability to</w:t>
      </w:r>
      <w:proofErr w:type="gramEnd"/>
      <w:r w:rsidRPr="000D0457">
        <w:rPr>
          <w:sz w:val="10"/>
        </w:rPr>
        <w:t xml:space="preserve"> control employment opportunities and benefits through their general power to confer licenses. 135 Modern occupational licensing laws regulate professional, unskilled, and semi-skilled occupations. Bruce May reports that "typical examples of occupations regulated are: ambulance drivers, billiard room employees, attorneys, physicians, pharmacists, nurses, barbers, embalmers, septic tank cleaners, real estate professionals, accountants, contractors, and sellers of alcoholic beverages." 136 Occupational licensing laws exclude ex-offenders either directly by expressly barring ex-offenders from engaging in certain occupations, or indirectly by requiring ex-offenders to have good moral character in order to receive certain licenses and using a record of conviction as evidence of bad moral character. 137 The problem with most licensing statutes that bar ex-felons from employment is that they indiscriminately bar all ex-felons from the employment in question; the statutes are not narrowly tailored to bar only individuals guilty of engaging in certain kinds of conduct from working in certain kinds of jobs. 138 While most everyone would agree that a law preventing a convicted child [*317] molester from working in a day care center is a good law to have in force, a law preventing a drug user from working as a beautician does not serve any purpose but to further punish. 139 </w:t>
      </w:r>
      <w:r w:rsidRPr="000D0457">
        <w:rPr>
          <w:rStyle w:val="StyleUnderline"/>
        </w:rPr>
        <w:t xml:space="preserve">The combination of stigma as a result of conviction along with legal restrictions barring access to many jobs serves to further decrease employment opportunities for ex-offenders already facing employment barriers prior to their </w:t>
      </w:r>
      <w:proofErr w:type="gramStart"/>
      <w:r w:rsidRPr="000D0457">
        <w:rPr>
          <w:rStyle w:val="StyleUnderline"/>
        </w:rPr>
        <w:t>incarceration, and</w:t>
      </w:r>
      <w:proofErr w:type="gramEnd"/>
      <w:r w:rsidRPr="000D0457">
        <w:rPr>
          <w:rStyle w:val="StyleUnderline"/>
        </w:rPr>
        <w:t xml:space="preserve"> has a disproportionate impact on Black communities</w:t>
      </w:r>
      <w:r w:rsidRPr="000D0457">
        <w:rPr>
          <w:sz w:val="10"/>
        </w:rPr>
        <w:t xml:space="preserve">. Allard's study discovered that "[a] significant number of women under criminal justice supervision experienced high levels of low-wage work, underemployment, and unemployment prior to their arrest." 140 Only half of the mothers in state prison reported employment in the month before their arrest, and 52% of Black women reported no job or business prior to their arrest in comparison to 44% of White women. 141 The Bureau of Justice Statistics states that 36% of jail inmates in 1996 were unemployed prior to entering jail, and 64% of jail inmates in 1996 had monthly incomes of under $ 1,000 in the month before their arrest. 142 In addition, inmates are unlikely to improve their future employability since the advent of "get tough" policies drastically reduced their ability to learn marketable skills while incarcerated. 143 The inability to gain or improve valuable labor skills while in prison is particularly frustrating since many inmates enter prison without the education that is necessary to succeed in the job market and could greatly benefit from skills training. Bruce Western found that "racial disparity in incarceration is partly explained by the relatively low level of schooling of young Black men compared with that of young White men." 144 In addition, among high school dropouts, Black people are four times more likely than White people to be in prison or jail. 145 While research shows that "young, unskilled minority men who are most likely to go to jail have poor job opportunities even in the absence of incarceration," Western argues that much of the statistical research does not account for the more complicated economic effects of incarceration on poor and minority communities. 146 Spending time in prison is an experience that can permanently change the course of an individual's life. 147 Furthermore, minority men in low-wage jobs who do not go to prison are more likely to settle into a stable path of earnings growth "while ex-convicts follow an unstable trajectory of [*318] irregular employment." 148 Finally, unemployment and high incarceration rates have significant effects on entire communities. Employers are less likely to hire individuals from certain well-known high-crime neighborhoods because they will simply assume that all individuals coming from that neighborhood are ex-convicts. 149 Also, </w:t>
      </w:r>
      <w:r w:rsidRPr="000D0457">
        <w:rPr>
          <w:rStyle w:val="StyleUnderline"/>
        </w:rPr>
        <w:t>poor urban communities with high incarceration rates are likely to have large numbers of idle young men recently released from prison or jail who associate with one another rather than meeting individuals who can provide them with access to legitimate forms of employment</w:t>
      </w:r>
      <w:r w:rsidRPr="000D0457">
        <w:rPr>
          <w:sz w:val="10"/>
        </w:rPr>
        <w:t xml:space="preserve">. In turn, </w:t>
      </w:r>
      <w:r w:rsidRPr="000D0457">
        <w:rPr>
          <w:rStyle w:val="StyleUnderline"/>
        </w:rPr>
        <w:t>by not finding legitimate employment themselves, the young men are unable to replicate the pattern that exists in so many successful, high-income communities of friends providing one another with job opportunities</w:t>
      </w:r>
      <w:r w:rsidRPr="000D0457">
        <w:rPr>
          <w:sz w:val="10"/>
        </w:rPr>
        <w:t xml:space="preserve">. 150 Furthermore, </w:t>
      </w:r>
      <w:r w:rsidRPr="000D0457">
        <w:rPr>
          <w:rStyle w:val="Emphasis"/>
        </w:rPr>
        <w:t>the inability to obtain steady employment is likely to lead to higher rates of recidivism</w:t>
      </w:r>
      <w:r w:rsidRPr="000D0457">
        <w:rPr>
          <w:sz w:val="10"/>
        </w:rPr>
        <w:t>. Joan Petersilia writes that "</w:t>
      </w:r>
      <w:proofErr w:type="gramStart"/>
      <w:r w:rsidRPr="000D0457">
        <w:rPr>
          <w:sz w:val="10"/>
        </w:rPr>
        <w:t>the majority of</w:t>
      </w:r>
      <w:proofErr w:type="gramEnd"/>
      <w:r w:rsidRPr="000D0457">
        <w:rPr>
          <w:sz w:val="10"/>
        </w:rPr>
        <w:t xml:space="preserve"> inmates leave prison with no savings, no immediate entitlement to unemployment benefits, and few employment prospects. </w:t>
      </w:r>
      <w:r w:rsidRPr="000D0457">
        <w:rPr>
          <w:rStyle w:val="StyleUnderline"/>
        </w:rPr>
        <w:t>One year after release, as many as 60% of former inmates are not employed in the regular labor market</w:t>
      </w:r>
      <w:r w:rsidRPr="000D0457">
        <w:rPr>
          <w:sz w:val="10"/>
        </w:rPr>
        <w:t>."   151</w:t>
      </w:r>
    </w:p>
    <w:p w14:paraId="4EEC58E5" w14:textId="77777777" w:rsidR="000D0457" w:rsidRPr="000D0457" w:rsidRDefault="000D0457" w:rsidP="000D0457"/>
    <w:p w14:paraId="05DE4BED" w14:textId="77777777" w:rsidR="004D58DB" w:rsidRPr="0012468B" w:rsidRDefault="004D58DB" w:rsidP="0012468B"/>
    <w:p w14:paraId="11895BE0" w14:textId="24D1669F" w:rsidR="00371F90" w:rsidRDefault="00174EF8" w:rsidP="00371F90">
      <w:pPr>
        <w:pStyle w:val="Heading3"/>
      </w:pPr>
      <w:r>
        <w:t>Fed Key – State Circumvention</w:t>
      </w:r>
    </w:p>
    <w:p w14:paraId="5D96537A" w14:textId="77777777" w:rsidR="00371F90" w:rsidRPr="00D45A48" w:rsidRDefault="00371F90" w:rsidP="00371F90"/>
    <w:p w14:paraId="6B0D4483" w14:textId="77777777" w:rsidR="00371F90" w:rsidRDefault="00371F90" w:rsidP="00371F90">
      <w:pPr>
        <w:pStyle w:val="Heading4"/>
        <w:rPr>
          <w:u w:val="single"/>
        </w:rPr>
      </w:pPr>
      <w:r>
        <w:t xml:space="preserve">The federal government is key – </w:t>
      </w:r>
      <w:r w:rsidRPr="00806DB1">
        <w:rPr>
          <w:u w:val="single"/>
        </w:rPr>
        <w:t>state circumvention</w:t>
      </w:r>
      <w:r>
        <w:t xml:space="preserve"> of the vague doctrine set out by </w:t>
      </w:r>
      <w:r w:rsidRPr="00806DB1">
        <w:rPr>
          <w:u w:val="single"/>
        </w:rPr>
        <w:t xml:space="preserve">Gideon v </w:t>
      </w:r>
      <w:proofErr w:type="spellStart"/>
      <w:r w:rsidRPr="00806DB1">
        <w:rPr>
          <w:u w:val="single"/>
        </w:rPr>
        <w:t>Wainright</w:t>
      </w:r>
      <w:proofErr w:type="spellEnd"/>
      <w:r>
        <w:t xml:space="preserve"> proves the necessity of a federal mandate that </w:t>
      </w:r>
      <w:r w:rsidRPr="00806DB1">
        <w:rPr>
          <w:u w:val="single"/>
        </w:rPr>
        <w:t>states can adjudicate</w:t>
      </w:r>
      <w:r>
        <w:t xml:space="preserve"> and </w:t>
      </w:r>
      <w:r w:rsidRPr="00806DB1">
        <w:rPr>
          <w:u w:val="single"/>
        </w:rPr>
        <w:t>replicate</w:t>
      </w:r>
    </w:p>
    <w:p w14:paraId="770A4395" w14:textId="77777777" w:rsidR="00371F90" w:rsidRPr="00D45A48" w:rsidRDefault="00371F90" w:rsidP="00371F90"/>
    <w:p w14:paraId="5FCF9DD8" w14:textId="77777777" w:rsidR="00371F90" w:rsidRPr="00806DB1" w:rsidRDefault="00371F90" w:rsidP="00371F90">
      <w:r w:rsidRPr="00806DB1">
        <w:rPr>
          <w:rStyle w:val="Style13ptBold"/>
        </w:rPr>
        <w:t>Roberts ’08</w:t>
      </w:r>
      <w:r>
        <w:t xml:space="preserve"> (Jenny; Assistant Professor, Syracuse University College of Law. Many thanks to Rakesh Anand, Chris Fabricant, Brooks Holland, Mary Holland, K. Babe Howell, Mary Helen McNeal, Michael </w:t>
      </w:r>
      <w:proofErr w:type="spellStart"/>
      <w:r>
        <w:t>Pinard</w:t>
      </w:r>
      <w:proofErr w:type="spellEnd"/>
      <w:r>
        <w:t xml:space="preserve">, Rebecca Rosenfeld, Donald G. </w:t>
      </w:r>
      <w:proofErr w:type="spellStart"/>
      <w:r>
        <w:t>Rehkopf</w:t>
      </w:r>
      <w:proofErr w:type="spellEnd"/>
      <w:r>
        <w:t xml:space="preserve">, Jr., and Juliet Stumpf for invaluable comments. Thanks also to Peter Chambers, Nicole Staring, and particularly Jonathan P. </w:t>
      </w:r>
      <w:proofErr w:type="spellStart"/>
      <w:r>
        <w:t>Saine</w:t>
      </w:r>
      <w:proofErr w:type="spellEnd"/>
      <w:r>
        <w:t xml:space="preserve"> for excellent research assistance and to Victoria </w:t>
      </w:r>
      <w:proofErr w:type="spellStart"/>
      <w:r>
        <w:t>Mossotti</w:t>
      </w:r>
      <w:proofErr w:type="spellEnd"/>
      <w:r>
        <w:t xml:space="preserve"> for her administrative support. The research for this Article was generously supported by the Syracuse University College of Law; 2008; “The Mythical Divide Between Collateral and Direct Consequences of Criminal Convictions: Involuntary Commitment of ‘Sexually Violent Predators’”; </w:t>
      </w:r>
      <w:hyperlink r:id="rId79" w:history="1">
        <w:r w:rsidRPr="00D2075E">
          <w:rPr>
            <w:rStyle w:val="Hyperlink"/>
          </w:rPr>
          <w:t>http://www.minnesotalawreview.org/wp-content/uploads/2012/01/Roberts_mlr.pdf</w:t>
        </w:r>
      </w:hyperlink>
      <w:r>
        <w:t xml:space="preserve">; </w:t>
      </w:r>
      <w:r>
        <w:rPr>
          <w:i/>
        </w:rPr>
        <w:t>Minnesota Law Review</w:t>
      </w:r>
      <w:r>
        <w:t xml:space="preserve">; accessed: 06/21/2020; </w:t>
      </w:r>
      <w:proofErr w:type="spellStart"/>
      <w:r>
        <w:t>MohulA</w:t>
      </w:r>
      <w:proofErr w:type="spellEnd"/>
      <w:r>
        <w:t>)</w:t>
      </w:r>
    </w:p>
    <w:p w14:paraId="3AE744E8" w14:textId="77777777" w:rsidR="00371F90" w:rsidRPr="00806DB1" w:rsidRDefault="00371F90" w:rsidP="00371F90">
      <w:pPr>
        <w:rPr>
          <w:sz w:val="16"/>
        </w:rPr>
      </w:pPr>
      <w:r w:rsidRPr="00806DB1">
        <w:rPr>
          <w:sz w:val="16"/>
        </w:rPr>
        <w:t xml:space="preserve">Although this Article proposes a reasonableness standard for the due process right to information about consequences, such a standard also has implications for the assessment of claims of ineffective assistance of counsel. </w:t>
      </w:r>
      <w:r w:rsidRPr="00A153C2">
        <w:rPr>
          <w:rStyle w:val="StyleUnderline"/>
        </w:rPr>
        <w:t>This section thus</w:t>
      </w:r>
      <w:r>
        <w:rPr>
          <w:rStyle w:val="StyleUnderline"/>
        </w:rPr>
        <w:t xml:space="preserve"> </w:t>
      </w:r>
      <w:r w:rsidRPr="00A153C2">
        <w:rPr>
          <w:rStyle w:val="StyleUnderline"/>
        </w:rPr>
        <w:t xml:space="preserve">briefly reviews the </w:t>
      </w:r>
      <w:r w:rsidRPr="00A153C2">
        <w:rPr>
          <w:rStyle w:val="Emphasis"/>
        </w:rPr>
        <w:t>current state of any right to information</w:t>
      </w:r>
      <w:r>
        <w:rPr>
          <w:rStyle w:val="Emphasis"/>
        </w:rPr>
        <w:t xml:space="preserve"> </w:t>
      </w:r>
      <w:r w:rsidRPr="00A153C2">
        <w:rPr>
          <w:rStyle w:val="Emphasis"/>
        </w:rPr>
        <w:t>about collateral consequences under the Sixth Amendment</w:t>
      </w:r>
      <w:r w:rsidRPr="00806DB1">
        <w:rPr>
          <w:sz w:val="16"/>
        </w:rPr>
        <w:t xml:space="preserve">, </w:t>
      </w:r>
      <w:r w:rsidRPr="00A153C2">
        <w:rPr>
          <w:rStyle w:val="StyleUnderline"/>
        </w:rPr>
        <w:t xml:space="preserve">with a </w:t>
      </w:r>
      <w:proofErr w:type="gramStart"/>
      <w:r w:rsidRPr="00A153C2">
        <w:rPr>
          <w:rStyle w:val="StyleUnderline"/>
        </w:rPr>
        <w:t>particular focus</w:t>
      </w:r>
      <w:proofErr w:type="gramEnd"/>
      <w:r w:rsidRPr="00A153C2">
        <w:rPr>
          <w:rStyle w:val="StyleUnderline"/>
        </w:rPr>
        <w:t xml:space="preserve"> on the way in which courts have conflated due process and right to counsel analyses in this area.</w:t>
      </w:r>
      <w:r>
        <w:rPr>
          <w:rStyle w:val="StyleUnderline"/>
        </w:rPr>
        <w:t xml:space="preserve"> </w:t>
      </w:r>
      <w:r w:rsidRPr="00806DB1">
        <w:rPr>
          <w:sz w:val="16"/>
        </w:rPr>
        <w:t xml:space="preserve">Under the Sixth Amendment, defense counsel owes a duty of “effective assistance” to her client.107 The nature of an attorney’s relationship with her client is very different than the relationship between a judge, who simply approves and then presides over the guilty plea, and a defendant. Despite this, many courts have improperly imported due process standards into decisions analyzing ineffective assistance so that the trial judge and defense counsel are held to the same low standard as information providers in the guilty plea process. </w:t>
      </w:r>
      <w:r w:rsidRPr="00A153C2">
        <w:rPr>
          <w:rStyle w:val="Emphasis"/>
        </w:rPr>
        <w:t>In the years since Gideon v. Wainwright made the right to</w:t>
      </w:r>
      <w:r>
        <w:rPr>
          <w:rStyle w:val="Emphasis"/>
        </w:rPr>
        <w:t xml:space="preserve"> </w:t>
      </w:r>
      <w:r w:rsidRPr="00A153C2">
        <w:rPr>
          <w:rStyle w:val="Emphasis"/>
        </w:rPr>
        <w:t>counsel binding upon the states</w:t>
      </w:r>
      <w:r w:rsidRPr="00806DB1">
        <w:rPr>
          <w:sz w:val="16"/>
        </w:rPr>
        <w:t xml:space="preserve">,108 the </w:t>
      </w:r>
      <w:r w:rsidRPr="00A153C2">
        <w:rPr>
          <w:rStyle w:val="StyleUnderline"/>
        </w:rPr>
        <w:t>courts have cultivated a</w:t>
      </w:r>
      <w:r>
        <w:rPr>
          <w:rStyle w:val="StyleUnderline"/>
        </w:rPr>
        <w:t xml:space="preserve"> </w:t>
      </w:r>
      <w:r w:rsidRPr="00A153C2">
        <w:rPr>
          <w:rStyle w:val="StyleUnderline"/>
        </w:rPr>
        <w:t xml:space="preserve">rather </w:t>
      </w:r>
      <w:r w:rsidRPr="00A153C2">
        <w:rPr>
          <w:rStyle w:val="Emphasis"/>
        </w:rPr>
        <w:t>anemic right to the “effective assistance of counsel</w:t>
      </w:r>
      <w:r w:rsidRPr="00A153C2">
        <w:rPr>
          <w:rStyle w:val="StyleUnderline"/>
        </w:rPr>
        <w:t>” un-</w:t>
      </w:r>
      <w:r>
        <w:rPr>
          <w:rStyle w:val="StyleUnderline"/>
        </w:rPr>
        <w:t xml:space="preserve"> </w:t>
      </w:r>
      <w:r w:rsidRPr="00A153C2">
        <w:rPr>
          <w:rStyle w:val="StyleUnderline"/>
        </w:rPr>
        <w:t>der the Sixth Amendment</w:t>
      </w:r>
      <w:r w:rsidRPr="00806DB1">
        <w:rPr>
          <w:sz w:val="16"/>
        </w:rPr>
        <w:t xml:space="preserve">.109 Under the well-established </w:t>
      </w:r>
      <w:proofErr w:type="spellStart"/>
      <w:r w:rsidRPr="00806DB1">
        <w:rPr>
          <w:sz w:val="16"/>
        </w:rPr>
        <w:t>twoprong</w:t>
      </w:r>
      <w:proofErr w:type="spellEnd"/>
      <w:r w:rsidRPr="00806DB1">
        <w:rPr>
          <w:sz w:val="16"/>
        </w:rPr>
        <w:t xml:space="preserve"> test for ineffective assistance, articulated in Strickland v. Washington and later applied to guilty pleas, a </w:t>
      </w:r>
      <w:r w:rsidRPr="00A153C2">
        <w:rPr>
          <w:rStyle w:val="StyleUnderline"/>
        </w:rPr>
        <w:t>defendant must</w:t>
      </w:r>
      <w:r>
        <w:rPr>
          <w:rStyle w:val="StyleUnderline"/>
        </w:rPr>
        <w:t xml:space="preserve"> </w:t>
      </w:r>
      <w:r w:rsidRPr="00A153C2">
        <w:rPr>
          <w:rStyle w:val="StyleUnderline"/>
        </w:rPr>
        <w:t>establish that: (1) counsel’s performance fell below an objective</w:t>
      </w:r>
      <w:r>
        <w:rPr>
          <w:rStyle w:val="StyleUnderline"/>
        </w:rPr>
        <w:t xml:space="preserve"> </w:t>
      </w:r>
      <w:r w:rsidRPr="00A153C2">
        <w:rPr>
          <w:rStyle w:val="StyleUnderline"/>
        </w:rPr>
        <w:t>standard of reasonable attorney performance, and (2) there is a</w:t>
      </w:r>
      <w:r>
        <w:rPr>
          <w:rStyle w:val="StyleUnderline"/>
        </w:rPr>
        <w:t xml:space="preserve"> </w:t>
      </w:r>
      <w:r w:rsidRPr="00A153C2">
        <w:rPr>
          <w:rStyle w:val="StyleUnderline"/>
        </w:rPr>
        <w:t>reasonable probability that, but for counsel’s incompetent performance, he would not have pleaded guilty</w:t>
      </w:r>
      <w:r w:rsidRPr="00806DB1">
        <w:rPr>
          <w:sz w:val="16"/>
        </w:rPr>
        <w:t xml:space="preserve">.110 </w:t>
      </w:r>
      <w:r w:rsidRPr="00A153C2">
        <w:rPr>
          <w:rStyle w:val="StyleUnderline"/>
        </w:rPr>
        <w:t>The standard is</w:t>
      </w:r>
      <w:r>
        <w:rPr>
          <w:rStyle w:val="StyleUnderline"/>
        </w:rPr>
        <w:t xml:space="preserve"> </w:t>
      </w:r>
      <w:r w:rsidRPr="00A153C2">
        <w:rPr>
          <w:rStyle w:val="StyleUnderline"/>
        </w:rPr>
        <w:t xml:space="preserve">highly deferential to the autonomy of defense lawyers (and </w:t>
      </w:r>
      <w:r w:rsidRPr="00A153C2">
        <w:rPr>
          <w:rStyle w:val="Emphasis"/>
        </w:rPr>
        <w:t>demonstrates a strong reluctance towards court oversight of criminal defense representation</w:t>
      </w:r>
      <w:r w:rsidRPr="00806DB1">
        <w:rPr>
          <w:sz w:val="16"/>
        </w:rPr>
        <w:t xml:space="preserve">), as illustrated by the strong presumption in Sixth Amendment jurisprudence that counsel’s decisions are “strategic.”111 In the context of collateral consequences, </w:t>
      </w:r>
      <w:r w:rsidRPr="00A153C2">
        <w:rPr>
          <w:rStyle w:val="Emphasis"/>
        </w:rPr>
        <w:t>the right to counsel is virtually nonexistent</w:t>
      </w:r>
      <w:r w:rsidRPr="00806DB1">
        <w:rPr>
          <w:sz w:val="16"/>
        </w:rPr>
        <w:t xml:space="preserve">.112 </w:t>
      </w:r>
      <w:r w:rsidRPr="00A153C2">
        <w:rPr>
          <w:rStyle w:val="StyleUnderline"/>
        </w:rPr>
        <w:t xml:space="preserve">Courts rely on the same </w:t>
      </w:r>
      <w:proofErr w:type="spellStart"/>
      <w:r w:rsidRPr="00A153C2">
        <w:rPr>
          <w:rStyle w:val="StyleUnderline"/>
        </w:rPr>
        <w:t>directcollateral</w:t>
      </w:r>
      <w:proofErr w:type="spellEnd"/>
      <w:r w:rsidRPr="00A153C2">
        <w:rPr>
          <w:rStyle w:val="StyleUnderline"/>
        </w:rPr>
        <w:t xml:space="preserve"> divide in this area as they do in their due process decisions.</w:t>
      </w:r>
      <w:r w:rsidRPr="00806DB1">
        <w:rPr>
          <w:sz w:val="16"/>
        </w:rPr>
        <w:t xml:space="preserve"> The South Carolina Supreme Court’s recent examination of an ineffective assistance claim starkly illustrates the merger of due process and effective assistance norms. </w:t>
      </w:r>
      <w:r w:rsidRPr="00A153C2">
        <w:rPr>
          <w:rStyle w:val="StyleUnderline"/>
        </w:rPr>
        <w:t>Joseph</w:t>
      </w:r>
      <w:r>
        <w:rPr>
          <w:rStyle w:val="StyleUnderline"/>
        </w:rPr>
        <w:t xml:space="preserve"> </w:t>
      </w:r>
      <w:r w:rsidRPr="00A153C2">
        <w:rPr>
          <w:rStyle w:val="StyleUnderline"/>
        </w:rPr>
        <w:t>Page pleaded guilty to criminal sexual conduct and other</w:t>
      </w:r>
      <w:r>
        <w:rPr>
          <w:rStyle w:val="StyleUnderline"/>
        </w:rPr>
        <w:t xml:space="preserve"> </w:t>
      </w:r>
      <w:r w:rsidRPr="00A153C2">
        <w:rPr>
          <w:rStyle w:val="StyleUnderline"/>
        </w:rPr>
        <w:t>charges in exchange for a promise of no more than twenty years</w:t>
      </w:r>
      <w:r>
        <w:rPr>
          <w:rStyle w:val="StyleUnderline"/>
        </w:rPr>
        <w:t xml:space="preserve"> </w:t>
      </w:r>
      <w:r w:rsidRPr="00A153C2">
        <w:rPr>
          <w:rStyle w:val="StyleUnderline"/>
        </w:rPr>
        <w:t>in prison</w:t>
      </w:r>
      <w:r w:rsidRPr="00806DB1">
        <w:rPr>
          <w:sz w:val="16"/>
        </w:rPr>
        <w:t xml:space="preserve">.113 </w:t>
      </w:r>
      <w:r w:rsidRPr="00A153C2">
        <w:rPr>
          <w:rStyle w:val="StyleUnderline"/>
        </w:rPr>
        <w:t>Neither Page’s lawyer nor the judge informed him</w:t>
      </w:r>
      <w:r>
        <w:rPr>
          <w:rStyle w:val="StyleUnderline"/>
        </w:rPr>
        <w:t xml:space="preserve"> </w:t>
      </w:r>
      <w:r w:rsidRPr="00A153C2">
        <w:rPr>
          <w:rStyle w:val="StyleUnderline"/>
        </w:rPr>
        <w:t>about South Carolina’s Sexually Violent Predator Act</w:t>
      </w:r>
      <w:r w:rsidRPr="00806DB1">
        <w:rPr>
          <w:sz w:val="16"/>
        </w:rPr>
        <w:t xml:space="preserve">.114 The Act mandates the involuntary, secure confinement of individuals convicted of a “sexually violent offense” who “suffer[] from a mental abnormality or personality disorder that makes the person likely to engage in acts of sexual violence if not confined in a secure facility for long-term control, care, and treatment.”115 </w:t>
      </w:r>
      <w:r w:rsidRPr="00A153C2">
        <w:rPr>
          <w:rStyle w:val="StyleUnderline"/>
        </w:rPr>
        <w:t>Such individuals must remain confined “until such</w:t>
      </w:r>
      <w:r>
        <w:rPr>
          <w:rStyle w:val="StyleUnderline"/>
        </w:rPr>
        <w:t xml:space="preserve"> </w:t>
      </w:r>
      <w:r w:rsidRPr="00A153C2">
        <w:rPr>
          <w:rStyle w:val="StyleUnderline"/>
        </w:rPr>
        <w:t>time as the person’s mental abnormality or personality disorder</w:t>
      </w:r>
      <w:r>
        <w:rPr>
          <w:rStyle w:val="StyleUnderline"/>
        </w:rPr>
        <w:t xml:space="preserve"> </w:t>
      </w:r>
      <w:r w:rsidRPr="00A153C2">
        <w:rPr>
          <w:rStyle w:val="StyleUnderline"/>
        </w:rPr>
        <w:t>has so changed that the person is safe to be at large</w:t>
      </w:r>
      <w:r w:rsidRPr="00806DB1">
        <w:rPr>
          <w:sz w:val="16"/>
        </w:rPr>
        <w:t xml:space="preserve">.”116 As the Page court noted, </w:t>
      </w:r>
      <w:r w:rsidRPr="00A153C2">
        <w:rPr>
          <w:rStyle w:val="StyleUnderline"/>
        </w:rPr>
        <w:t>the criminal conviction is the triggering event for South Carolina’s SVPA; it sets in motion a</w:t>
      </w:r>
      <w:r>
        <w:rPr>
          <w:rStyle w:val="StyleUnderline"/>
        </w:rPr>
        <w:t xml:space="preserve"> </w:t>
      </w:r>
      <w:r w:rsidRPr="00A153C2">
        <w:rPr>
          <w:rStyle w:val="StyleUnderline"/>
        </w:rPr>
        <w:t>process that includes a separate trial at which the state must</w:t>
      </w:r>
      <w:r>
        <w:rPr>
          <w:rStyle w:val="StyleUnderline"/>
        </w:rPr>
        <w:t xml:space="preserve"> </w:t>
      </w:r>
      <w:r w:rsidRPr="00A153C2">
        <w:rPr>
          <w:rStyle w:val="StyleUnderline"/>
        </w:rPr>
        <w:t>prove beyond a reasonable doubt that the person qualifies as a</w:t>
      </w:r>
      <w:r>
        <w:rPr>
          <w:rStyle w:val="StyleUnderline"/>
        </w:rPr>
        <w:t xml:space="preserve"> </w:t>
      </w:r>
      <w:r w:rsidRPr="00A153C2">
        <w:rPr>
          <w:rStyle w:val="StyleUnderline"/>
        </w:rPr>
        <w:t>“sexually violent predator</w:t>
      </w:r>
      <w:r w:rsidRPr="00806DB1">
        <w:rPr>
          <w:sz w:val="16"/>
        </w:rPr>
        <w:t xml:space="preserve">.”117 Because of this, </w:t>
      </w:r>
      <w:r w:rsidRPr="00A153C2">
        <w:rPr>
          <w:rStyle w:val="Emphasis"/>
        </w:rPr>
        <w:t>involuntary</w:t>
      </w:r>
      <w:r>
        <w:rPr>
          <w:rStyle w:val="Emphasis"/>
        </w:rPr>
        <w:t xml:space="preserve"> </w:t>
      </w:r>
      <w:r w:rsidRPr="00A153C2">
        <w:rPr>
          <w:rStyle w:val="Emphasis"/>
        </w:rPr>
        <w:t>commitment did not “flow directly from [Page’s] guilty plea,”</w:t>
      </w:r>
      <w:r>
        <w:rPr>
          <w:rStyle w:val="Emphasis"/>
        </w:rPr>
        <w:t xml:space="preserve"> </w:t>
      </w:r>
      <w:r w:rsidRPr="00A153C2">
        <w:rPr>
          <w:rStyle w:val="Emphasis"/>
        </w:rPr>
        <w:t>but was instead collateral</w:t>
      </w:r>
      <w:r w:rsidRPr="00806DB1">
        <w:rPr>
          <w:sz w:val="16"/>
        </w:rPr>
        <w:t xml:space="preserve">.118 The </w:t>
      </w:r>
      <w:r w:rsidRPr="00A153C2">
        <w:rPr>
          <w:rStyle w:val="StyleUnderline"/>
        </w:rPr>
        <w:t>court held that Page’s lawyer</w:t>
      </w:r>
      <w:r>
        <w:rPr>
          <w:rStyle w:val="StyleUnderline"/>
        </w:rPr>
        <w:t xml:space="preserve"> </w:t>
      </w:r>
      <w:r w:rsidRPr="00A153C2">
        <w:rPr>
          <w:rStyle w:val="StyleUnderline"/>
        </w:rPr>
        <w:t>had no duty to inform him about the SVPA before he pleaded</w:t>
      </w:r>
      <w:r>
        <w:rPr>
          <w:rStyle w:val="StyleUnderline"/>
        </w:rPr>
        <w:t xml:space="preserve"> </w:t>
      </w:r>
      <w:r w:rsidRPr="00A153C2">
        <w:rPr>
          <w:rStyle w:val="StyleUnderline"/>
        </w:rPr>
        <w:t>guilty</w:t>
      </w:r>
      <w:r w:rsidRPr="00806DB1">
        <w:rPr>
          <w:sz w:val="16"/>
        </w:rPr>
        <w:t xml:space="preserve">.119 The Page decision slips loosely between due process and ineffective assistance of counsel norms. Initially presenting the issue as one of due process,120 the court relied on the two-prong Strickland test to frame its analysis of ineffective assistance.121 The decision then discussed two cases stating that due process requires that a defendant be told only of direct consequences of his criminal conviction.122 While the court did go on to cite one ineffective assistance case, it followed this with a string citation to four more due process cases. These four, as well as the two cited earlier in the decision, all analyzed the collateral-direct distinction in the context of a judge’s duty to warn a defendant, during the plea allocution, about consequences of the conviction. Thus, only one of the cases cited in Page considers the role of defense counsel in warning a client about collateral consequences. </w:t>
      </w:r>
      <w:r w:rsidRPr="00A153C2">
        <w:rPr>
          <w:rStyle w:val="StyleUnderline"/>
        </w:rPr>
        <w:t xml:space="preserve">This importation of the due process-based </w:t>
      </w:r>
      <w:proofErr w:type="spellStart"/>
      <w:r w:rsidRPr="00A153C2">
        <w:rPr>
          <w:rStyle w:val="StyleUnderline"/>
        </w:rPr>
        <w:t>collateralconsequences</w:t>
      </w:r>
      <w:proofErr w:type="spellEnd"/>
      <w:r w:rsidRPr="00A153C2">
        <w:rPr>
          <w:rStyle w:val="StyleUnderline"/>
        </w:rPr>
        <w:t xml:space="preserve"> rule into the ineffective assistance realm is highly problematic because it treats the roles of defense counsel and</w:t>
      </w:r>
      <w:r>
        <w:rPr>
          <w:rStyle w:val="StyleUnderline"/>
        </w:rPr>
        <w:t xml:space="preserve"> </w:t>
      </w:r>
      <w:r w:rsidRPr="00A153C2">
        <w:rPr>
          <w:rStyle w:val="StyleUnderline"/>
        </w:rPr>
        <w:t>the trial judge as identical</w:t>
      </w:r>
      <w:r w:rsidRPr="00806DB1">
        <w:rPr>
          <w:sz w:val="16"/>
        </w:rPr>
        <w:t>. In their insightful exploration of the myriad doctrinal weaknesses of the collateral-consequences rule, Professor Gabriel Chin and Richard Holmes note that: [J]</w:t>
      </w:r>
      <w:proofErr w:type="spellStart"/>
      <w:r w:rsidRPr="00806DB1">
        <w:rPr>
          <w:sz w:val="16"/>
        </w:rPr>
        <w:t>ust</w:t>
      </w:r>
      <w:proofErr w:type="spellEnd"/>
      <w:r w:rsidRPr="00806DB1">
        <w:rPr>
          <w:sz w:val="16"/>
        </w:rPr>
        <w:t xml:space="preserve"> as defense counsel and the court have different duties of loyalty, investigation, and legal research as a result of their distinct roles as advocate and decisionmaker, </w:t>
      </w:r>
      <w:r w:rsidRPr="00A153C2">
        <w:rPr>
          <w:rStyle w:val="StyleUnderline"/>
        </w:rPr>
        <w:t>there is no reason to assume that</w:t>
      </w:r>
      <w:r>
        <w:rPr>
          <w:rStyle w:val="StyleUnderline"/>
        </w:rPr>
        <w:t xml:space="preserve"> </w:t>
      </w:r>
      <w:r w:rsidRPr="00A153C2">
        <w:rPr>
          <w:rStyle w:val="StyleUnderline"/>
        </w:rPr>
        <w:t>their obligations of advising the accused of the risks and benefits of</w:t>
      </w:r>
      <w:r>
        <w:rPr>
          <w:rStyle w:val="StyleUnderline"/>
        </w:rPr>
        <w:t xml:space="preserve"> </w:t>
      </w:r>
      <w:r w:rsidRPr="00A153C2">
        <w:rPr>
          <w:rStyle w:val="StyleUnderline"/>
        </w:rPr>
        <w:t>pleading guilty should be identical</w:t>
      </w:r>
      <w:r w:rsidRPr="00806DB1">
        <w:rPr>
          <w:sz w:val="16"/>
        </w:rPr>
        <w:t xml:space="preserve">. </w:t>
      </w:r>
      <w:r w:rsidRPr="00A153C2">
        <w:rPr>
          <w:rStyle w:val="StyleUnderline"/>
        </w:rPr>
        <w:t>The judge is charged with ensuring that the plea is knowing, voluntary, and intelligent; counsel’s job</w:t>
      </w:r>
      <w:r>
        <w:rPr>
          <w:rStyle w:val="StyleUnderline"/>
        </w:rPr>
        <w:t xml:space="preserve"> </w:t>
      </w:r>
      <w:r w:rsidRPr="00A153C2">
        <w:rPr>
          <w:rStyle w:val="StyleUnderline"/>
        </w:rPr>
        <w:t>is to assist with the determination that a plea is a good idea</w:t>
      </w:r>
      <w:r w:rsidRPr="00806DB1">
        <w:rPr>
          <w:sz w:val="16"/>
        </w:rPr>
        <w:t xml:space="preserve">, which encompasses a broader range of considerations.123 Yet most of the courts examining defendants’ claims of lack of knowledge, like Page, fail to make any distinction between defense counsel and the trial judge when discussing responsibility to warn about collateral consequences.124 Certainly, </w:t>
      </w:r>
      <w:r w:rsidRPr="00806DB1">
        <w:rPr>
          <w:rStyle w:val="StyleUnderline"/>
        </w:rPr>
        <w:t>the due process protections surrounding a guilty</w:t>
      </w:r>
      <w:r>
        <w:rPr>
          <w:rStyle w:val="StyleUnderline"/>
        </w:rPr>
        <w:t xml:space="preserve"> </w:t>
      </w:r>
      <w:r w:rsidRPr="00806DB1">
        <w:rPr>
          <w:rStyle w:val="StyleUnderline"/>
        </w:rPr>
        <w:t xml:space="preserve">plea and the right to counsel for that plea are not mutually exclusive. If a defendant receives </w:t>
      </w:r>
      <w:r w:rsidRPr="00806DB1">
        <w:rPr>
          <w:rStyle w:val="Emphasis"/>
        </w:rPr>
        <w:t>ineffective assistance of counsel</w:t>
      </w:r>
      <w:r>
        <w:rPr>
          <w:rStyle w:val="Emphasis"/>
        </w:rPr>
        <w:t xml:space="preserve"> </w:t>
      </w:r>
      <w:r w:rsidRPr="00806DB1">
        <w:rPr>
          <w:rStyle w:val="Emphasis"/>
        </w:rPr>
        <w:t>leading up to a guilty plea</w:t>
      </w:r>
      <w:r w:rsidRPr="00806DB1">
        <w:rPr>
          <w:rStyle w:val="StyleUnderline"/>
        </w:rPr>
        <w:t xml:space="preserve">, then that </w:t>
      </w:r>
      <w:r w:rsidRPr="00806DB1">
        <w:rPr>
          <w:rStyle w:val="Emphasis"/>
        </w:rPr>
        <w:t>plea cannot be made knowingly, voluntarily, and intelligently</w:t>
      </w:r>
      <w:r w:rsidRPr="00806DB1">
        <w:rPr>
          <w:sz w:val="16"/>
        </w:rPr>
        <w:t xml:space="preserve">.125 But the fact that ineffective assistance means that a plea also violates due process does not mean that there is ineffective assistance only when the plea violates due process. The judge and defense counsel play </w:t>
      </w:r>
      <w:proofErr w:type="gramStart"/>
      <w:r w:rsidRPr="00806DB1">
        <w:rPr>
          <w:sz w:val="16"/>
        </w:rPr>
        <w:t>very different</w:t>
      </w:r>
      <w:proofErr w:type="gramEnd"/>
      <w:r w:rsidRPr="00806DB1">
        <w:rPr>
          <w:sz w:val="16"/>
        </w:rPr>
        <w:t xml:space="preserve"> roles with respect to a person pleading guilty in a criminal case.126 Indeed, the labels of “defendant” or “client” in relation to those roles make the point. While the judge must ensure, on the record, that a plea is entered voluntarily and with the requisite knowledge,127 she is not charged with the underlying counseling of the defendant before the plea.128 The judge’s role is much more limited, both in terms of time spent with a defendant and the extremely limited scope of permissible inquiry.129 For example, the judge should ask the defendant if anyone is forcing him to plead guilty,130 but generally cannot explore with the defendant the wisdom of that plea.131 </w:t>
      </w:r>
      <w:r w:rsidRPr="00806DB1">
        <w:rPr>
          <w:rStyle w:val="StyleUnderline"/>
        </w:rPr>
        <w:t xml:space="preserve">In State v. </w:t>
      </w:r>
      <w:proofErr w:type="spellStart"/>
      <w:r w:rsidRPr="00806DB1">
        <w:rPr>
          <w:rStyle w:val="StyleUnderline"/>
        </w:rPr>
        <w:t>Paredez</w:t>
      </w:r>
      <w:proofErr w:type="spellEnd"/>
      <w:r w:rsidRPr="00806DB1">
        <w:rPr>
          <w:rStyle w:val="StyleUnderline"/>
        </w:rPr>
        <w:t>, the New Mexico Supreme Court recognized the different roles of the judge and defense counsel in the</w:t>
      </w:r>
      <w:r>
        <w:rPr>
          <w:rStyle w:val="StyleUnderline"/>
        </w:rPr>
        <w:t xml:space="preserve"> </w:t>
      </w:r>
      <w:r w:rsidRPr="00806DB1">
        <w:rPr>
          <w:rStyle w:val="Emphasis"/>
        </w:rPr>
        <w:t>context of the duty to advise defendants about the particularly</w:t>
      </w:r>
      <w:r>
        <w:rPr>
          <w:rStyle w:val="Emphasis"/>
        </w:rPr>
        <w:t xml:space="preserve"> </w:t>
      </w:r>
      <w:r w:rsidRPr="00806DB1">
        <w:rPr>
          <w:rStyle w:val="Emphasis"/>
        </w:rPr>
        <w:t>severe collateral consequence of deportation</w:t>
      </w:r>
      <w:r w:rsidRPr="00806DB1">
        <w:rPr>
          <w:sz w:val="16"/>
        </w:rPr>
        <w:t>.132 The trial judge had followed a state statute requiring judges only to advise defendants that a conviction “may have an effect upon the[</w:t>
      </w:r>
      <w:proofErr w:type="spellStart"/>
      <w:r w:rsidRPr="00806DB1">
        <w:rPr>
          <w:sz w:val="16"/>
        </w:rPr>
        <w:t>ir</w:t>
      </w:r>
      <w:proofErr w:type="spellEnd"/>
      <w:r w:rsidRPr="00806DB1">
        <w:rPr>
          <w:sz w:val="16"/>
        </w:rPr>
        <w:t xml:space="preserve">] . . . immigration or naturalization status.”133 In reviewing that warning, the court found that the </w:t>
      </w:r>
      <w:r w:rsidRPr="00806DB1">
        <w:rPr>
          <w:rStyle w:val="StyleUnderline"/>
        </w:rPr>
        <w:t>Due Process Clause</w:t>
      </w:r>
      <w:r>
        <w:rPr>
          <w:rStyle w:val="StyleUnderline"/>
        </w:rPr>
        <w:t xml:space="preserve"> </w:t>
      </w:r>
      <w:r w:rsidRPr="00806DB1">
        <w:rPr>
          <w:rStyle w:val="StyleUnderline"/>
        </w:rPr>
        <w:t xml:space="preserve">did not require more, despite the fact that deportation was automatic in Mr. </w:t>
      </w:r>
      <w:proofErr w:type="spellStart"/>
      <w:r w:rsidRPr="00806DB1">
        <w:rPr>
          <w:rStyle w:val="StyleUnderline"/>
        </w:rPr>
        <w:t>Paredez’s</w:t>
      </w:r>
      <w:proofErr w:type="spellEnd"/>
      <w:r w:rsidRPr="00806DB1">
        <w:rPr>
          <w:rStyle w:val="StyleUnderline"/>
        </w:rPr>
        <w:t xml:space="preserve"> case</w:t>
      </w:r>
      <w:r w:rsidRPr="00806DB1">
        <w:rPr>
          <w:sz w:val="16"/>
        </w:rPr>
        <w:t xml:space="preserve">.134 </w:t>
      </w:r>
      <w:r w:rsidRPr="00806DB1">
        <w:rPr>
          <w:rStyle w:val="StyleUnderline"/>
        </w:rPr>
        <w:t>The court did not, however,</w:t>
      </w:r>
      <w:r>
        <w:rPr>
          <w:rStyle w:val="StyleUnderline"/>
        </w:rPr>
        <w:t xml:space="preserve"> </w:t>
      </w:r>
      <w:r w:rsidRPr="00806DB1">
        <w:rPr>
          <w:rStyle w:val="StyleUnderline"/>
        </w:rPr>
        <w:t>treat defense counsel’s responsibilities as identical to the</w:t>
      </w:r>
      <w:r>
        <w:rPr>
          <w:rStyle w:val="StyleUnderline"/>
        </w:rPr>
        <w:t xml:space="preserve"> </w:t>
      </w:r>
      <w:r w:rsidRPr="00806DB1">
        <w:rPr>
          <w:rStyle w:val="StyleUnderline"/>
        </w:rPr>
        <w:t>judge’s: “counsel is in a much better position to ascertain the</w:t>
      </w:r>
      <w:r>
        <w:rPr>
          <w:rStyle w:val="StyleUnderline"/>
        </w:rPr>
        <w:t xml:space="preserve"> </w:t>
      </w:r>
      <w:r w:rsidRPr="00806DB1">
        <w:rPr>
          <w:rStyle w:val="StyleUnderline"/>
        </w:rPr>
        <w:t>personal circumstances of his or her client so as to determine</w:t>
      </w:r>
      <w:r>
        <w:rPr>
          <w:rStyle w:val="StyleUnderline"/>
        </w:rPr>
        <w:t xml:space="preserve"> </w:t>
      </w:r>
      <w:r w:rsidRPr="00806DB1">
        <w:rPr>
          <w:rStyle w:val="StyleUnderline"/>
        </w:rPr>
        <w:t>what indirect consequences the guilty plea may trigger</w:t>
      </w:r>
      <w:r w:rsidRPr="00806DB1">
        <w:rPr>
          <w:sz w:val="16"/>
        </w:rPr>
        <w:t xml:space="preserve">.”135 </w:t>
      </w:r>
      <w:r w:rsidRPr="00806DB1">
        <w:rPr>
          <w:rStyle w:val="StyleUnderline"/>
        </w:rPr>
        <w:t>The</w:t>
      </w:r>
      <w:r>
        <w:rPr>
          <w:rStyle w:val="StyleUnderline"/>
        </w:rPr>
        <w:t xml:space="preserve"> </w:t>
      </w:r>
      <w:r w:rsidRPr="00806DB1">
        <w:rPr>
          <w:rStyle w:val="StyleUnderline"/>
        </w:rPr>
        <w:t xml:space="preserve">court did not stop with its holding that </w:t>
      </w:r>
      <w:r w:rsidRPr="00806DB1">
        <w:rPr>
          <w:rStyle w:val="Emphasis"/>
        </w:rPr>
        <w:t>defense counsel must</w:t>
      </w:r>
      <w:r>
        <w:rPr>
          <w:rStyle w:val="Emphasis"/>
        </w:rPr>
        <w:t xml:space="preserve"> </w:t>
      </w:r>
      <w:r w:rsidRPr="00806DB1">
        <w:rPr>
          <w:rStyle w:val="Emphasis"/>
        </w:rPr>
        <w:t>correctly advise her client about the automatic nature of deportation</w:t>
      </w:r>
      <w:r w:rsidRPr="00806DB1">
        <w:rPr>
          <w:sz w:val="16"/>
        </w:rPr>
        <w:t xml:space="preserve">.136 It went one step further, holding that “an attorney’s </w:t>
      </w:r>
      <w:proofErr w:type="spellStart"/>
      <w:r w:rsidRPr="00806DB1">
        <w:rPr>
          <w:sz w:val="16"/>
        </w:rPr>
        <w:t>nonadvice</w:t>
      </w:r>
      <w:proofErr w:type="spellEnd"/>
      <w:r w:rsidRPr="00806DB1">
        <w:rPr>
          <w:sz w:val="16"/>
        </w:rPr>
        <w:t xml:space="preserve"> to an alien defendant on the immigration consequences of a guilty plea would also be deficient performance.”137 </w:t>
      </w:r>
      <w:proofErr w:type="spellStart"/>
      <w:r w:rsidRPr="00806DB1">
        <w:rPr>
          <w:rStyle w:val="Emphasis"/>
        </w:rPr>
        <w:t>Paredez</w:t>
      </w:r>
      <w:proofErr w:type="spellEnd"/>
      <w:r w:rsidRPr="00806DB1">
        <w:rPr>
          <w:rStyle w:val="Emphasis"/>
        </w:rPr>
        <w:t xml:space="preserve"> represents a significant advance with respect to</w:t>
      </w:r>
      <w:r>
        <w:rPr>
          <w:rStyle w:val="Emphasis"/>
        </w:rPr>
        <w:t xml:space="preserve"> </w:t>
      </w:r>
      <w:r w:rsidRPr="00806DB1">
        <w:rPr>
          <w:rStyle w:val="Emphasis"/>
        </w:rPr>
        <w:t>both the reality about the need for, and the constitutional right</w:t>
      </w:r>
      <w:r>
        <w:rPr>
          <w:rStyle w:val="Emphasis"/>
        </w:rPr>
        <w:t xml:space="preserve"> </w:t>
      </w:r>
      <w:r w:rsidRPr="00806DB1">
        <w:rPr>
          <w:rStyle w:val="Emphasis"/>
        </w:rPr>
        <w:t xml:space="preserve">to, information about serious consequences in the plea </w:t>
      </w:r>
      <w:proofErr w:type="spellStart"/>
      <w:r w:rsidRPr="00806DB1">
        <w:rPr>
          <w:rStyle w:val="Emphasis"/>
        </w:rPr>
        <w:t>decisionmaking</w:t>
      </w:r>
      <w:proofErr w:type="spellEnd"/>
      <w:r w:rsidRPr="00806DB1">
        <w:rPr>
          <w:rStyle w:val="Emphasis"/>
        </w:rPr>
        <w:t xml:space="preserve"> process</w:t>
      </w:r>
      <w:r w:rsidRPr="00806DB1">
        <w:rPr>
          <w:sz w:val="16"/>
        </w:rPr>
        <w:t xml:space="preserve">. Defense counsel is certainly best situated to explore such areas in the appropriate manner with her client. </w:t>
      </w:r>
      <w:proofErr w:type="spellStart"/>
      <w:r w:rsidRPr="00806DB1">
        <w:rPr>
          <w:rStyle w:val="StyleUnderline"/>
        </w:rPr>
        <w:t>Paredez</w:t>
      </w:r>
      <w:proofErr w:type="spellEnd"/>
      <w:r w:rsidRPr="00806DB1">
        <w:rPr>
          <w:rStyle w:val="StyleUnderline"/>
        </w:rPr>
        <w:t>, however, missed the opportunity to have trial courts</w:t>
      </w:r>
      <w:r>
        <w:rPr>
          <w:rStyle w:val="StyleUnderline"/>
        </w:rPr>
        <w:t xml:space="preserve"> </w:t>
      </w:r>
      <w:r w:rsidRPr="00806DB1">
        <w:rPr>
          <w:rStyle w:val="StyleUnderline"/>
        </w:rPr>
        <w:t>ensure, through the mechanism of constitutional due process,</w:t>
      </w:r>
      <w:r>
        <w:rPr>
          <w:rStyle w:val="StyleUnderline"/>
        </w:rPr>
        <w:t xml:space="preserve"> </w:t>
      </w:r>
      <w:r w:rsidRPr="00806DB1">
        <w:rPr>
          <w:rStyle w:val="StyleUnderline"/>
        </w:rPr>
        <w:t>that counsel fulfill this critical function</w:t>
      </w:r>
      <w:r w:rsidRPr="00806DB1">
        <w:rPr>
          <w:sz w:val="16"/>
        </w:rPr>
        <w:t xml:space="preserve">.138 The right to the effective assistance of counsel, inquiry into which is usually undertaken, if at all, on collateral review long after the conviction, has certainly not ameliorated the widely acknowledged and ongoing crisis in the provision of indigent-defense services.139 Courts, at the time the plea decision-making process is happening rather than years later, can advance the value of </w:t>
      </w:r>
      <w:proofErr w:type="spellStart"/>
      <w:r w:rsidRPr="00806DB1">
        <w:rPr>
          <w:sz w:val="16"/>
        </w:rPr>
        <w:t>knowled</w:t>
      </w:r>
      <w:proofErr w:type="spellEnd"/>
      <w:r w:rsidRPr="00806DB1">
        <w:rPr>
          <w:sz w:val="16"/>
        </w:rPr>
        <w:t xml:space="preserve"> </w:t>
      </w:r>
      <w:proofErr w:type="spellStart"/>
      <w:r w:rsidRPr="00806DB1">
        <w:rPr>
          <w:sz w:val="16"/>
        </w:rPr>
        <w:t>geable</w:t>
      </w:r>
      <w:proofErr w:type="spellEnd"/>
      <w:r w:rsidRPr="00806DB1">
        <w:rPr>
          <w:sz w:val="16"/>
        </w:rPr>
        <w:t xml:space="preserve"> guilty pleas by directly warning, or by ensuring that defense counsel warns, about severe collateral consequences. </w:t>
      </w:r>
      <w:r w:rsidRPr="00806DB1">
        <w:rPr>
          <w:rStyle w:val="StyleUnderline"/>
        </w:rPr>
        <w:t>Courts are already charged with ensuring that a guilty plea is</w:t>
      </w:r>
      <w:r>
        <w:rPr>
          <w:rStyle w:val="StyleUnderline"/>
        </w:rPr>
        <w:t xml:space="preserve"> </w:t>
      </w:r>
      <w:r w:rsidRPr="00806DB1">
        <w:rPr>
          <w:rStyle w:val="StyleUnderline"/>
        </w:rPr>
        <w:t>knowing, voluntary, and intelligent</w:t>
      </w:r>
      <w:r w:rsidRPr="00806DB1">
        <w:rPr>
          <w:sz w:val="16"/>
        </w:rPr>
        <w:t>.140 Just as defense counsel are able to ask a few more questions to determine if counseling about one or more collateral consequences is necessary,141 so too can the courts make minor adjustments to their plea allocution processes to protect such important rights.142 Even with respect to imposing an affirmative Sixth Amendment duty on defense lawyers to advise their clients about immigration—or any other consequence—the New Mexico approach is unique.143 The Page case is representative of the generally flawed analysis of the Sixth Amendment collateral consequences line of cases because it imports the due process analysis into the effective assistance context without any reasoning</w:t>
      </w:r>
      <w:r w:rsidRPr="00806DB1">
        <w:rPr>
          <w:rStyle w:val="StyleUnderline"/>
        </w:rPr>
        <w:t xml:space="preserve">. The current rule in almost all jurisdictions is that a defendant has </w:t>
      </w:r>
      <w:r w:rsidRPr="00806DB1">
        <w:rPr>
          <w:rStyle w:val="Emphasis"/>
        </w:rPr>
        <w:t>no right, under either due process or effective assistance, to information about the collateral consequences of a</w:t>
      </w:r>
      <w:r>
        <w:rPr>
          <w:rStyle w:val="Emphasis"/>
        </w:rPr>
        <w:t xml:space="preserve"> </w:t>
      </w:r>
      <w:r w:rsidRPr="00806DB1">
        <w:rPr>
          <w:rStyle w:val="Emphasis"/>
        </w:rPr>
        <w:t>guilty plea</w:t>
      </w:r>
      <w:r w:rsidRPr="00806DB1">
        <w:rPr>
          <w:sz w:val="16"/>
        </w:rPr>
        <w:t>.144</w:t>
      </w:r>
    </w:p>
    <w:p w14:paraId="0FA1416B" w14:textId="116781F5" w:rsidR="00613202" w:rsidRDefault="00174EF8" w:rsidP="00613202">
      <w:pPr>
        <w:pStyle w:val="Heading3"/>
      </w:pPr>
      <w:r>
        <w:t xml:space="preserve">State </w:t>
      </w:r>
      <w:r w:rsidR="00613202">
        <w:t>Fiat Bad</w:t>
      </w:r>
    </w:p>
    <w:p w14:paraId="38575334" w14:textId="77777777" w:rsidR="00613202" w:rsidRDefault="00613202" w:rsidP="00613202"/>
    <w:p w14:paraId="091FC79D" w14:textId="77777777" w:rsidR="00613202" w:rsidRDefault="00613202" w:rsidP="00613202">
      <w:pPr>
        <w:pStyle w:val="Heading4"/>
      </w:pPr>
      <w:r>
        <w:t xml:space="preserve">And, the counterplan </w:t>
      </w:r>
      <w:proofErr w:type="gramStart"/>
      <w:r>
        <w:t>shouldn’t</w:t>
      </w:r>
      <w:proofErr w:type="gramEnd"/>
      <w:r>
        <w:t xml:space="preserve"> be allowed to fiat uniformity --- each state has distinct, complex legal differences </w:t>
      </w:r>
    </w:p>
    <w:p w14:paraId="23397DB8" w14:textId="77777777" w:rsidR="00613202" w:rsidRPr="008A0750" w:rsidRDefault="00613202" w:rsidP="00613202"/>
    <w:p w14:paraId="6F98D1B6" w14:textId="77777777" w:rsidR="00613202" w:rsidRDefault="00613202" w:rsidP="00613202">
      <w:pPr>
        <w:rPr>
          <w:rStyle w:val="Style13ptBold"/>
        </w:rPr>
      </w:pPr>
      <w:r>
        <w:rPr>
          <w:rStyle w:val="Style13ptBold"/>
        </w:rPr>
        <w:t>Ewald ‘12</w:t>
      </w:r>
    </w:p>
    <w:p w14:paraId="54B21319" w14:textId="77777777" w:rsidR="00613202" w:rsidRDefault="00613202" w:rsidP="00613202">
      <w:r w:rsidRPr="0012468B">
        <w:t>(Alec,</w:t>
      </w:r>
      <w:r>
        <w:t xml:space="preserve"> Associate Professor American Politics and Constitutional Law. </w:t>
      </w:r>
      <w:r w:rsidRPr="0012468B">
        <w:t>University of Vermont,</w:t>
      </w:r>
      <w:r>
        <w:t xml:space="preserve"> Current research is on the “collateral consequences” of criminal convictions </w:t>
      </w:r>
      <w:r w:rsidRPr="0012468B">
        <w:t>“Collateral Consequences</w:t>
      </w:r>
      <w:r>
        <w:t xml:space="preserve"> </w:t>
      </w:r>
      <w:r w:rsidRPr="0012468B">
        <w:t xml:space="preserve">in the American States,” </w:t>
      </w:r>
      <w:r>
        <w:t xml:space="preserve">SOCIAL SCIENCE QUARTERLY, </w:t>
      </w:r>
      <w:proofErr w:type="spellStart"/>
      <w:r w:rsidRPr="0012468B">
        <w:t>pg</w:t>
      </w:r>
      <w:proofErr w:type="spellEnd"/>
      <w:r w:rsidRPr="0012468B">
        <w:t xml:space="preserve"> online @ SSRN //um-</w:t>
      </w:r>
      <w:proofErr w:type="spellStart"/>
      <w:r w:rsidRPr="0012468B">
        <w:t>ef</w:t>
      </w:r>
      <w:proofErr w:type="spellEnd"/>
      <w:r w:rsidRPr="0012468B">
        <w:t>)</w:t>
      </w:r>
    </w:p>
    <w:p w14:paraId="4E939A25" w14:textId="77777777" w:rsidR="00613202" w:rsidRPr="0012468B" w:rsidRDefault="00613202" w:rsidP="00613202">
      <w:pPr>
        <w:rPr>
          <w:sz w:val="12"/>
        </w:rPr>
      </w:pPr>
      <w:r w:rsidRPr="0012468B">
        <w:rPr>
          <w:rStyle w:val="StyleUnderline"/>
        </w:rPr>
        <w:t>Closer analysis</w:t>
      </w:r>
      <w:r w:rsidRPr="0012468B">
        <w:rPr>
          <w:sz w:val="12"/>
        </w:rPr>
        <w:t xml:space="preserve"> of selected state policies related to biological and volitional parenting (Child Welfare Information Gateway, 2009a; Legal Action Center, 2009) </w:t>
      </w:r>
      <w:r w:rsidRPr="0012468B">
        <w:rPr>
          <w:rStyle w:val="Emphasis"/>
        </w:rPr>
        <w:t>strongly suggests that each state’s laws contain considerable detail, making scaled, quantitative categorization exceedingly difficult</w:t>
      </w:r>
      <w:r w:rsidRPr="0012468B">
        <w:rPr>
          <w:sz w:val="12"/>
        </w:rPr>
        <w:t xml:space="preserve">. For example, enumerated crimes related to volitional-parenting eligibility vary, as do factors such as the length of postconviction ineligibility, whether evidence of rehabilitation will be considered, and whether states require records from other Collateral Consequences in the American States 33 jurisdictions. Many states employ different standards for foster and adoptive parenting. And at many crucial places throughout state law in this area, administrative discretion is considerable—the relevant agency “may deny” an applicant </w:t>
      </w:r>
      <w:proofErr w:type="gramStart"/>
      <w:r w:rsidRPr="0012468B">
        <w:rPr>
          <w:sz w:val="12"/>
        </w:rPr>
        <w:t>on the basis of</w:t>
      </w:r>
      <w:proofErr w:type="gramEnd"/>
      <w:r w:rsidRPr="0012468B">
        <w:rPr>
          <w:sz w:val="12"/>
        </w:rPr>
        <w:t xml:space="preserve"> a given criminal conviction (Child Welfare Information Gateway, 2008), for example. In sum, while people with previous convictions trying to adopt, become foster parents, or maintain custody of their biological children will face different restrictions and procedures in each state, </w:t>
      </w:r>
      <w:r w:rsidRPr="0012468B">
        <w:rPr>
          <w:rStyle w:val="StyleUnderline"/>
        </w:rPr>
        <w:t>these differences</w:t>
      </w:r>
      <w:r w:rsidRPr="0012468B">
        <w:rPr>
          <w:sz w:val="12"/>
        </w:rPr>
        <w:t xml:space="preserve"> have been narrowed by federal law, and </w:t>
      </w:r>
      <w:r w:rsidRPr="0012468B">
        <w:rPr>
          <w:rStyle w:val="Emphasis"/>
        </w:rPr>
        <w:t>appear to be too complex to capture in an interval or ordinal scale.</w:t>
      </w:r>
    </w:p>
    <w:p w14:paraId="3F707DCB" w14:textId="0B0DB333" w:rsidR="00687E07" w:rsidRDefault="0098144E" w:rsidP="00613202">
      <w:pPr>
        <w:pStyle w:val="Heading2"/>
      </w:pPr>
      <w:r>
        <w:t xml:space="preserve">AT: </w:t>
      </w:r>
      <w:r w:rsidR="00687E07">
        <w:t>Congress CP</w:t>
      </w:r>
      <w:r w:rsidR="00657D6E">
        <w:t>s</w:t>
      </w:r>
    </w:p>
    <w:p w14:paraId="27A054D1" w14:textId="4CE28C9F" w:rsidR="00494987" w:rsidRDefault="00494987" w:rsidP="00494987"/>
    <w:p w14:paraId="178B33E0" w14:textId="5251D97D" w:rsidR="00DA3B3A" w:rsidRDefault="00DA3B3A" w:rsidP="00DA3B3A"/>
    <w:p w14:paraId="29116455" w14:textId="5581F773" w:rsidR="00DA3B3A" w:rsidRDefault="0001731C" w:rsidP="00DA3B3A">
      <w:pPr>
        <w:pStyle w:val="Heading3"/>
      </w:pPr>
      <w:r>
        <w:t>2AC Confusion/Vagueness DA</w:t>
      </w:r>
    </w:p>
    <w:p w14:paraId="1A96C921" w14:textId="34C5F3BB" w:rsidR="00DA3B3A" w:rsidRDefault="00DA3B3A" w:rsidP="00DA3B3A"/>
    <w:p w14:paraId="29241863" w14:textId="71F83D52" w:rsidR="00F9240B" w:rsidRDefault="00F9240B" w:rsidP="00F9240B">
      <w:pPr>
        <w:pStyle w:val="Heading4"/>
      </w:pPr>
      <w:r>
        <w:t xml:space="preserve">Confusion DA --- no one knows </w:t>
      </w:r>
      <w:proofErr w:type="gramStart"/>
      <w:r>
        <w:t>all of</w:t>
      </w:r>
      <w:proofErr w:type="gramEnd"/>
      <w:r>
        <w:t xml:space="preserve"> the CC’s – simply striking them from the books creates CONFUSION and difficulty enforcing </w:t>
      </w:r>
    </w:p>
    <w:p w14:paraId="5B556E1F" w14:textId="77777777" w:rsidR="00F9240B" w:rsidRPr="00F9240B" w:rsidRDefault="00F9240B" w:rsidP="00F9240B"/>
    <w:p w14:paraId="4A68CB99" w14:textId="0B8D3438" w:rsidR="00F9240B" w:rsidRDefault="00F9240B" w:rsidP="00DA3B3A">
      <w:pPr>
        <w:rPr>
          <w:rStyle w:val="Style13ptBold"/>
        </w:rPr>
      </w:pPr>
      <w:r>
        <w:rPr>
          <w:rStyle w:val="Style13ptBold"/>
        </w:rPr>
        <w:t>ULC ‘11</w:t>
      </w:r>
    </w:p>
    <w:p w14:paraId="70AE01E5" w14:textId="16D34773" w:rsidR="00FD5870" w:rsidRPr="00F9240B" w:rsidRDefault="00F9240B" w:rsidP="00F9240B">
      <w:r w:rsidRPr="00F9240B">
        <w:t xml:space="preserve">(Uniform Law Commission, also known as the National Conference of Commissioners on Uniform State Laws, “UNIFORM COLLATERAL CONSEQUENCES OF CONVICTION ACT,” </w:t>
      </w:r>
      <w:proofErr w:type="spellStart"/>
      <w:r w:rsidRPr="00F9240B">
        <w:t>pg</w:t>
      </w:r>
      <w:proofErr w:type="spellEnd"/>
      <w:r w:rsidRPr="00F9240B">
        <w:t xml:space="preserve"> online @ </w:t>
      </w:r>
      <w:hyperlink r:id="rId80" w:history="1">
        <w:r w:rsidRPr="00F9240B">
          <w:rPr>
            <w:rStyle w:val="Hyperlink"/>
          </w:rPr>
          <w:t>https://law.unlv.edu/sites/default/files/PublicInterestFilmFestival2012_CollateralConsequencesofConvictionModelBill.pdf</w:t>
        </w:r>
      </w:hyperlink>
      <w:r w:rsidRPr="00F9240B">
        <w:t xml:space="preserve"> //um-</w:t>
      </w:r>
      <w:proofErr w:type="spellStart"/>
      <w:r w:rsidRPr="00F9240B">
        <w:t>ef</w:t>
      </w:r>
      <w:proofErr w:type="spellEnd"/>
      <w:r w:rsidRPr="00F9240B">
        <w:t>)</w:t>
      </w:r>
    </w:p>
    <w:p w14:paraId="2BF3D560" w14:textId="304A7DB9" w:rsidR="00FD5870" w:rsidRPr="00F9240B" w:rsidRDefault="00FD5870" w:rsidP="00DA3B3A">
      <w:pPr>
        <w:rPr>
          <w:sz w:val="12"/>
        </w:rPr>
      </w:pPr>
      <w:r w:rsidRPr="00F9240B">
        <w:rPr>
          <w:sz w:val="12"/>
        </w:rPr>
        <w:t xml:space="preserve">In a real sense, </w:t>
      </w:r>
      <w:r w:rsidRPr="00F9240B">
        <w:rPr>
          <w:rStyle w:val="StyleUnderline"/>
        </w:rPr>
        <w:t>convicted persons are regulated</w:t>
      </w:r>
      <w:r w:rsidRPr="00F9240B">
        <w:rPr>
          <w:sz w:val="12"/>
        </w:rPr>
        <w:t>. Each state effectively has a title of its</w:t>
      </w:r>
      <w:r w:rsidR="00F9240B" w:rsidRPr="00F9240B">
        <w:rPr>
          <w:sz w:val="12"/>
        </w:rPr>
        <w:t xml:space="preserve"> </w:t>
      </w:r>
      <w:r w:rsidRPr="00F9240B">
        <w:rPr>
          <w:sz w:val="12"/>
        </w:rPr>
        <w:t>code called Collateral Consequences, regulating the legal status of this group in scores or</w:t>
      </w:r>
      <w:r w:rsidR="00F9240B" w:rsidRPr="00F9240B">
        <w:rPr>
          <w:sz w:val="12"/>
        </w:rPr>
        <w:t xml:space="preserve"> </w:t>
      </w:r>
      <w:r w:rsidRPr="00F9240B">
        <w:rPr>
          <w:sz w:val="12"/>
        </w:rPr>
        <w:t xml:space="preserve">hundreds of ways. But instead of publishing these laws together, </w:t>
      </w:r>
      <w:r w:rsidRPr="00F9240B">
        <w:rPr>
          <w:rStyle w:val="Emphasis"/>
        </w:rPr>
        <w:t>the statutes are divided up and</w:t>
      </w:r>
      <w:r w:rsidR="00F9240B" w:rsidRPr="00F9240B">
        <w:rPr>
          <w:rStyle w:val="Emphasis"/>
        </w:rPr>
        <w:t xml:space="preserve"> </w:t>
      </w:r>
      <w:r w:rsidRPr="00F9240B">
        <w:rPr>
          <w:rStyle w:val="Emphasis"/>
        </w:rPr>
        <w:t>scattered</w:t>
      </w:r>
      <w:r w:rsidRPr="00F9240B">
        <w:rPr>
          <w:sz w:val="12"/>
        </w:rPr>
        <w:t>. The sanctions have proliferated unsystematically, with a prohibition on individuals</w:t>
      </w:r>
      <w:r w:rsidR="00F9240B" w:rsidRPr="00F9240B">
        <w:rPr>
          <w:sz w:val="12"/>
        </w:rPr>
        <w:t xml:space="preserve"> </w:t>
      </w:r>
      <w:r w:rsidRPr="00F9240B">
        <w:rPr>
          <w:sz w:val="12"/>
        </w:rPr>
        <w:t>12</w:t>
      </w:r>
      <w:r w:rsidR="00F9240B" w:rsidRPr="00F9240B">
        <w:rPr>
          <w:sz w:val="12"/>
        </w:rPr>
        <w:t xml:space="preserve"> </w:t>
      </w:r>
      <w:r w:rsidRPr="00F9240B">
        <w:rPr>
          <w:sz w:val="12"/>
        </w:rPr>
        <w:t>with felony convictions obtaining one kind of license popping up in one section of a state’s code,</w:t>
      </w:r>
      <w:r w:rsidR="00F9240B" w:rsidRPr="00F9240B">
        <w:rPr>
          <w:sz w:val="12"/>
        </w:rPr>
        <w:t xml:space="preserve"> </w:t>
      </w:r>
      <w:r w:rsidRPr="00F9240B">
        <w:rPr>
          <w:sz w:val="12"/>
        </w:rPr>
        <w:t>a prohibition on obtaining some other kind of government employment appearing in an agency’s</w:t>
      </w:r>
      <w:r w:rsidR="00F9240B" w:rsidRPr="00F9240B">
        <w:rPr>
          <w:sz w:val="12"/>
        </w:rPr>
        <w:t xml:space="preserve"> </w:t>
      </w:r>
      <w:r w:rsidRPr="00F9240B">
        <w:rPr>
          <w:sz w:val="12"/>
        </w:rPr>
        <w:t>rules.</w:t>
      </w:r>
      <w:r w:rsidR="00F9240B" w:rsidRPr="00F9240B">
        <w:rPr>
          <w:sz w:val="12"/>
        </w:rPr>
        <w:t xml:space="preserve"> </w:t>
      </w:r>
      <w:r w:rsidRPr="00F9240B">
        <w:rPr>
          <w:rStyle w:val="StyleUnderline"/>
        </w:rPr>
        <w:t>While some disabilities may be well known</w:t>
      </w:r>
      <w:r w:rsidRPr="00F9240B">
        <w:rPr>
          <w:sz w:val="12"/>
        </w:rPr>
        <w:t xml:space="preserve">, </w:t>
      </w:r>
      <w:r w:rsidRPr="00F9240B">
        <w:rPr>
          <w:rStyle w:val="Emphasis"/>
        </w:rPr>
        <w:t>such as disenfranchisement and the firearms</w:t>
      </w:r>
      <w:r w:rsidR="00F9240B" w:rsidRPr="00F9240B">
        <w:rPr>
          <w:rStyle w:val="Emphasis"/>
        </w:rPr>
        <w:t xml:space="preserve"> </w:t>
      </w:r>
      <w:r w:rsidRPr="00F9240B">
        <w:rPr>
          <w:rStyle w:val="Emphasis"/>
        </w:rPr>
        <w:t>prohibition</w:t>
      </w:r>
      <w:r w:rsidRPr="00F9240B">
        <w:rPr>
          <w:sz w:val="12"/>
        </w:rPr>
        <w:t>, in most jurisdictions no</w:t>
      </w:r>
      <w:r w:rsidRPr="00F9240B">
        <w:rPr>
          <w:rStyle w:val="Emphasis"/>
        </w:rPr>
        <w:t xml:space="preserve"> judge, prosecutor, defense attorney, legislator or agency</w:t>
      </w:r>
      <w:r w:rsidR="00F9240B" w:rsidRPr="00F9240B">
        <w:rPr>
          <w:rStyle w:val="Emphasis"/>
        </w:rPr>
        <w:t xml:space="preserve"> </w:t>
      </w:r>
      <w:r w:rsidRPr="00F9240B">
        <w:rPr>
          <w:rStyle w:val="Emphasis"/>
        </w:rPr>
        <w:t>staffer could identify all of the statutes that would be triggered by conviction of the various</w:t>
      </w:r>
      <w:r w:rsidR="00F9240B" w:rsidRPr="00F9240B">
        <w:rPr>
          <w:rStyle w:val="Emphasis"/>
        </w:rPr>
        <w:t xml:space="preserve"> </w:t>
      </w:r>
      <w:r w:rsidRPr="00F9240B">
        <w:rPr>
          <w:rStyle w:val="Emphasis"/>
        </w:rPr>
        <w:t>offenses in the criminal code</w:t>
      </w:r>
      <w:r w:rsidRPr="00F9240B">
        <w:rPr>
          <w:sz w:val="12"/>
        </w:rPr>
        <w:t>. Although the information would be useful to many people,</w:t>
      </w:r>
      <w:r w:rsidR="00F9240B" w:rsidRPr="00F9240B">
        <w:rPr>
          <w:sz w:val="12"/>
        </w:rPr>
        <w:t xml:space="preserve"> </w:t>
      </w:r>
      <w:r w:rsidRPr="00F9240B">
        <w:rPr>
          <w:sz w:val="12"/>
        </w:rPr>
        <w:t>including judges, prosecutors, defense lawyers and those supervising individuals with</w:t>
      </w:r>
      <w:r w:rsidR="00F9240B" w:rsidRPr="00F9240B">
        <w:rPr>
          <w:sz w:val="12"/>
        </w:rPr>
        <w:t xml:space="preserve"> </w:t>
      </w:r>
      <w:r w:rsidRPr="00F9240B">
        <w:rPr>
          <w:sz w:val="12"/>
        </w:rPr>
        <w:t>convictions, as well as legislators and other policymakers, it would be extremely costly for any</w:t>
      </w:r>
      <w:r w:rsidR="00F9240B" w:rsidRPr="00F9240B">
        <w:rPr>
          <w:sz w:val="12"/>
        </w:rPr>
        <w:t xml:space="preserve"> </w:t>
      </w:r>
      <w:r w:rsidRPr="00F9240B">
        <w:rPr>
          <w:sz w:val="12"/>
        </w:rPr>
        <w:t>of them to develop the information on their own. Dispersal of these laws and rules defeats the</w:t>
      </w:r>
      <w:r w:rsidR="00F9240B" w:rsidRPr="00F9240B">
        <w:rPr>
          <w:sz w:val="12"/>
        </w:rPr>
        <w:t xml:space="preserve"> </w:t>
      </w:r>
      <w:r w:rsidRPr="00F9240B">
        <w:rPr>
          <w:sz w:val="12"/>
        </w:rPr>
        <w:t>purpose of having published codes in the first place.</w:t>
      </w:r>
      <w:r w:rsidR="00F9240B" w:rsidRPr="00F9240B">
        <w:rPr>
          <w:sz w:val="12"/>
        </w:rPr>
        <w:t xml:space="preserve"> </w:t>
      </w:r>
      <w:r w:rsidRPr="00F9240B">
        <w:rPr>
          <w:sz w:val="12"/>
        </w:rPr>
        <w:t>Section 4(a) requires an appropriate government official or agency in each state to create</w:t>
      </w:r>
      <w:r w:rsidR="00F9240B" w:rsidRPr="00F9240B">
        <w:rPr>
          <w:sz w:val="12"/>
        </w:rPr>
        <w:t xml:space="preserve"> </w:t>
      </w:r>
      <w:r w:rsidRPr="00F9240B">
        <w:rPr>
          <w:sz w:val="12"/>
        </w:rPr>
        <w:t>a collection with citations to and short descriptions of any provision in the state constitution,</w:t>
      </w:r>
      <w:r w:rsidR="00F9240B" w:rsidRPr="00F9240B">
        <w:rPr>
          <w:sz w:val="12"/>
        </w:rPr>
        <w:t xml:space="preserve"> </w:t>
      </w:r>
      <w:r w:rsidRPr="00F9240B">
        <w:rPr>
          <w:sz w:val="12"/>
        </w:rPr>
        <w:t>statutes and administrative rules that create collateral sanctions and authorize disqualifications.</w:t>
      </w:r>
      <w:r w:rsidR="00F9240B" w:rsidRPr="00F9240B">
        <w:rPr>
          <w:sz w:val="12"/>
        </w:rPr>
        <w:t xml:space="preserve"> </w:t>
      </w:r>
      <w:r w:rsidRPr="00F9240B">
        <w:rPr>
          <w:sz w:val="12"/>
        </w:rPr>
        <w:t>The appropriate agency could be, depending on the jurisdiction, the revisor of statutes, the</w:t>
      </w:r>
      <w:r w:rsidR="00F9240B" w:rsidRPr="00F9240B">
        <w:rPr>
          <w:sz w:val="12"/>
        </w:rPr>
        <w:t xml:space="preserve"> </w:t>
      </w:r>
      <w:r w:rsidRPr="00F9240B">
        <w:rPr>
          <w:sz w:val="12"/>
        </w:rPr>
        <w:t>attorney general’s office, the judicial branch, or the legislative counsel’s office. The task of</w:t>
      </w:r>
      <w:r w:rsidR="00F9240B" w:rsidRPr="00F9240B">
        <w:rPr>
          <w:sz w:val="12"/>
        </w:rPr>
        <w:t xml:space="preserve"> </w:t>
      </w:r>
      <w:r w:rsidRPr="00F9240B">
        <w:rPr>
          <w:sz w:val="12"/>
        </w:rPr>
        <w:t>collection has been simplified by a recent federal law which mandates the Director of the</w:t>
      </w:r>
      <w:r w:rsidR="00F9240B" w:rsidRPr="00F9240B">
        <w:rPr>
          <w:sz w:val="12"/>
        </w:rPr>
        <w:t xml:space="preserve"> </w:t>
      </w:r>
      <w:r w:rsidRPr="00F9240B">
        <w:rPr>
          <w:sz w:val="12"/>
        </w:rPr>
        <w:t>National Institute of Justice to identify collateral sanctions and disqualifications in the</w:t>
      </w:r>
      <w:r w:rsidR="00F9240B" w:rsidRPr="00F9240B">
        <w:rPr>
          <w:sz w:val="12"/>
        </w:rPr>
        <w:t xml:space="preserve"> </w:t>
      </w:r>
      <w:r w:rsidRPr="00F9240B">
        <w:rPr>
          <w:sz w:val="12"/>
        </w:rPr>
        <w:t>constitutions, codes and administrative rules of the 50 states. Court Security Improvement Act</w:t>
      </w:r>
      <w:r w:rsidR="00F9240B" w:rsidRPr="00F9240B">
        <w:rPr>
          <w:sz w:val="12"/>
        </w:rPr>
        <w:t xml:space="preserve"> </w:t>
      </w:r>
      <w:r w:rsidRPr="00F9240B">
        <w:rPr>
          <w:sz w:val="12"/>
        </w:rPr>
        <w:t>of 2007, Pub. L. 110-177 § 510, 121 Stat. 2534, 2544. Accordingly, the federal government will</w:t>
      </w:r>
      <w:r w:rsidR="00F9240B" w:rsidRPr="00F9240B">
        <w:rPr>
          <w:sz w:val="12"/>
        </w:rPr>
        <w:t xml:space="preserve"> </w:t>
      </w:r>
      <w:r w:rsidRPr="00F9240B">
        <w:rPr>
          <w:sz w:val="12"/>
        </w:rPr>
        <w:t>fund the bulk of the initial work. However, the federal government study may not extend to</w:t>
      </w:r>
      <w:r w:rsidR="00F9240B" w:rsidRPr="00F9240B">
        <w:rPr>
          <w:sz w:val="12"/>
        </w:rPr>
        <w:t xml:space="preserve"> </w:t>
      </w:r>
      <w:r w:rsidRPr="00F9240B">
        <w:rPr>
          <w:sz w:val="12"/>
        </w:rPr>
        <w:t>disqualifications in the form of official policies and practices that have not been formally</w:t>
      </w:r>
      <w:r w:rsidR="00F9240B" w:rsidRPr="00F9240B">
        <w:rPr>
          <w:sz w:val="12"/>
        </w:rPr>
        <w:t xml:space="preserve"> </w:t>
      </w:r>
      <w:r w:rsidRPr="00F9240B">
        <w:rPr>
          <w:sz w:val="12"/>
        </w:rPr>
        <w:t>promulgated in a statute or agency regulation, so that jurisdictions may want to expand their</w:t>
      </w:r>
      <w:r w:rsidR="00F9240B" w:rsidRPr="00F9240B">
        <w:rPr>
          <w:sz w:val="12"/>
        </w:rPr>
        <w:t xml:space="preserve"> </w:t>
      </w:r>
      <w:r w:rsidRPr="00F9240B">
        <w:rPr>
          <w:sz w:val="12"/>
        </w:rPr>
        <w:t>collections accordingly. Cf. 42 U.S.C. § 3797w(e)(4) (requiring applicants for grants under the</w:t>
      </w:r>
      <w:r w:rsidR="00F9240B" w:rsidRPr="00F9240B">
        <w:rPr>
          <w:sz w:val="12"/>
        </w:rPr>
        <w:t xml:space="preserve"> </w:t>
      </w:r>
      <w:r w:rsidRPr="00F9240B">
        <w:rPr>
          <w:sz w:val="12"/>
        </w:rPr>
        <w:t xml:space="preserve">Second Chance Act of 2007 to provide “a plan for analysis of the statutory, regulatory, </w:t>
      </w:r>
      <w:proofErr w:type="spellStart"/>
      <w:r w:rsidRPr="00F9240B">
        <w:rPr>
          <w:sz w:val="12"/>
        </w:rPr>
        <w:t>rulesbased</w:t>
      </w:r>
      <w:proofErr w:type="spellEnd"/>
      <w:r w:rsidRPr="00F9240B">
        <w:rPr>
          <w:sz w:val="12"/>
        </w:rPr>
        <w:t>, and practice-based hurdles to reintegration of offenders into the community”)</w:t>
      </w:r>
      <w:r w:rsidR="00F9240B" w:rsidRPr="00F9240B">
        <w:rPr>
          <w:sz w:val="12"/>
        </w:rPr>
        <w:t xml:space="preserve"> </w:t>
      </w:r>
      <w:r w:rsidRPr="00F9240B">
        <w:rPr>
          <w:sz w:val="12"/>
        </w:rPr>
        <w:t>This collection will not be positive law, nor will it alter existing law. Yet, collecting</w:t>
      </w:r>
      <w:r w:rsidR="00F9240B" w:rsidRPr="00F9240B">
        <w:rPr>
          <w:sz w:val="12"/>
        </w:rPr>
        <w:t xml:space="preserve"> </w:t>
      </w:r>
      <w:r w:rsidRPr="00F9240B">
        <w:rPr>
          <w:sz w:val="12"/>
        </w:rPr>
        <w:t>collateral sanctions and disqualifications in the state’s law, and describing them in simple, plain</w:t>
      </w:r>
      <w:r w:rsidR="00F9240B" w:rsidRPr="00F9240B">
        <w:rPr>
          <w:sz w:val="12"/>
        </w:rPr>
        <w:t xml:space="preserve"> </w:t>
      </w:r>
      <w:r w:rsidRPr="00F9240B">
        <w:rPr>
          <w:sz w:val="12"/>
        </w:rPr>
        <w:t>language, would make the formal written law knowable to those who use and are affected by it.</w:t>
      </w:r>
      <w:r w:rsidR="00F9240B" w:rsidRPr="00F9240B">
        <w:rPr>
          <w:sz w:val="12"/>
        </w:rPr>
        <w:t xml:space="preserve"> </w:t>
      </w:r>
      <w:r w:rsidRPr="00F9240B">
        <w:rPr>
          <w:sz w:val="12"/>
        </w:rPr>
        <w:t>Compare Il. Pub. Act 096-0593 (Aug. 18, 2009) (requiring inventory of all state laws and</w:t>
      </w:r>
      <w:r w:rsidR="00F9240B" w:rsidRPr="00F9240B">
        <w:rPr>
          <w:sz w:val="12"/>
        </w:rPr>
        <w:t xml:space="preserve"> </w:t>
      </w:r>
      <w:r w:rsidRPr="00F9240B">
        <w:rPr>
          <w:sz w:val="12"/>
        </w:rPr>
        <w:t>policies restricting employment of persons with criminal records); MICH. COMP. LAWS §</w:t>
      </w:r>
      <w:r w:rsidR="00F9240B" w:rsidRPr="00F9240B">
        <w:rPr>
          <w:sz w:val="12"/>
        </w:rPr>
        <w:t xml:space="preserve"> </w:t>
      </w:r>
      <w:r w:rsidRPr="00F9240B">
        <w:rPr>
          <w:sz w:val="12"/>
        </w:rPr>
        <w:t>28.425a(9) (requiring collection and distribution to firearms licensees of state firearms laws).</w:t>
      </w:r>
      <w:r w:rsidR="00F9240B" w:rsidRPr="00F9240B">
        <w:rPr>
          <w:sz w:val="12"/>
        </w:rPr>
        <w:t xml:space="preserve"> </w:t>
      </w:r>
      <w:r w:rsidRPr="00F9240B">
        <w:rPr>
          <w:sz w:val="12"/>
        </w:rPr>
        <w:t>Sections (a)(2) and (3) and (c) leave bracketed the time periods for preparation of the</w:t>
      </w:r>
      <w:r w:rsidR="00F9240B" w:rsidRPr="00F9240B">
        <w:rPr>
          <w:sz w:val="12"/>
        </w:rPr>
        <w:t xml:space="preserve"> </w:t>
      </w:r>
      <w:r w:rsidRPr="00F9240B">
        <w:rPr>
          <w:sz w:val="12"/>
        </w:rPr>
        <w:t>initial collection, updating it after legislative sessions, and posting it on the Internet, recognizing</w:t>
      </w:r>
      <w:r w:rsidR="00F9240B" w:rsidRPr="00F9240B">
        <w:rPr>
          <w:sz w:val="12"/>
        </w:rPr>
        <w:t xml:space="preserve"> </w:t>
      </w:r>
      <w:r w:rsidRPr="00F9240B">
        <w:rPr>
          <w:sz w:val="12"/>
        </w:rPr>
        <w:t>that different conditions exist in different jurisdictions. But reasonable periods for preparation of</w:t>
      </w:r>
      <w:r w:rsidR="00F9240B" w:rsidRPr="00F9240B">
        <w:rPr>
          <w:sz w:val="12"/>
        </w:rPr>
        <w:t xml:space="preserve"> </w:t>
      </w:r>
      <w:r w:rsidRPr="00F9240B">
        <w:rPr>
          <w:sz w:val="12"/>
        </w:rPr>
        <w:t>the initial collection would be 180 days, 45 days for updating it after a session of the legislature,</w:t>
      </w:r>
      <w:r w:rsidR="00F9240B" w:rsidRPr="00F9240B">
        <w:rPr>
          <w:sz w:val="12"/>
        </w:rPr>
        <w:t xml:space="preserve"> </w:t>
      </w:r>
      <w:r w:rsidRPr="00F9240B">
        <w:rPr>
          <w:sz w:val="12"/>
        </w:rPr>
        <w:t>and 14 days for posting on the Internet after the initial collection or revision.</w:t>
      </w:r>
      <w:r w:rsidR="00F9240B" w:rsidRPr="00F9240B">
        <w:rPr>
          <w:sz w:val="12"/>
        </w:rPr>
        <w:t xml:space="preserve"> </w:t>
      </w:r>
      <w:r w:rsidRPr="00F9240B">
        <w:rPr>
          <w:sz w:val="12"/>
        </w:rPr>
        <w:t>In jurisdictions without codified regulations, the legislature should require boards,</w:t>
      </w:r>
      <w:r w:rsidR="00F9240B" w:rsidRPr="00F9240B">
        <w:rPr>
          <w:sz w:val="12"/>
        </w:rPr>
        <w:t xml:space="preserve"> </w:t>
      </w:r>
      <w:r w:rsidRPr="00F9240B">
        <w:rPr>
          <w:sz w:val="12"/>
        </w:rPr>
        <w:t>agencies and other promulgators of regulations to notify the agency assigned responsibility for</w:t>
      </w:r>
      <w:r w:rsidR="00F9240B" w:rsidRPr="00F9240B">
        <w:rPr>
          <w:sz w:val="12"/>
        </w:rPr>
        <w:t xml:space="preserve"> </w:t>
      </w:r>
      <w:r w:rsidRPr="00F9240B">
        <w:rPr>
          <w:sz w:val="12"/>
        </w:rPr>
        <w:t>the collection of new regulations creating collateral sanctions or disqualifications.</w:t>
      </w:r>
      <w:r w:rsidR="00F9240B" w:rsidRPr="00F9240B">
        <w:rPr>
          <w:sz w:val="12"/>
        </w:rPr>
        <w:t xml:space="preserve"> </w:t>
      </w:r>
      <w:r w:rsidRPr="00F9240B">
        <w:rPr>
          <w:sz w:val="12"/>
        </w:rPr>
        <w:t>13</w:t>
      </w:r>
      <w:r w:rsidR="00F9240B" w:rsidRPr="00F9240B">
        <w:rPr>
          <w:sz w:val="12"/>
        </w:rPr>
        <w:t xml:space="preserve"> </w:t>
      </w:r>
      <w:r w:rsidRPr="00F9240B">
        <w:rPr>
          <w:rStyle w:val="StyleUnderline"/>
        </w:rPr>
        <w:t>The ABA Standards recommended formal codification, i.e., removing such provisions</w:t>
      </w:r>
      <w:r w:rsidR="00F9240B">
        <w:rPr>
          <w:rStyle w:val="StyleUnderline"/>
        </w:rPr>
        <w:t xml:space="preserve"> </w:t>
      </w:r>
      <w:r w:rsidRPr="00F9240B">
        <w:rPr>
          <w:rStyle w:val="StyleUnderline"/>
        </w:rPr>
        <w:t>from their current locations and transferring them wholesale to a new title</w:t>
      </w:r>
      <w:r w:rsidRPr="00F9240B">
        <w:rPr>
          <w:sz w:val="12"/>
        </w:rPr>
        <w:t>. See ABA</w:t>
      </w:r>
      <w:r w:rsidR="00F9240B" w:rsidRPr="00F9240B">
        <w:rPr>
          <w:sz w:val="12"/>
        </w:rPr>
        <w:t xml:space="preserve"> </w:t>
      </w:r>
      <w:r w:rsidRPr="00F9240B">
        <w:rPr>
          <w:sz w:val="12"/>
        </w:rPr>
        <w:t>STANDARDS FOR CRIMINAL JUSTICE: COLLATERAL SANCTIONS AND DISCRETIONARY</w:t>
      </w:r>
      <w:r w:rsidR="00F9240B" w:rsidRPr="00F9240B">
        <w:rPr>
          <w:sz w:val="12"/>
        </w:rPr>
        <w:t xml:space="preserve"> </w:t>
      </w:r>
      <w:r w:rsidRPr="00F9240B">
        <w:rPr>
          <w:sz w:val="12"/>
        </w:rPr>
        <w:t xml:space="preserve">DISQUALIFICATION OF CONVICTED PERSONS, Standard 19-2.1 (3d ed. 2004). </w:t>
      </w:r>
      <w:r w:rsidRPr="00F9240B">
        <w:rPr>
          <w:rStyle w:val="Emphasis"/>
        </w:rPr>
        <w:t>However, this</w:t>
      </w:r>
      <w:r w:rsidR="00F9240B">
        <w:rPr>
          <w:rStyle w:val="Emphasis"/>
        </w:rPr>
        <w:t xml:space="preserve"> </w:t>
      </w:r>
      <w:r w:rsidRPr="00F9240B">
        <w:rPr>
          <w:rStyle w:val="Emphasis"/>
        </w:rPr>
        <w:t>approach was rejected because it might leave the amended laws confusing and difficult to</w:t>
      </w:r>
      <w:r w:rsidR="00F9240B">
        <w:rPr>
          <w:rStyle w:val="Emphasis"/>
        </w:rPr>
        <w:t xml:space="preserve"> </w:t>
      </w:r>
      <w:r w:rsidRPr="00F9240B">
        <w:rPr>
          <w:rStyle w:val="Emphasis"/>
        </w:rPr>
        <w:t>understand.</w:t>
      </w:r>
      <w:r w:rsidRPr="00F9240B">
        <w:rPr>
          <w:sz w:val="12"/>
        </w:rPr>
        <w:t xml:space="preserve"> Most of the benefit of full codification can be achieved by creating the collections</w:t>
      </w:r>
      <w:r w:rsidR="00F9240B" w:rsidRPr="00F9240B">
        <w:rPr>
          <w:sz w:val="12"/>
        </w:rPr>
        <w:t xml:space="preserve"> </w:t>
      </w:r>
      <w:r w:rsidRPr="00F9240B">
        <w:rPr>
          <w:sz w:val="12"/>
        </w:rPr>
        <w:t>described here.</w:t>
      </w:r>
      <w:r w:rsidR="00F9240B" w:rsidRPr="00F9240B">
        <w:rPr>
          <w:sz w:val="12"/>
        </w:rPr>
        <w:t xml:space="preserve"> </w:t>
      </w:r>
      <w:r w:rsidRPr="00F9240B">
        <w:rPr>
          <w:sz w:val="12"/>
        </w:rPr>
        <w:t>Once the collections are created, they should be made available widely; this is the goal of</w:t>
      </w:r>
      <w:r w:rsidR="00F9240B" w:rsidRPr="00F9240B">
        <w:rPr>
          <w:sz w:val="12"/>
        </w:rPr>
        <w:t xml:space="preserve"> </w:t>
      </w:r>
      <w:r w:rsidRPr="00F9240B">
        <w:rPr>
          <w:sz w:val="12"/>
        </w:rPr>
        <w:t>Section 4(c). These documents should be viewable and downloadable on the Internet without</w:t>
      </w:r>
      <w:r w:rsidR="00F9240B" w:rsidRPr="00F9240B">
        <w:rPr>
          <w:sz w:val="12"/>
        </w:rPr>
        <w:t xml:space="preserve"> </w:t>
      </w:r>
      <w:r w:rsidRPr="00F9240B">
        <w:rPr>
          <w:sz w:val="12"/>
        </w:rPr>
        <w:t>charge, and if feasible distributed as a hardcopy booklet in public libraries and courthouses for</w:t>
      </w:r>
      <w:r w:rsidR="00F9240B" w:rsidRPr="00F9240B">
        <w:rPr>
          <w:sz w:val="12"/>
        </w:rPr>
        <w:t xml:space="preserve"> </w:t>
      </w:r>
      <w:r w:rsidRPr="00F9240B">
        <w:rPr>
          <w:sz w:val="12"/>
        </w:rPr>
        <w:t>individuals without access to computers and the Internet.</w:t>
      </w:r>
      <w:r w:rsidR="00F9240B" w:rsidRPr="00F9240B">
        <w:rPr>
          <w:sz w:val="12"/>
        </w:rPr>
        <w:t xml:space="preserve"> </w:t>
      </w:r>
      <w:r w:rsidRPr="00F9240B">
        <w:rPr>
          <w:rStyle w:val="StyleUnderline"/>
        </w:rPr>
        <w:t>Many collateral consequences that will be important to individuals are imposed by</w:t>
      </w:r>
      <w:r w:rsidR="00F9240B">
        <w:rPr>
          <w:rStyle w:val="StyleUnderline"/>
        </w:rPr>
        <w:t xml:space="preserve"> </w:t>
      </w:r>
      <w:r w:rsidRPr="00F9240B">
        <w:rPr>
          <w:rStyle w:val="Emphasis"/>
        </w:rPr>
        <w:t>federal law,</w:t>
      </w:r>
      <w:r w:rsidRPr="00F9240B">
        <w:rPr>
          <w:sz w:val="12"/>
        </w:rPr>
        <w:t xml:space="preserve"> including deportation of non-citizens and ineligibility to possess firearms. This Act</w:t>
      </w:r>
      <w:r w:rsidR="00F9240B" w:rsidRPr="00F9240B">
        <w:rPr>
          <w:sz w:val="12"/>
        </w:rPr>
        <w:t xml:space="preserve"> </w:t>
      </w:r>
      <w:r w:rsidRPr="00F9240B">
        <w:rPr>
          <w:sz w:val="12"/>
        </w:rPr>
        <w:t>does not require each state to collect federal collateral sanctions. However, to assist in providing</w:t>
      </w:r>
      <w:r w:rsidR="00F9240B" w:rsidRPr="00F9240B">
        <w:rPr>
          <w:sz w:val="12"/>
        </w:rPr>
        <w:t xml:space="preserve"> </w:t>
      </w:r>
      <w:r w:rsidRPr="00F9240B">
        <w:rPr>
          <w:sz w:val="12"/>
        </w:rPr>
        <w:t>notice to defendants and facilitate compliance with the law, enacting jurisdictions must include</w:t>
      </w:r>
      <w:r w:rsidR="00F9240B" w:rsidRPr="00F9240B">
        <w:rPr>
          <w:sz w:val="12"/>
        </w:rPr>
        <w:t xml:space="preserve"> </w:t>
      </w:r>
      <w:r w:rsidRPr="00F9240B">
        <w:rPr>
          <w:sz w:val="12"/>
        </w:rPr>
        <w:t>in the collection a link to the most recent available collection of federal collateral sanctions. See</w:t>
      </w:r>
      <w:r w:rsidR="00F9240B" w:rsidRPr="00F9240B">
        <w:rPr>
          <w:sz w:val="12"/>
        </w:rPr>
        <w:t xml:space="preserve"> </w:t>
      </w:r>
      <w:r w:rsidRPr="00F9240B">
        <w:rPr>
          <w:sz w:val="12"/>
        </w:rPr>
        <w:t>KELLY SALZMANN &amp; MARGARET COLGATE LOVE, INTERNAL EXILE: COLLATERAL</w:t>
      </w:r>
      <w:r w:rsidR="00F9240B" w:rsidRPr="00F9240B">
        <w:rPr>
          <w:sz w:val="12"/>
        </w:rPr>
        <w:t xml:space="preserve"> </w:t>
      </w:r>
      <w:r w:rsidRPr="00F9240B">
        <w:rPr>
          <w:sz w:val="12"/>
        </w:rPr>
        <w:t>CONSEQUENCES OF CONVICTION IN FEDERAL LAWS AND REGULATIONS (ABA 2009)</w:t>
      </w:r>
      <w:r w:rsidR="00F9240B" w:rsidRPr="00F9240B">
        <w:rPr>
          <w:sz w:val="12"/>
        </w:rPr>
        <w:t xml:space="preserve"> </w:t>
      </w:r>
      <w:r w:rsidRPr="00F9240B">
        <w:rPr>
          <w:sz w:val="12"/>
        </w:rPr>
        <w:t>(http://www.abanet.org/cecs/internalexile.pdf). See also Court Security Improvement Act of</w:t>
      </w:r>
      <w:r w:rsidR="00F9240B" w:rsidRPr="00F9240B">
        <w:rPr>
          <w:sz w:val="12"/>
        </w:rPr>
        <w:t xml:space="preserve"> </w:t>
      </w:r>
      <w:r w:rsidRPr="00F9240B">
        <w:rPr>
          <w:sz w:val="12"/>
        </w:rPr>
        <w:t>2007 § 510(a), 121 Stat. at 2543 (directing the National Institute of Justice to collect federal as</w:t>
      </w:r>
      <w:r w:rsidR="00F9240B" w:rsidRPr="00F9240B">
        <w:rPr>
          <w:sz w:val="12"/>
        </w:rPr>
        <w:t xml:space="preserve"> </w:t>
      </w:r>
      <w:r w:rsidRPr="00F9240B">
        <w:rPr>
          <w:sz w:val="12"/>
        </w:rPr>
        <w:t xml:space="preserve">well as state collateral consequences). </w:t>
      </w:r>
    </w:p>
    <w:p w14:paraId="6F2DCE73" w14:textId="5BE452F9" w:rsidR="00660452" w:rsidRDefault="00660452" w:rsidP="00660452">
      <w:pPr>
        <w:pStyle w:val="Heading4"/>
      </w:pPr>
      <w:r>
        <w:t xml:space="preserve">That guts the cp --- the courts will interpret it differently than intended and </w:t>
      </w:r>
      <w:r w:rsidR="00533539">
        <w:t xml:space="preserve">undermine enforcement --- durable fiat </w:t>
      </w:r>
      <w:proofErr w:type="gramStart"/>
      <w:r w:rsidR="00533539">
        <w:t>doesn’t</w:t>
      </w:r>
      <w:proofErr w:type="gramEnd"/>
      <w:r w:rsidR="00533539">
        <w:t xml:space="preserve"> solve </w:t>
      </w:r>
    </w:p>
    <w:p w14:paraId="61501184" w14:textId="57BCE6D8" w:rsidR="00533539" w:rsidRDefault="00533539" w:rsidP="00533539"/>
    <w:p w14:paraId="04F0C9E9" w14:textId="4D645B58" w:rsidR="00533539" w:rsidRDefault="00533539" w:rsidP="00533539">
      <w:pPr>
        <w:rPr>
          <w:rStyle w:val="Style13ptBold"/>
        </w:rPr>
      </w:pPr>
      <w:r>
        <w:rPr>
          <w:rStyle w:val="Style13ptBold"/>
        </w:rPr>
        <w:t>Maltzman et al ‘14</w:t>
      </w:r>
    </w:p>
    <w:p w14:paraId="1E1125D9" w14:textId="1FF140DD" w:rsidR="00533539" w:rsidRPr="00533539" w:rsidRDefault="00533539" w:rsidP="00533539">
      <w:r w:rsidRPr="00533539">
        <w:t xml:space="preserve">(Forrest Maltzman, George Washington University </w:t>
      </w:r>
      <w:proofErr w:type="spellStart"/>
      <w:r w:rsidRPr="00533539">
        <w:t>Alyx</w:t>
      </w:r>
      <w:proofErr w:type="spellEnd"/>
      <w:r w:rsidRPr="00533539">
        <w:t xml:space="preserve"> Mark, George Washington University Charles R. </w:t>
      </w:r>
      <w:proofErr w:type="spellStart"/>
      <w:r w:rsidRPr="00533539">
        <w:t>Shipan</w:t>
      </w:r>
      <w:proofErr w:type="spellEnd"/>
      <w:r w:rsidRPr="00533539">
        <w:t xml:space="preserve">, University </w:t>
      </w:r>
      <w:proofErr w:type="gramStart"/>
      <w:r w:rsidRPr="00533539">
        <w:t>Of</w:t>
      </w:r>
      <w:proofErr w:type="gramEnd"/>
      <w:r w:rsidRPr="00533539">
        <w:t xml:space="preserve"> Michigan Michael A. Zilis, </w:t>
      </w:r>
      <w:proofErr w:type="spellStart"/>
      <w:r w:rsidRPr="00533539">
        <w:t>Depaul</w:t>
      </w:r>
      <w:proofErr w:type="spellEnd"/>
      <w:r w:rsidRPr="00533539">
        <w:t xml:space="preserve"> University, “Stepping on Congress,” Journal of Law and Courts (Fall 2014), </w:t>
      </w:r>
      <w:proofErr w:type="spellStart"/>
      <w:r w:rsidRPr="00533539">
        <w:t>pg</w:t>
      </w:r>
      <w:proofErr w:type="spellEnd"/>
      <w:r w:rsidRPr="00533539">
        <w:t xml:space="preserve"> JSTOR//um-</w:t>
      </w:r>
      <w:proofErr w:type="spellStart"/>
      <w:r w:rsidRPr="00533539">
        <w:t>ef</w:t>
      </w:r>
      <w:proofErr w:type="spellEnd"/>
      <w:r w:rsidRPr="00533539">
        <w:t>)</w:t>
      </w:r>
    </w:p>
    <w:p w14:paraId="0E882080" w14:textId="3D784014" w:rsidR="00660452" w:rsidRPr="00660452" w:rsidRDefault="00660452" w:rsidP="00660452">
      <w:pPr>
        <w:rPr>
          <w:sz w:val="8"/>
        </w:rPr>
      </w:pPr>
      <w:r w:rsidRPr="00660452">
        <w:rPr>
          <w:rStyle w:val="StyleUnderline"/>
        </w:rPr>
        <w:t>Although Congress initially creates a new law</w:t>
      </w:r>
      <w:r w:rsidRPr="00660452">
        <w:rPr>
          <w:sz w:val="8"/>
        </w:rPr>
        <w:t xml:space="preserve">, </w:t>
      </w:r>
      <w:r w:rsidRPr="00660452">
        <w:rPr>
          <w:rStyle w:val="StyleUnderline"/>
        </w:rPr>
        <w:t>the effect of a new law on public life is</w:t>
      </w:r>
      <w:r>
        <w:rPr>
          <w:rStyle w:val="StyleUnderline"/>
        </w:rPr>
        <w:t xml:space="preserve"> </w:t>
      </w:r>
      <w:r w:rsidRPr="00660452">
        <w:rPr>
          <w:rStyle w:val="StyleUnderline"/>
        </w:rPr>
        <w:t xml:space="preserve">dependent on the actions of </w:t>
      </w:r>
      <w:proofErr w:type="gramStart"/>
      <w:r w:rsidRPr="00660452">
        <w:rPr>
          <w:sz w:val="8"/>
        </w:rPr>
        <w:t>a number of</w:t>
      </w:r>
      <w:proofErr w:type="gramEnd"/>
      <w:r w:rsidRPr="00660452">
        <w:rPr>
          <w:sz w:val="8"/>
        </w:rPr>
        <w:t xml:space="preserve"> political </w:t>
      </w:r>
      <w:r w:rsidRPr="00660452">
        <w:rPr>
          <w:rStyle w:val="Emphasis"/>
        </w:rPr>
        <w:t>actors outside of Congress</w:t>
      </w:r>
      <w:r w:rsidRPr="00660452">
        <w:rPr>
          <w:sz w:val="8"/>
        </w:rPr>
        <w:t xml:space="preserve">. Agencies, for example, have some leeway in choosing how to implement the law. The president might use his bully pulpit to draw attention to specific aspects of the law or away from other aspects. And </w:t>
      </w:r>
      <w:proofErr w:type="gramStart"/>
      <w:r w:rsidRPr="00660452">
        <w:rPr>
          <w:sz w:val="8"/>
        </w:rPr>
        <w:t>of course</w:t>
      </w:r>
      <w:proofErr w:type="gramEnd"/>
      <w:r w:rsidRPr="00533539">
        <w:rPr>
          <w:rStyle w:val="StyleUnderline"/>
        </w:rPr>
        <w:t xml:space="preserve"> the</w:t>
      </w:r>
      <w:r w:rsidRPr="00660452">
        <w:rPr>
          <w:rStyle w:val="StyleUnderline"/>
        </w:rPr>
        <w:t xml:space="preserve"> courts, with their power of statutory interpretation, can</w:t>
      </w:r>
      <w:r>
        <w:rPr>
          <w:rStyle w:val="StyleUnderline"/>
        </w:rPr>
        <w:t xml:space="preserve"> </w:t>
      </w:r>
      <w:r w:rsidRPr="00660452">
        <w:rPr>
          <w:rStyle w:val="StyleUnderline"/>
        </w:rPr>
        <w:t xml:space="preserve">dramatically affect both </w:t>
      </w:r>
      <w:r w:rsidRPr="00660452">
        <w:rPr>
          <w:rStyle w:val="Emphasis"/>
        </w:rPr>
        <w:t>the effects</w:t>
      </w:r>
      <w:r w:rsidRPr="00660452">
        <w:rPr>
          <w:rStyle w:val="StyleUnderline"/>
        </w:rPr>
        <w:t xml:space="preserve"> and the </w:t>
      </w:r>
      <w:r w:rsidRPr="00660452">
        <w:rPr>
          <w:rStyle w:val="Emphasis"/>
        </w:rPr>
        <w:t>durability of a law</w:t>
      </w:r>
      <w:r w:rsidRPr="00660452">
        <w:rPr>
          <w:sz w:val="8"/>
        </w:rPr>
        <w:t xml:space="preserve">. How a law shapes public life is in fact frequently the result of decisions that the judiciary makes. </w:t>
      </w:r>
      <w:r w:rsidRPr="00660452">
        <w:rPr>
          <w:rStyle w:val="StyleUnderline"/>
        </w:rPr>
        <w:t>A court interpretation of a key provision in a major piece of legislation</w:t>
      </w:r>
      <w:r>
        <w:rPr>
          <w:rStyle w:val="StyleUnderline"/>
        </w:rPr>
        <w:t xml:space="preserve"> </w:t>
      </w:r>
      <w:r w:rsidRPr="00660452">
        <w:rPr>
          <w:rStyle w:val="StyleUnderline"/>
        </w:rPr>
        <w:t>can be as important a part of a law’s effect as the drafting and enacting of the provision</w:t>
      </w:r>
      <w:r>
        <w:rPr>
          <w:rStyle w:val="StyleUnderline"/>
        </w:rPr>
        <w:t xml:space="preserve"> </w:t>
      </w:r>
      <w:r w:rsidRPr="00660452">
        <w:rPr>
          <w:rStyle w:val="StyleUnderline"/>
        </w:rPr>
        <w:t>itself</w:t>
      </w:r>
      <w:r w:rsidRPr="00660452">
        <w:rPr>
          <w:sz w:val="8"/>
        </w:rPr>
        <w:t xml:space="preserve">. Yet only a limited amount of attention has been paid to the life of legislation after it is enacted, and even </w:t>
      </w:r>
      <w:proofErr w:type="gramStart"/>
      <w:r w:rsidRPr="00660452">
        <w:rPr>
          <w:sz w:val="8"/>
        </w:rPr>
        <w:t>then</w:t>
      </w:r>
      <w:proofErr w:type="gramEnd"/>
      <w:r w:rsidRPr="00660452">
        <w:rPr>
          <w:sz w:val="8"/>
        </w:rPr>
        <w:t xml:space="preserve"> the focus has been on questions involving when Congress revisits and revises earlier laws. But Congress is not the only—or even the most important— institution that shapes law after its enactment. And yet scholars know </w:t>
      </w:r>
      <w:proofErr w:type="gramStart"/>
      <w:r w:rsidRPr="00660452">
        <w:rPr>
          <w:sz w:val="8"/>
        </w:rPr>
        <w:t>very little</w:t>
      </w:r>
      <w:proofErr w:type="gramEnd"/>
      <w:r w:rsidRPr="00660452">
        <w:rPr>
          <w:sz w:val="8"/>
        </w:rPr>
        <w:t xml:space="preserve"> about the </w:t>
      </w:r>
      <w:r w:rsidRPr="00660452">
        <w:rPr>
          <w:rStyle w:val="StyleUnderline"/>
        </w:rPr>
        <w:t>conditions that make the courts more likely to shape legislation through statutory interpretation</w:t>
      </w:r>
      <w:r w:rsidRPr="00660452">
        <w:rPr>
          <w:sz w:val="8"/>
        </w:rPr>
        <w:t xml:space="preserve">, even though this function of the courts plays a crucial role in determining the meaning, scope, and consequences of a law. We investigate what leads the courts to weigh in with interpretations of laws that have a major effect on public life, focusing </w:t>
      </w:r>
      <w:proofErr w:type="gramStart"/>
      <w:r w:rsidRPr="00660452">
        <w:rPr>
          <w:sz w:val="8"/>
        </w:rPr>
        <w:t>in particular on</w:t>
      </w:r>
      <w:proofErr w:type="gramEnd"/>
      <w:r w:rsidRPr="00660452">
        <w:rPr>
          <w:sz w:val="8"/>
        </w:rPr>
        <w:t xml:space="preserve"> the judiciary’s statutory interpretation role. The question has important implications for work on legislative durability, which commonly focuses on legislative amendments alone. Our focus is not on trying to predict whether courts will overturn a specific law, as other scholars have done </w:t>
      </w:r>
      <w:proofErr w:type="spellStart"/>
      <w:r w:rsidRPr="00660452">
        <w:rPr>
          <w:sz w:val="8"/>
        </w:rPr>
        <w:t>ðe.g</w:t>
      </w:r>
      <w:proofErr w:type="spellEnd"/>
      <w:r w:rsidRPr="00660452">
        <w:rPr>
          <w:sz w:val="8"/>
        </w:rPr>
        <w:t xml:space="preserve">., Harvey and Friedman 2006Þ. Rather, we are interested in examining a different, although related, question: What determines the likelihood that the judiciary will be asked to interpret a major law? To answer this question, we explore why some laws take longer to reach the courts than others. By exploring the timing of judicial engagement, we gain a better understanding of the factors that determine whether the judiciary plays a key role in the life of the law. After all, some laws appear in court soon after they are enacted. Others, however, go for years without being considered by the courts or may never even reach the courts. What explains this difference? To address this question, our analysis focuses on two broad categories of potential explanatory factors. First, we examine whether political conditions at the time a bill is enacted into law determine when courts become engaged in the interpretation of a law. Second, we examine whether a specific type of legislative provision—severability clauses— affects judicial consideration. Our work contributes to a nascent literature involving legislative durability, broadening its focus to the conditions and mechanisms that shape judicial involvement in the </w:t>
      </w:r>
      <w:proofErr w:type="spellStart"/>
      <w:r w:rsidRPr="00660452">
        <w:rPr>
          <w:sz w:val="8"/>
        </w:rPr>
        <w:t>postenactment</w:t>
      </w:r>
      <w:proofErr w:type="spellEnd"/>
      <w:r w:rsidRPr="00660452">
        <w:rPr>
          <w:sz w:val="8"/>
        </w:rPr>
        <w:t xml:space="preserve"> life of laws. Once a bill is passed by Congress and signed into law by the president, it may remain unchanged for years, or it might be amended soon thereafter. Several recent studies have provided insight into the factors that shape legislative durability. One potential set of explanatory factors concerns the general political conditions at the time of enactment, such as whether control of government is divided. Maltzman and </w:t>
      </w:r>
      <w:proofErr w:type="spellStart"/>
      <w:r w:rsidRPr="00660452">
        <w:rPr>
          <w:sz w:val="8"/>
        </w:rPr>
        <w:t>Shipan</w:t>
      </w:r>
      <w:proofErr w:type="spellEnd"/>
      <w:r w:rsidRPr="00660452">
        <w:rPr>
          <w:sz w:val="8"/>
        </w:rPr>
        <w:t xml:space="preserve"> ð2008, 2012Þ, for example, argue that </w:t>
      </w:r>
      <w:r w:rsidRPr="00660452">
        <w:rPr>
          <w:rStyle w:val="StyleUnderline"/>
        </w:rPr>
        <w:t xml:space="preserve">laws created </w:t>
      </w:r>
      <w:r w:rsidRPr="00660452">
        <w:rPr>
          <w:sz w:val="8"/>
        </w:rPr>
        <w:t xml:space="preserve">under unified government survive longer because they are more adaptable and more cohesive, while those enacted in spite of bicameral disagreement or </w:t>
      </w:r>
      <w:r w:rsidRPr="00660452">
        <w:rPr>
          <w:rStyle w:val="Emphasis"/>
        </w:rPr>
        <w:t>under divided government are more likely to be interpreted and changed</w:t>
      </w:r>
      <w:r w:rsidRPr="00660452">
        <w:rPr>
          <w:sz w:val="8"/>
        </w:rPr>
        <w:t xml:space="preserve">. Other studies provide both agreement and argument with this initial study. Ragusa ð2010Þ, for example, finds that laws are indeed sturdier and less likely to be amended in the short term if they are enacted by unified government but also that, over a longer period, laws enacted under divided government might be more durable because their enactment requires diverse support. Looking more broadly at government programs, Berry, Burden, and Howell ð2010Þ find that a program created under divided government is more likely to be killed than a program created under unified government.1 And Dodd and </w:t>
      </w:r>
      <w:proofErr w:type="spellStart"/>
      <w:r w:rsidRPr="00660452">
        <w:rPr>
          <w:sz w:val="8"/>
        </w:rPr>
        <w:t>Schraufnagel</w:t>
      </w:r>
      <w:proofErr w:type="spellEnd"/>
      <w:r w:rsidRPr="00660452">
        <w:rPr>
          <w:sz w:val="8"/>
        </w:rPr>
        <w:t xml:space="preserve"> ð2009Þ argue that the relationship between durability and polarization might be even more complex. Moderate polarization leads to legislative activity and repeals, while high polarization leads to stalemate, and low polarization fails to create the level of ideological debate that would bring about legislative progression. The characteristics of legislation provide another potential set of explanatory factors. Maltzman and </w:t>
      </w:r>
      <w:proofErr w:type="spellStart"/>
      <w:r w:rsidRPr="00660452">
        <w:rPr>
          <w:sz w:val="8"/>
        </w:rPr>
        <w:t>Shipan</w:t>
      </w:r>
      <w:proofErr w:type="spellEnd"/>
      <w:r w:rsidRPr="00660452">
        <w:rPr>
          <w:sz w:val="8"/>
        </w:rPr>
        <w:t xml:space="preserve"> ð2008, 2012Þ find, for example, that several factors specific to a law affect its durability. Laws are less durable when they are complex, when they contain sunset provisions, and when the initial passage vote demonstrates that the enacting Congress was divided over whether to adopt the law. Adler and Wilkerson ð2012Þ provide additional support for the effect of sunset provisions, showing that these expirations play a key role in determining when Congress amends earlier laws. And the public policy literature includes </w:t>
      </w:r>
      <w:proofErr w:type="gramStart"/>
      <w:r w:rsidRPr="00660452">
        <w:rPr>
          <w:sz w:val="8"/>
        </w:rPr>
        <w:t>a number of</w:t>
      </w:r>
      <w:proofErr w:type="gramEnd"/>
      <w:r w:rsidRPr="00660452">
        <w:rPr>
          <w:sz w:val="8"/>
        </w:rPr>
        <w:t xml:space="preserve"> insightful studies that demonstrate the ways in which initial policy choices affect later actions in the same policy area </w:t>
      </w:r>
      <w:proofErr w:type="spellStart"/>
      <w:r w:rsidRPr="00660452">
        <w:rPr>
          <w:sz w:val="8"/>
        </w:rPr>
        <w:t>ðe.g</w:t>
      </w:r>
      <w:proofErr w:type="spellEnd"/>
      <w:r w:rsidRPr="00660452">
        <w:rPr>
          <w:sz w:val="8"/>
        </w:rPr>
        <w:t xml:space="preserve">., </w:t>
      </w:r>
      <w:proofErr w:type="spellStart"/>
      <w:r w:rsidRPr="00660452">
        <w:rPr>
          <w:sz w:val="8"/>
        </w:rPr>
        <w:t>Patashnik</w:t>
      </w:r>
      <w:proofErr w:type="spellEnd"/>
      <w:r w:rsidRPr="00660452">
        <w:rPr>
          <w:sz w:val="8"/>
        </w:rPr>
        <w:t xml:space="preserve"> 2003, 2008Þ. The above literature addresses legislative and executive responses to past legislative enactments. Such studies, however, ignore another institutional actor that can significantly affect the life of a law: the courts. Some research does demonstrate how Congress attempts to </w:t>
      </w:r>
      <w:proofErr w:type="gramStart"/>
      <w:r w:rsidRPr="00660452">
        <w:rPr>
          <w:sz w:val="8"/>
        </w:rPr>
        <w:t>plan ahead</w:t>
      </w:r>
      <w:proofErr w:type="gramEnd"/>
      <w:r w:rsidRPr="00660452">
        <w:rPr>
          <w:sz w:val="8"/>
        </w:rPr>
        <w:t xml:space="preserve"> for judicial involvement in the policy-making process </w:t>
      </w:r>
      <w:proofErr w:type="spellStart"/>
      <w:r w:rsidRPr="00660452">
        <w:rPr>
          <w:sz w:val="8"/>
        </w:rPr>
        <w:t>ðe.g</w:t>
      </w:r>
      <w:proofErr w:type="spellEnd"/>
      <w:r w:rsidRPr="00660452">
        <w:rPr>
          <w:sz w:val="8"/>
        </w:rPr>
        <w:t xml:space="preserve">., Light 1992; </w:t>
      </w:r>
      <w:proofErr w:type="spellStart"/>
      <w:r w:rsidRPr="00660452">
        <w:rPr>
          <w:sz w:val="8"/>
        </w:rPr>
        <w:t>Shipan</w:t>
      </w:r>
      <w:proofErr w:type="spellEnd"/>
      <w:r w:rsidRPr="00660452">
        <w:rPr>
          <w:sz w:val="8"/>
        </w:rPr>
        <w:t xml:space="preserve"> 1997, 2000; Randazzo, Waterman, and Fine 2006; Smith 2006Þ. And other studies note how </w:t>
      </w:r>
      <w:r w:rsidRPr="00533539">
        <w:rPr>
          <w:rStyle w:val="StyleUnderline"/>
        </w:rPr>
        <w:t>c</w:t>
      </w:r>
      <w:r w:rsidRPr="00660452">
        <w:rPr>
          <w:rStyle w:val="StyleUnderline"/>
        </w:rPr>
        <w:t>ertain elements of legislation, such as a lack of clarity in defining key</w:t>
      </w:r>
      <w:r>
        <w:rPr>
          <w:rStyle w:val="StyleUnderline"/>
        </w:rPr>
        <w:t xml:space="preserve"> </w:t>
      </w:r>
      <w:r w:rsidRPr="00660452">
        <w:rPr>
          <w:rStyle w:val="StyleUnderline"/>
        </w:rPr>
        <w:t>terms, can make statutory interpretation more likely</w:t>
      </w:r>
      <w:r w:rsidRPr="00660452">
        <w:rPr>
          <w:sz w:val="8"/>
        </w:rPr>
        <w:t xml:space="preserve"> in certain cases </w:t>
      </w:r>
      <w:proofErr w:type="spellStart"/>
      <w:r w:rsidRPr="00660452">
        <w:rPr>
          <w:sz w:val="8"/>
        </w:rPr>
        <w:t>ðMelnick</w:t>
      </w:r>
      <w:proofErr w:type="spellEnd"/>
      <w:r w:rsidRPr="00660452">
        <w:rPr>
          <w:sz w:val="8"/>
        </w:rPr>
        <w:t xml:space="preserve"> 1994, 86–88; see generally </w:t>
      </w:r>
      <w:proofErr w:type="spellStart"/>
      <w:r w:rsidRPr="00660452">
        <w:rPr>
          <w:sz w:val="8"/>
        </w:rPr>
        <w:t>Crespi</w:t>
      </w:r>
      <w:proofErr w:type="spellEnd"/>
      <w:r w:rsidRPr="00660452">
        <w:rPr>
          <w:sz w:val="8"/>
        </w:rPr>
        <w:t xml:space="preserve"> 2000Þ. Furthermore, there are numerous instances in which legislative histories make clear that lawmakers strike provisions that may alter the likelihood of judicial involvement because of either a disagreement between the chambers or a threat of an executive veto </w:t>
      </w:r>
      <w:proofErr w:type="spellStart"/>
      <w:r w:rsidRPr="00660452">
        <w:rPr>
          <w:sz w:val="8"/>
        </w:rPr>
        <w:t>ðe.g</w:t>
      </w:r>
      <w:proofErr w:type="spellEnd"/>
      <w:r w:rsidRPr="00660452">
        <w:rPr>
          <w:sz w:val="8"/>
        </w:rPr>
        <w:t xml:space="preserve">., Cameron 2000Þ. 2 But present scholarship does not thoroughly address the likelihood that these elements consistently and systematically influence the duration of laws. This gap in the literature is troubling for a variety of reasons. It obscures a chance to add theoretical insight to a debate </w:t>
      </w:r>
      <w:r w:rsidRPr="00660452">
        <w:rPr>
          <w:rStyle w:val="Emphasis"/>
        </w:rPr>
        <w:t>over legislative durability</w:t>
      </w:r>
      <w:r w:rsidRPr="00660452">
        <w:rPr>
          <w:sz w:val="8"/>
        </w:rPr>
        <w:t xml:space="preserve"> since </w:t>
      </w:r>
      <w:r w:rsidRPr="00660452">
        <w:rPr>
          <w:rStyle w:val="StyleUnderline"/>
        </w:rPr>
        <w:t>the factors that influence how the legislature</w:t>
      </w:r>
      <w:r>
        <w:rPr>
          <w:rStyle w:val="StyleUnderline"/>
        </w:rPr>
        <w:t xml:space="preserve"> </w:t>
      </w:r>
      <w:r w:rsidRPr="00660452">
        <w:rPr>
          <w:rStyle w:val="StyleUnderline"/>
        </w:rPr>
        <w:t>shapes legislation are</w:t>
      </w:r>
      <w:r w:rsidRPr="00660452">
        <w:rPr>
          <w:sz w:val="8"/>
        </w:rPr>
        <w:t xml:space="preserve"> potentially </w:t>
      </w:r>
      <w:r w:rsidRPr="00660452">
        <w:rPr>
          <w:rStyle w:val="Emphasis"/>
        </w:rPr>
        <w:t>distinct from those influencing the judiciary</w:t>
      </w:r>
      <w:r w:rsidRPr="00660452">
        <w:rPr>
          <w:sz w:val="8"/>
        </w:rPr>
        <w:t xml:space="preserve">. It also overlooks a key practical consideration: that </w:t>
      </w:r>
      <w:r w:rsidRPr="00660452">
        <w:rPr>
          <w:rStyle w:val="StyleUnderline"/>
        </w:rPr>
        <w:t>the shape that most major legislation takes</w:t>
      </w:r>
      <w:r>
        <w:rPr>
          <w:rStyle w:val="StyleUnderline"/>
        </w:rPr>
        <w:t xml:space="preserve"> </w:t>
      </w:r>
      <w:r w:rsidRPr="00660452">
        <w:rPr>
          <w:rStyle w:val="StyleUnderline"/>
        </w:rPr>
        <w:t>after its enactment, and its attendant influence on public life, is very likely influenced by</w:t>
      </w:r>
      <w:r>
        <w:rPr>
          <w:rStyle w:val="StyleUnderline"/>
        </w:rPr>
        <w:t xml:space="preserve"> </w:t>
      </w:r>
      <w:r w:rsidRPr="00660452">
        <w:rPr>
          <w:rStyle w:val="StyleUnderline"/>
        </w:rPr>
        <w:t>the courts</w:t>
      </w:r>
      <w:r w:rsidRPr="00660452">
        <w:rPr>
          <w:sz w:val="8"/>
        </w:rPr>
        <w:t xml:space="preserve"> Overall, then, we are starting to gain an understanding of how initial conditions, such as divided government, can affect the length of time before Congress and the president change laws from their original form. Similarly, we have learned that features specific to a law affect its durability. What we do not know, however, is whether these sorts of factors—the conditions at time of enactment or the specific characteristics of a law— might also influence the likelihood that legislation will reach the courts. To investigate these potential effects, we next take a closer look at why and when courts examine and interpret statutes. Courts generally are leery of appearing to perform a lawmaking function. Whereas Congress explicitly alters laws with formal amendments, courts typically avoid this type of language. Nonetheless, their decision to consider a challenge to a law plays an important role in the </w:t>
      </w:r>
      <w:proofErr w:type="spellStart"/>
      <w:r w:rsidRPr="00660452">
        <w:rPr>
          <w:sz w:val="8"/>
        </w:rPr>
        <w:t>postenactment</w:t>
      </w:r>
      <w:proofErr w:type="spellEnd"/>
      <w:r w:rsidRPr="00660452">
        <w:rPr>
          <w:sz w:val="8"/>
        </w:rPr>
        <w:t xml:space="preserve"> life of legislation. The judiciary’s involvement, after all, can provide an opportunity for judges to implement their preferred outcomes, although in some instances court involvement is purely innocuous in terms of policy outcomes. But even if judicial participation is more innocuous—in the sense that it is not the result of strategic attempts by judges to implement policy that is consistent with their ideal points—involvement by the courts raises questions about the life of legislation after its enactment. The responsibilities of courts in hearing a challenge to legislation are broad and can vary from case to case. One significant power exercised by courts involves the review of congressional legislation to determine its constitutionality. Although constitutional challenges have important implications for a law’s durability, scholars have started to gain an understanding of the factors that influence the likelihood of judicial review </w:t>
      </w:r>
      <w:proofErr w:type="spellStart"/>
      <w:r w:rsidRPr="00660452">
        <w:rPr>
          <w:sz w:val="8"/>
        </w:rPr>
        <w:t>ðHarvey</w:t>
      </w:r>
      <w:proofErr w:type="spellEnd"/>
      <w:r w:rsidRPr="00660452">
        <w:rPr>
          <w:sz w:val="8"/>
        </w:rPr>
        <w:t xml:space="preserve"> and Friedman 2006, 2009; Segal, </w:t>
      </w:r>
      <w:proofErr w:type="spellStart"/>
      <w:r w:rsidRPr="00660452">
        <w:rPr>
          <w:sz w:val="8"/>
        </w:rPr>
        <w:t>Westerland</w:t>
      </w:r>
      <w:proofErr w:type="spellEnd"/>
      <w:r w:rsidRPr="00660452">
        <w:rPr>
          <w:sz w:val="8"/>
        </w:rPr>
        <w:t xml:space="preserve">, and Lindquist 2011Þ. Less attention, however, has been paid to </w:t>
      </w:r>
      <w:r w:rsidRPr="00660452">
        <w:rPr>
          <w:rStyle w:val="StyleUnderline"/>
        </w:rPr>
        <w:t>another function of courts: offering statutory interpretations</w:t>
      </w:r>
      <w:r w:rsidRPr="00660452">
        <w:rPr>
          <w:sz w:val="8"/>
        </w:rPr>
        <w:t xml:space="preserve"> </w:t>
      </w:r>
      <w:r w:rsidRPr="00660452">
        <w:rPr>
          <w:rStyle w:val="StyleUnderline"/>
        </w:rPr>
        <w:t>of laws, independent of their constitutionality</w:t>
      </w:r>
      <w:r w:rsidRPr="00660452">
        <w:rPr>
          <w:sz w:val="8"/>
        </w:rPr>
        <w:t xml:space="preserve">. This gap in knowledge is significant because statutory interpretation constitutes a chief function of the courts, with major consequences for the meaning and influence of legislation. Normally, </w:t>
      </w:r>
      <w:r w:rsidRPr="00660452">
        <w:rPr>
          <w:rStyle w:val="StyleUnderline"/>
        </w:rPr>
        <w:t>courts conduct</w:t>
      </w:r>
      <w:r>
        <w:rPr>
          <w:rStyle w:val="StyleUnderline"/>
        </w:rPr>
        <w:t xml:space="preserve"> </w:t>
      </w:r>
      <w:r w:rsidRPr="00660452">
        <w:rPr>
          <w:rStyle w:val="StyleUnderline"/>
        </w:rPr>
        <w:t>statutory interpretation via an assessment of the plain text meaning</w:t>
      </w:r>
      <w:r w:rsidRPr="00660452">
        <w:rPr>
          <w:sz w:val="8"/>
        </w:rPr>
        <w:t xml:space="preserve">, supplemented by their reliance on legislative histories and accepted canons of statutory construction </w:t>
      </w:r>
      <w:proofErr w:type="spellStart"/>
      <w:r w:rsidRPr="00660452">
        <w:rPr>
          <w:sz w:val="8"/>
        </w:rPr>
        <w:t>ðEskridge</w:t>
      </w:r>
      <w:proofErr w:type="spellEnd"/>
      <w:r w:rsidRPr="00660452">
        <w:rPr>
          <w:sz w:val="8"/>
        </w:rPr>
        <w:t xml:space="preserve"> and </w:t>
      </w:r>
      <w:proofErr w:type="spellStart"/>
      <w:r w:rsidRPr="00660452">
        <w:rPr>
          <w:sz w:val="8"/>
        </w:rPr>
        <w:t>Frickey</w:t>
      </w:r>
      <w:proofErr w:type="spellEnd"/>
      <w:r w:rsidRPr="00660452">
        <w:rPr>
          <w:sz w:val="8"/>
        </w:rPr>
        <w:t xml:space="preserve"> 1990; Kim 2008Þ. </w:t>
      </w:r>
      <w:r w:rsidRPr="00660452">
        <w:rPr>
          <w:rStyle w:val="StyleUnderline"/>
        </w:rPr>
        <w:t>Although courts cannot strike down legislation</w:t>
      </w:r>
      <w:r>
        <w:rPr>
          <w:rStyle w:val="StyleUnderline"/>
        </w:rPr>
        <w:t xml:space="preserve"> </w:t>
      </w:r>
      <w:r w:rsidRPr="00660452">
        <w:rPr>
          <w:rStyle w:val="StyleUnderline"/>
        </w:rPr>
        <w:t>absent a constitutional challenge,</w:t>
      </w:r>
      <w:r w:rsidRPr="00660452">
        <w:rPr>
          <w:sz w:val="8"/>
        </w:rPr>
        <w:t xml:space="preserve"> </w:t>
      </w:r>
      <w:r w:rsidRPr="00660452">
        <w:rPr>
          <w:rStyle w:val="Emphasis"/>
        </w:rPr>
        <w:t>they may alter its meaning in important ways through</w:t>
      </w:r>
      <w:r>
        <w:rPr>
          <w:rStyle w:val="Emphasis"/>
        </w:rPr>
        <w:t xml:space="preserve"> </w:t>
      </w:r>
      <w:r w:rsidRPr="00660452">
        <w:rPr>
          <w:rStyle w:val="Emphasis"/>
        </w:rPr>
        <w:t>statutory interpretation.</w:t>
      </w:r>
      <w:r>
        <w:rPr>
          <w:rStyle w:val="Emphasis"/>
        </w:rPr>
        <w:t xml:space="preserve"> </w:t>
      </w:r>
      <w:r w:rsidRPr="00660452">
        <w:rPr>
          <w:sz w:val="8"/>
        </w:rPr>
        <w:t xml:space="preserve">One form of statutory interpretation requires courts to define provisions </w:t>
      </w:r>
      <w:r w:rsidRPr="00660452">
        <w:rPr>
          <w:rStyle w:val="Emphasis"/>
        </w:rPr>
        <w:t>and determine applications of vague legislation</w:t>
      </w:r>
      <w:r w:rsidRPr="00660452">
        <w:rPr>
          <w:sz w:val="8"/>
        </w:rPr>
        <w:t xml:space="preserve">. For instance, in United States v. </w:t>
      </w:r>
      <w:proofErr w:type="spellStart"/>
      <w:r w:rsidRPr="00660452">
        <w:rPr>
          <w:sz w:val="8"/>
        </w:rPr>
        <w:t>Weinreb</w:t>
      </w:r>
      <w:proofErr w:type="spellEnd"/>
      <w:r w:rsidRPr="00660452">
        <w:rPr>
          <w:sz w:val="8"/>
        </w:rPr>
        <w:t xml:space="preserve"> ð99 F. Supp. 763 ½S.D.N.Y. 1951Þ, claimants challenged the opacity of the Federal Insecticide, Fungicide, and Rodenticide Act </w:t>
      </w:r>
      <w:proofErr w:type="spellStart"/>
      <w:r w:rsidRPr="00660452">
        <w:rPr>
          <w:sz w:val="8"/>
        </w:rPr>
        <w:t>ðFIFRAÞ</w:t>
      </w:r>
      <w:proofErr w:type="spellEnd"/>
      <w:r w:rsidRPr="00660452">
        <w:rPr>
          <w:sz w:val="8"/>
        </w:rPr>
        <w:t xml:space="preserve"> of 1947 with respect to “economic poisons.” Nowhere in FIFRA was the word “disinfectant” used, and the defendants argued that the statute was not intended to apply to the sale and shipment of disinfectant products. The Southern District Court of New York, however, found that the statute covered disinfectants since other regulations regularly placed these substances under the umbrella of “fungicide.” </w:t>
      </w:r>
      <w:proofErr w:type="gramStart"/>
      <w:r w:rsidRPr="00660452">
        <w:rPr>
          <w:sz w:val="8"/>
        </w:rPr>
        <w:t>At the same time that</w:t>
      </w:r>
      <w:proofErr w:type="gramEnd"/>
      <w:r w:rsidRPr="00660452">
        <w:rPr>
          <w:sz w:val="8"/>
        </w:rPr>
        <w:t xml:space="preserve"> </w:t>
      </w:r>
      <w:r w:rsidRPr="00660452">
        <w:rPr>
          <w:rStyle w:val="StyleUnderline"/>
        </w:rPr>
        <w:t>court interpretations give meaning to legislation, they also define its scope</w:t>
      </w:r>
      <w:r w:rsidRPr="00660452">
        <w:rPr>
          <w:sz w:val="8"/>
        </w:rPr>
        <w:t xml:space="preserve">. Many laws delegate wide-ranging powers to agencies, while others lack specific information about how broadly they should apply </w:t>
      </w:r>
      <w:proofErr w:type="spellStart"/>
      <w:r w:rsidRPr="00660452">
        <w:rPr>
          <w:sz w:val="8"/>
        </w:rPr>
        <w:t>ðHuber</w:t>
      </w:r>
      <w:proofErr w:type="spellEnd"/>
      <w:r w:rsidRPr="00660452">
        <w:rPr>
          <w:sz w:val="8"/>
        </w:rPr>
        <w:t xml:space="preserve">, </w:t>
      </w:r>
      <w:proofErr w:type="spellStart"/>
      <w:r w:rsidRPr="00660452">
        <w:rPr>
          <w:sz w:val="8"/>
        </w:rPr>
        <w:t>Shipan</w:t>
      </w:r>
      <w:proofErr w:type="spellEnd"/>
      <w:r w:rsidRPr="00660452">
        <w:rPr>
          <w:sz w:val="8"/>
        </w:rPr>
        <w:t xml:space="preserve">, and </w:t>
      </w:r>
      <w:proofErr w:type="spellStart"/>
      <w:r w:rsidRPr="00660452">
        <w:rPr>
          <w:sz w:val="8"/>
        </w:rPr>
        <w:t>Pfahler</w:t>
      </w:r>
      <w:proofErr w:type="spellEnd"/>
      <w:r w:rsidRPr="00660452">
        <w:rPr>
          <w:sz w:val="8"/>
        </w:rPr>
        <w:t xml:space="preserve"> 2001; Huber and </w:t>
      </w:r>
      <w:proofErr w:type="spellStart"/>
      <w:r w:rsidRPr="00660452">
        <w:rPr>
          <w:sz w:val="8"/>
        </w:rPr>
        <w:t>Shipan</w:t>
      </w:r>
      <w:proofErr w:type="spellEnd"/>
      <w:r w:rsidRPr="00660452">
        <w:rPr>
          <w:sz w:val="8"/>
        </w:rPr>
        <w:t xml:space="preserve"> 2006Þ. </w:t>
      </w:r>
      <w:r w:rsidRPr="00660452">
        <w:rPr>
          <w:rStyle w:val="StyleUnderline"/>
        </w:rPr>
        <w:t>These features open laws to challenge in the court</w:t>
      </w:r>
      <w:r>
        <w:rPr>
          <w:rStyle w:val="StyleUnderline"/>
        </w:rPr>
        <w:t xml:space="preserve"> </w:t>
      </w:r>
      <w:r w:rsidRPr="00660452">
        <w:rPr>
          <w:rStyle w:val="StyleUnderline"/>
        </w:rPr>
        <w:t>system, which must resolve disputes about congressional intent in defining a law’s reach</w:t>
      </w:r>
      <w:r w:rsidRPr="00660452">
        <w:rPr>
          <w:sz w:val="8"/>
        </w:rPr>
        <w:t xml:space="preserve">. For instance, Accuracy in Media, Inc. v. FCC ð521 F.2d 288 ½D.C. Cir. 1975Þ concerned a complaint filed by the petitioners on behalf of television stations with the Federal Communications Commission </w:t>
      </w:r>
      <w:proofErr w:type="spellStart"/>
      <w:r w:rsidRPr="00660452">
        <w:rPr>
          <w:sz w:val="8"/>
        </w:rPr>
        <w:t>ðFCCÞ</w:t>
      </w:r>
      <w:proofErr w:type="spellEnd"/>
      <w:r w:rsidRPr="00660452">
        <w:rPr>
          <w:sz w:val="8"/>
        </w:rPr>
        <w:t xml:space="preserve"> against the Corporation for Public Broadcasting </w:t>
      </w:r>
      <w:proofErr w:type="spellStart"/>
      <w:r w:rsidRPr="00660452">
        <w:rPr>
          <w:sz w:val="8"/>
        </w:rPr>
        <w:t>ðCPBÞ</w:t>
      </w:r>
      <w:proofErr w:type="spellEnd"/>
      <w:r w:rsidRPr="00660452">
        <w:rPr>
          <w:sz w:val="8"/>
        </w:rPr>
        <w:t xml:space="preserve">. Accuracy in Media, contended that programming provided by the CPB, which dealt with sex education and the criminal justice system, was not objective and had asked the FCC to review the CPB programming relative to the mandate of the Public Broadcasting Act of 1967. The District of Columbia Circuit Court, however, found that neither the language nor the legislative history of the Public Broadcasting Act or the Federal Communications Act authorized the enforcement of the CPB by the FCC. Another way that courts define scope involves determining to whom the laws apply. In so doing, their interpretations determine who maintains responsibility for carrying out laws and how these actors will apply legislative provisions. Consider a dispute about the scope of the No Child Left Behind Act </w:t>
      </w:r>
      <w:proofErr w:type="spellStart"/>
      <w:r w:rsidRPr="00660452">
        <w:rPr>
          <w:sz w:val="8"/>
        </w:rPr>
        <w:t>ðNCLBAÞ</w:t>
      </w:r>
      <w:proofErr w:type="spellEnd"/>
      <w:r w:rsidRPr="00660452">
        <w:rPr>
          <w:sz w:val="8"/>
        </w:rPr>
        <w:t xml:space="preserve"> that came before the D.C. Circuit Court of Appeals in 2005. In Center for Law and Education et al. v. U.S. Dept. of Education ð253 F.3d 741 ½D.C. Cir. 2001Þ, plaintiffs argued that the committee formed to create the regulations associated with the NCLBA did not have the proper balance of representatives of education officials, parents, and students. The Department of Education asserted that the court lacked jurisdiction in the case, as the creation of a committee to determine regulations was not a final agency action. The court agreed with the Department of Education’s claim that the NCLBA had no authority over the governance of forming a committee. To the extent that </w:t>
      </w:r>
      <w:r w:rsidRPr="00660452">
        <w:rPr>
          <w:rStyle w:val="StyleUnderline"/>
        </w:rPr>
        <w:t>judicial decisions</w:t>
      </w:r>
      <w:r w:rsidRPr="00660452">
        <w:rPr>
          <w:sz w:val="8"/>
        </w:rPr>
        <w:t xml:space="preserve"> engage in statutory construction, they </w:t>
      </w:r>
      <w:r w:rsidRPr="00660452">
        <w:rPr>
          <w:rStyle w:val="StyleUnderline"/>
        </w:rPr>
        <w:t>alter the</w:t>
      </w:r>
      <w:r>
        <w:rPr>
          <w:rStyle w:val="StyleUnderline"/>
        </w:rPr>
        <w:t xml:space="preserve"> </w:t>
      </w:r>
      <w:r w:rsidRPr="00660452">
        <w:rPr>
          <w:rStyle w:val="StyleUnderline"/>
        </w:rPr>
        <w:t>original legislative bargain reached by Congress in adopting a law</w:t>
      </w:r>
      <w:r w:rsidRPr="00660452">
        <w:rPr>
          <w:sz w:val="8"/>
        </w:rPr>
        <w:t>.3 Indeed, “</w:t>
      </w:r>
      <w:r w:rsidRPr="00660452">
        <w:rPr>
          <w:rStyle w:val="StyleUnderline"/>
        </w:rPr>
        <w:t>statutory interpretation involves creative policymaking by judges and is not just the Court’s figuring out the answer that was put ‘in’ the statute by the enacting legislature</w:t>
      </w:r>
      <w:r w:rsidRPr="00660452">
        <w:rPr>
          <w:sz w:val="8"/>
        </w:rPr>
        <w:t xml:space="preserve">” </w:t>
      </w:r>
      <w:proofErr w:type="spellStart"/>
      <w:r w:rsidRPr="00660452">
        <w:rPr>
          <w:sz w:val="8"/>
        </w:rPr>
        <w:t>ðEskridge</w:t>
      </w:r>
      <w:proofErr w:type="spellEnd"/>
      <w:r w:rsidRPr="00660452">
        <w:rPr>
          <w:sz w:val="8"/>
        </w:rPr>
        <w:t xml:space="preserve"> and </w:t>
      </w:r>
      <w:proofErr w:type="spellStart"/>
      <w:r w:rsidRPr="00660452">
        <w:rPr>
          <w:sz w:val="8"/>
        </w:rPr>
        <w:t>Frickey</w:t>
      </w:r>
      <w:proofErr w:type="spellEnd"/>
      <w:r w:rsidRPr="00660452">
        <w:rPr>
          <w:sz w:val="8"/>
        </w:rPr>
        <w:t xml:space="preserve"> 1990, 345Þ. Although there are clearly some instances in which judicial interpretations may be relatively innocuous—such as when a court determines the meaning of a single word or phrase in a law that makes minimal difference in how it is administered—</w:t>
      </w:r>
      <w:r w:rsidRPr="00660452">
        <w:rPr>
          <w:rStyle w:val="StyleUnderline"/>
        </w:rPr>
        <w:t>in many</w:t>
      </w:r>
      <w:r w:rsidRPr="00660452">
        <w:rPr>
          <w:sz w:val="8"/>
        </w:rPr>
        <w:t xml:space="preserve"> other in</w:t>
      </w:r>
      <w:r w:rsidRPr="00660452">
        <w:rPr>
          <w:rStyle w:val="StyleUnderline"/>
        </w:rPr>
        <w:t>stances judicial activity involves significant statutory</w:t>
      </w:r>
      <w:r>
        <w:rPr>
          <w:rStyle w:val="StyleUnderline"/>
        </w:rPr>
        <w:t xml:space="preserve"> </w:t>
      </w:r>
      <w:r w:rsidRPr="00660452">
        <w:rPr>
          <w:rStyle w:val="StyleUnderline"/>
        </w:rPr>
        <w:t>interpretations that alter the character or scope of legislatio</w:t>
      </w:r>
      <w:r w:rsidRPr="00660452">
        <w:rPr>
          <w:sz w:val="8"/>
        </w:rPr>
        <w:t>n. Furthermore, even innocuous rulings raise unanswered questions about the ability of the elected branches to shape public life.</w:t>
      </w:r>
    </w:p>
    <w:p w14:paraId="7AEA5743" w14:textId="0B22AC24" w:rsidR="00660452" w:rsidRDefault="00660452" w:rsidP="00660452"/>
    <w:p w14:paraId="4C328BDD" w14:textId="22C3FBD7" w:rsidR="00660452" w:rsidRDefault="0001731C" w:rsidP="0001731C">
      <w:pPr>
        <w:pStyle w:val="Heading3"/>
      </w:pPr>
      <w:r>
        <w:t>1AR Confusion DA</w:t>
      </w:r>
    </w:p>
    <w:p w14:paraId="53A120B9" w14:textId="67714D32" w:rsidR="0001731C" w:rsidRDefault="0001731C" w:rsidP="0001731C"/>
    <w:p w14:paraId="1D13AB19" w14:textId="77777777" w:rsidR="00354EC2" w:rsidRDefault="00354EC2" w:rsidP="00354EC2"/>
    <w:p w14:paraId="16979336" w14:textId="77777777" w:rsidR="00354EC2" w:rsidRDefault="00354EC2" w:rsidP="00354EC2">
      <w:pPr>
        <w:pStyle w:val="Heading4"/>
      </w:pPr>
      <w:r>
        <w:t xml:space="preserve">Federal code is too complex --- takes time, energy and resources and </w:t>
      </w:r>
      <w:proofErr w:type="gramStart"/>
      <w:r>
        <w:t>they’ll</w:t>
      </w:r>
      <w:proofErr w:type="gramEnd"/>
      <w:r>
        <w:t xml:space="preserve"> just shift enforcement to the courts </w:t>
      </w:r>
    </w:p>
    <w:p w14:paraId="4FF729C6" w14:textId="77777777" w:rsidR="00354EC2" w:rsidRPr="00867164" w:rsidRDefault="00354EC2" w:rsidP="00354EC2"/>
    <w:p w14:paraId="580A82BF" w14:textId="77777777" w:rsidR="00354EC2" w:rsidRPr="00333E7E" w:rsidRDefault="00354EC2" w:rsidP="00354EC2">
      <w:pPr>
        <w:rPr>
          <w:b/>
          <w:bCs/>
          <w:sz w:val="26"/>
        </w:rPr>
      </w:pPr>
      <w:r>
        <w:rPr>
          <w:rStyle w:val="Style13ptBold"/>
        </w:rPr>
        <w:t>Silva ‘11</w:t>
      </w:r>
    </w:p>
    <w:p w14:paraId="2646AFDB" w14:textId="77777777" w:rsidR="00354EC2" w:rsidRPr="00503F48" w:rsidRDefault="00354EC2" w:rsidP="00354EC2">
      <w:r w:rsidRPr="00503F48">
        <w:t>(</w:t>
      </w:r>
      <w:proofErr w:type="spellStart"/>
      <w:r w:rsidRPr="00503F48">
        <w:t>Lahny</w:t>
      </w:r>
      <w:proofErr w:type="spellEnd"/>
      <w:r w:rsidRPr="00503F48">
        <w:t>, J.D. University of Connecticut 2007; Hastie Fellow and LLM Candidate University of</w:t>
      </w:r>
      <w:r>
        <w:t xml:space="preserve"> </w:t>
      </w:r>
      <w:r w:rsidRPr="00503F48">
        <w:t>Wisconsin, “Clean Slate: Exp</w:t>
      </w:r>
      <w:r>
        <w:t>anding</w:t>
      </w:r>
      <w:r w:rsidRPr="00503F48">
        <w:t xml:space="preserve"> Expungemen</w:t>
      </w:r>
      <w:r>
        <w:t>ts</w:t>
      </w:r>
      <w:r w:rsidRPr="00503F48">
        <w:t xml:space="preserve"> </w:t>
      </w:r>
      <w:r>
        <w:t>a</w:t>
      </w:r>
      <w:r w:rsidRPr="00503F48">
        <w:t>nd Expungements</w:t>
      </w:r>
      <w:r>
        <w:t xml:space="preserve"> </w:t>
      </w:r>
      <w:r w:rsidRPr="00503F48">
        <w:t>Pardons</w:t>
      </w:r>
    </w:p>
    <w:p w14:paraId="00D52F91" w14:textId="77777777" w:rsidR="00354EC2" w:rsidRDefault="00354EC2" w:rsidP="00354EC2">
      <w:r w:rsidRPr="00503F48">
        <w:t xml:space="preserve">For Non-Violent Federal Offenders,” </w:t>
      </w:r>
      <w:proofErr w:type="spellStart"/>
      <w:r w:rsidRPr="00503F48">
        <w:t>pg</w:t>
      </w:r>
      <w:proofErr w:type="spellEnd"/>
      <w:r w:rsidRPr="00503F48">
        <w:t xml:space="preserve"> online @ </w:t>
      </w:r>
      <w:hyperlink r:id="rId81" w:history="1">
        <w:r w:rsidRPr="00503F48">
          <w:rPr>
            <w:rStyle w:val="Hyperlink"/>
          </w:rPr>
          <w:t>https://scholarship.law.uc.edu/cgi/viewcontent.cgi?article=1046&amp;context=uclr</w:t>
        </w:r>
      </w:hyperlink>
      <w:r w:rsidRPr="00503F48">
        <w:t xml:space="preserve"> //um-</w:t>
      </w:r>
      <w:proofErr w:type="spellStart"/>
      <w:r w:rsidRPr="00503F48">
        <w:t>ef</w:t>
      </w:r>
      <w:proofErr w:type="spellEnd"/>
      <w:r w:rsidRPr="00503F48">
        <w:t>)</w:t>
      </w:r>
    </w:p>
    <w:p w14:paraId="1D1ED379" w14:textId="776E7480" w:rsidR="00354EC2" w:rsidRDefault="00354EC2" w:rsidP="00354EC2">
      <w:pPr>
        <w:rPr>
          <w:sz w:val="12"/>
        </w:rPr>
      </w:pPr>
      <w:r w:rsidRPr="00867164">
        <w:rPr>
          <w:sz w:val="12"/>
        </w:rPr>
        <w:t xml:space="preserve">Arguably, </w:t>
      </w:r>
      <w:r w:rsidRPr="00867164">
        <w:rPr>
          <w:rStyle w:val="Emphasis"/>
          <w:highlight w:val="cyan"/>
        </w:rPr>
        <w:t xml:space="preserve">Congress could repeal or modify </w:t>
      </w:r>
      <w:r w:rsidRPr="00F9240B">
        <w:rPr>
          <w:rStyle w:val="Emphasis"/>
        </w:rPr>
        <w:t xml:space="preserve">existing </w:t>
      </w:r>
      <w:r w:rsidRPr="00867164">
        <w:rPr>
          <w:rStyle w:val="Emphasis"/>
          <w:highlight w:val="cyan"/>
        </w:rPr>
        <w:t>federal statutes and regulations</w:t>
      </w:r>
      <w:r w:rsidRPr="005A4EFA">
        <w:rPr>
          <w:rStyle w:val="Emphasis"/>
        </w:rPr>
        <w:t xml:space="preserve"> that work as post-conviction penalties</w:t>
      </w:r>
      <w:r w:rsidRPr="00867164">
        <w:rPr>
          <w:sz w:val="12"/>
        </w:rPr>
        <w:t xml:space="preserve">. While possible, </w:t>
      </w:r>
      <w:r w:rsidRPr="005A4EFA">
        <w:rPr>
          <w:rStyle w:val="Emphasis"/>
        </w:rPr>
        <w:t xml:space="preserve">this approach is open to two criticisms: </w:t>
      </w:r>
      <w:r w:rsidRPr="00867164">
        <w:rPr>
          <w:sz w:val="12"/>
        </w:rPr>
        <w:t>(1) it leaves the problem of employer access wide open; and (2)</w:t>
      </w:r>
      <w:r w:rsidRPr="005A4EFA">
        <w:rPr>
          <w:rStyle w:val="Emphasis"/>
        </w:rPr>
        <w:t xml:space="preserve"> </w:t>
      </w:r>
      <w:r w:rsidRPr="00867164">
        <w:rPr>
          <w:rStyle w:val="Emphasis"/>
          <w:highlight w:val="cyan"/>
        </w:rPr>
        <w:t>there are an overwhelming number of statutes and regulations</w:t>
      </w:r>
      <w:r w:rsidRPr="00867164">
        <w:rPr>
          <w:sz w:val="12"/>
        </w:rPr>
        <w:t xml:space="preserve">. Without expungement, private employers maintain the ability to inquire into the criminal history of an individual before even extending an offer of employment. Disqualification </w:t>
      </w:r>
      <w:proofErr w:type="gramStart"/>
      <w:r w:rsidRPr="00867164">
        <w:rPr>
          <w:sz w:val="12"/>
        </w:rPr>
        <w:t>on the basis of</w:t>
      </w:r>
      <w:proofErr w:type="gramEnd"/>
      <w:r w:rsidRPr="00867164">
        <w:rPr>
          <w:sz w:val="12"/>
        </w:rPr>
        <w:t xml:space="preserve"> a criminal conviction would likely continue.295 Title VII does not prohibit discrimination on the basis of a criminal record.296 Second, </w:t>
      </w:r>
      <w:r w:rsidRPr="00F9240B">
        <w:rPr>
          <w:rStyle w:val="Emphasis"/>
        </w:rPr>
        <w:t xml:space="preserve">there are </w:t>
      </w:r>
      <w:r w:rsidRPr="00867164">
        <w:rPr>
          <w:rStyle w:val="Emphasis"/>
          <w:highlight w:val="cyan"/>
        </w:rPr>
        <w:t xml:space="preserve">numerous statutes and regulations </w:t>
      </w:r>
      <w:r w:rsidRPr="00F9240B">
        <w:rPr>
          <w:rStyle w:val="Emphasis"/>
        </w:rPr>
        <w:t xml:space="preserve">that </w:t>
      </w:r>
      <w:r w:rsidRPr="00867164">
        <w:rPr>
          <w:rStyle w:val="Emphasis"/>
          <w:highlight w:val="cyan"/>
        </w:rPr>
        <w:t>impose collateral consequences. It would likely take significant resources and political will to sift through, sort, and modify decades of legislation</w:t>
      </w:r>
      <w:r w:rsidRPr="00867164">
        <w:rPr>
          <w:sz w:val="12"/>
        </w:rPr>
        <w:t xml:space="preserve">. </w:t>
      </w:r>
      <w:r w:rsidRPr="00F9240B">
        <w:t>It is also possible that</w:t>
      </w:r>
      <w:r w:rsidRPr="00867164">
        <w:rPr>
          <w:rStyle w:val="Emphasis"/>
          <w:highlight w:val="cyan"/>
        </w:rPr>
        <w:t xml:space="preserve"> Congress could statutorily prescribe jurisdiction to the federal courts</w:t>
      </w:r>
      <w:r w:rsidRPr="00F9240B">
        <w:t xml:space="preserve"> </w:t>
      </w:r>
      <w:r w:rsidRPr="00867164">
        <w:rPr>
          <w:sz w:val="12"/>
        </w:rPr>
        <w:t xml:space="preserve">to grant expungements. </w:t>
      </w:r>
      <w:r w:rsidRPr="00867164">
        <w:rPr>
          <w:rStyle w:val="Emphasis"/>
          <w:highlight w:val="cyan"/>
        </w:rPr>
        <w:t>Doing so could potentially clog the dockets of federal courts</w:t>
      </w:r>
      <w:r w:rsidRPr="00867164">
        <w:rPr>
          <w:sz w:val="12"/>
          <w:highlight w:val="cyan"/>
        </w:rPr>
        <w:t xml:space="preserve"> </w:t>
      </w:r>
      <w:r w:rsidRPr="00867164">
        <w:rPr>
          <w:rStyle w:val="Emphasis"/>
          <w:highlight w:val="cyan"/>
        </w:rPr>
        <w:t>and divert resources from customary court matters</w:t>
      </w:r>
      <w:r w:rsidRPr="00867164">
        <w:rPr>
          <w:sz w:val="12"/>
        </w:rPr>
        <w:t xml:space="preserve">. </w:t>
      </w:r>
      <w:r w:rsidRPr="003D1247">
        <w:rPr>
          <w:rStyle w:val="StyleUnderline"/>
        </w:rPr>
        <w:t>Moreover</w:t>
      </w:r>
      <w:r w:rsidRPr="00867164">
        <w:rPr>
          <w:sz w:val="12"/>
        </w:rPr>
        <w:t xml:space="preserve">, </w:t>
      </w:r>
      <w:r w:rsidRPr="003D1247">
        <w:rPr>
          <w:rStyle w:val="StyleUnderline"/>
          <w:highlight w:val="cyan"/>
        </w:rPr>
        <w:t>expungement would then be subject to discretionary judgement.</w:t>
      </w:r>
      <w:r w:rsidRPr="00867164">
        <w:rPr>
          <w:sz w:val="12"/>
        </w:rPr>
        <w:t xml:space="preserve"> Giving the </w:t>
      </w:r>
      <w:proofErr w:type="spellStart"/>
      <w:r w:rsidRPr="00867164">
        <w:rPr>
          <w:sz w:val="12"/>
        </w:rPr>
        <w:t>courts</w:t>
      </w:r>
      <w:proofErr w:type="spellEnd"/>
      <w:r w:rsidRPr="00867164">
        <w:rPr>
          <w:sz w:val="12"/>
        </w:rPr>
        <w:t xml:space="preserve"> jurisdiction would remove transparency from the process. </w:t>
      </w:r>
    </w:p>
    <w:p w14:paraId="4B269CEB" w14:textId="63783926" w:rsidR="00354EC2" w:rsidRDefault="00354EC2" w:rsidP="00354EC2">
      <w:pPr>
        <w:pStyle w:val="Heading4"/>
      </w:pPr>
      <w:r>
        <w:t>Too many in different parts of law to effectively legislate</w:t>
      </w:r>
    </w:p>
    <w:p w14:paraId="235EB1F9" w14:textId="77777777" w:rsidR="00354EC2" w:rsidRDefault="00354EC2" w:rsidP="00354EC2"/>
    <w:p w14:paraId="02DE65B1" w14:textId="77777777" w:rsidR="00354EC2" w:rsidRPr="00DA3B3A" w:rsidRDefault="00354EC2" w:rsidP="00354EC2">
      <w:pPr>
        <w:rPr>
          <w:rStyle w:val="Style13ptBold"/>
        </w:rPr>
      </w:pPr>
      <w:r>
        <w:rPr>
          <w:rStyle w:val="Style13ptBold"/>
        </w:rPr>
        <w:t>Jones ‘15</w:t>
      </w:r>
    </w:p>
    <w:p w14:paraId="28EFEEAD" w14:textId="77777777" w:rsidR="00354EC2" w:rsidRPr="00DA3B3A" w:rsidRDefault="00354EC2" w:rsidP="00354EC2">
      <w:r>
        <w:t xml:space="preserve">(Danielle, “When the Fallout of a Criminal Conviction Goes too Far: Challenging Collateral Consequences,” 11 </w:t>
      </w:r>
      <w:proofErr w:type="spellStart"/>
      <w:r>
        <w:t>Stan.J.C.R</w:t>
      </w:r>
      <w:proofErr w:type="spellEnd"/>
      <w:r>
        <w:t xml:space="preserve">.&amp; C.L, </w:t>
      </w:r>
      <w:proofErr w:type="spellStart"/>
      <w:r>
        <w:t>pg</w:t>
      </w:r>
      <w:proofErr w:type="spellEnd"/>
      <w:r>
        <w:t xml:space="preserve"> online @ </w:t>
      </w:r>
      <w:hyperlink r:id="rId82" w:history="1">
        <w:r w:rsidRPr="00E862E5">
          <w:rPr>
            <w:rStyle w:val="Hyperlink"/>
          </w:rPr>
          <w:t>https://www-cdn.law.stanford.edu/wp-content/uploads/2015/09/SJCRCL_When-the-Fallout-of-a-Criminal-Conviction-Goes-too-Far-Challenging-Collateral-Consequences.pdf</w:t>
        </w:r>
      </w:hyperlink>
      <w:r>
        <w:t xml:space="preserve"> //um-</w:t>
      </w:r>
      <w:proofErr w:type="spellStart"/>
      <w:r>
        <w:t>ef</w:t>
      </w:r>
      <w:proofErr w:type="spellEnd"/>
      <w:r>
        <w:t>)</w:t>
      </w:r>
    </w:p>
    <w:p w14:paraId="0E4F6771" w14:textId="16356151" w:rsidR="00354EC2" w:rsidRDefault="00354EC2" w:rsidP="00354EC2">
      <w:r w:rsidRPr="00DA3B3A">
        <w:rPr>
          <w:rStyle w:val="StyleUnderline"/>
        </w:rPr>
        <w:t>Collateral consequences are considered the indirect fallout of a conviction</w:t>
      </w:r>
      <w:r>
        <w:t xml:space="preserve">. Direct consequences, on the other hand, have tangible origins in the sentence itself. For example, direct consequences </w:t>
      </w:r>
      <w:proofErr w:type="gramStart"/>
      <w:r>
        <w:t>include:</w:t>
      </w:r>
      <w:proofErr w:type="gramEnd"/>
      <w:r>
        <w:t xml:space="preserve"> jail or prison time, massive statutory fines and restitution payments, and specified probationary terms. In essence, direct consequences attach to the sentence imposed by the court while </w:t>
      </w:r>
      <w:r w:rsidRPr="00DA3B3A">
        <w:rPr>
          <w:rStyle w:val="StyleUnderline"/>
        </w:rPr>
        <w:t>collateral consequences “comprise a mixture of federal and state statutory and regulatory law, as well as local policies” that regulate everything from employment opportunities to qualifications for government benefits</w:t>
      </w:r>
      <w:r>
        <w:t xml:space="preserve">.[24] Additionally, </w:t>
      </w:r>
      <w:r w:rsidRPr="00DA3B3A">
        <w:rPr>
          <w:rStyle w:val="StyleUnderline"/>
        </w:rPr>
        <w:t>these collateral sanctions are not limited to felony convictions, but extend to misdemeanor convictions as well</w:t>
      </w:r>
      <w:r>
        <w:t xml:space="preserve">.[25] </w:t>
      </w:r>
      <w:r w:rsidRPr="00DA3B3A">
        <w:rPr>
          <w:rStyle w:val="StyleUnderline"/>
        </w:rPr>
        <w:t>Some consequences attach automatically following a conviction, others are discretionary</w:t>
      </w:r>
      <w:r>
        <w:t xml:space="preserve">; yet others still can be assessed by regulatory bodies.[26] Scholars have acknowledged that </w:t>
      </w:r>
      <w:r w:rsidRPr="00DA3B3A">
        <w:rPr>
          <w:rStyle w:val="Emphasis"/>
        </w:rPr>
        <w:t>the depth and breadth of collateral consequences “tend to be unknown” even to those working within the criminal justice system “often because they are scattered throughout different bodies of law.</w:t>
      </w:r>
      <w:r>
        <w:t>”[27]</w:t>
      </w:r>
    </w:p>
    <w:p w14:paraId="17400C55" w14:textId="73C04BDE" w:rsidR="00354EC2" w:rsidRDefault="00354EC2" w:rsidP="00354EC2">
      <w:pPr>
        <w:pStyle w:val="Heading4"/>
      </w:pPr>
      <w:r>
        <w:t xml:space="preserve">There’s over 40,000 CC’s that the cp would have to eliminate --- </w:t>
      </w:r>
      <w:r w:rsidR="00F9240B">
        <w:t xml:space="preserve">if you don’t feel </w:t>
      </w:r>
      <w:proofErr w:type="gramStart"/>
      <w:r w:rsidR="00F9240B">
        <w:t>confident</w:t>
      </w:r>
      <w:proofErr w:type="gramEnd"/>
      <w:r w:rsidR="00F9240B">
        <w:t xml:space="preserve"> they’ll get them all, vote </w:t>
      </w:r>
      <w:proofErr w:type="spellStart"/>
      <w:r w:rsidR="00F9240B">
        <w:t>aff</w:t>
      </w:r>
      <w:proofErr w:type="spellEnd"/>
    </w:p>
    <w:p w14:paraId="0F25C7CA" w14:textId="77777777" w:rsidR="00354EC2" w:rsidRDefault="00354EC2" w:rsidP="00354EC2"/>
    <w:p w14:paraId="376E389F" w14:textId="77777777" w:rsidR="00354EC2" w:rsidRDefault="00354EC2" w:rsidP="00354EC2">
      <w:pPr>
        <w:rPr>
          <w:rStyle w:val="Style13ptBold"/>
        </w:rPr>
      </w:pPr>
      <w:r>
        <w:rPr>
          <w:rStyle w:val="Style13ptBold"/>
        </w:rPr>
        <w:t>Booker ‘18</w:t>
      </w:r>
    </w:p>
    <w:p w14:paraId="1A7EF3FF" w14:textId="77777777" w:rsidR="00354EC2" w:rsidRPr="00B473F1" w:rsidRDefault="00354EC2" w:rsidP="00354EC2">
      <w:r w:rsidRPr="00B473F1">
        <w:t>(</w:t>
      </w:r>
      <w:r>
        <w:t xml:space="preserve">Corey, Senator from New Jersey, </w:t>
      </w:r>
      <w:r w:rsidRPr="00B473F1">
        <w:t>“</w:t>
      </w:r>
      <w:r>
        <w:t xml:space="preserve">SAVE OUR SEAS ACT OF 2017--Continued; Congressional Record Vol. 164, No. 199,” </w:t>
      </w:r>
      <w:proofErr w:type="spellStart"/>
      <w:r w:rsidRPr="00B473F1">
        <w:t>pg</w:t>
      </w:r>
      <w:proofErr w:type="spellEnd"/>
      <w:r w:rsidRPr="00B473F1">
        <w:t xml:space="preserve"> online @ </w:t>
      </w:r>
      <w:hyperlink r:id="rId83" w:history="1">
        <w:r w:rsidRPr="00B473F1">
          <w:rPr>
            <w:rStyle w:val="Hyperlink"/>
          </w:rPr>
          <w:t>https://www.congress.gov/congressional-record/2018/12/18/senate-section/article/S7753-1?q=%7B%22search%22%3A%5B%22Fraud%2C+Abuse%22%5D%7D</w:t>
        </w:r>
      </w:hyperlink>
      <w:r w:rsidRPr="00B473F1">
        <w:t xml:space="preserve"> //um-</w:t>
      </w:r>
      <w:proofErr w:type="spellStart"/>
      <w:r w:rsidRPr="00B473F1">
        <w:t>ef</w:t>
      </w:r>
      <w:proofErr w:type="spellEnd"/>
      <w:r w:rsidRPr="00B473F1">
        <w:t>)</w:t>
      </w:r>
    </w:p>
    <w:p w14:paraId="14EC5FDF" w14:textId="332B67C1" w:rsidR="00354EC2" w:rsidRPr="00F9240B" w:rsidRDefault="00354EC2" w:rsidP="00354EC2">
      <w:pPr>
        <w:rPr>
          <w:sz w:val="10"/>
        </w:rPr>
      </w:pPr>
      <w:r w:rsidRPr="00B473F1">
        <w:rPr>
          <w:sz w:val="10"/>
        </w:rPr>
        <w:t xml:space="preserve">  What we do to people in this country with a nonviolent drug offense is like getting a life sentence for the rest of your life. </w:t>
      </w:r>
      <w:r w:rsidRPr="00B473F1">
        <w:rPr>
          <w:rStyle w:val="StyleUnderline"/>
        </w:rPr>
        <w:t>Even after you have come out of a prison sentence or even if you received no time served at all, once you are convicted of a nonviolent drug offense</w:t>
      </w:r>
      <w:r w:rsidRPr="00B473F1">
        <w:rPr>
          <w:sz w:val="10"/>
        </w:rPr>
        <w:t xml:space="preserve">-- again, like people in this body and in the White House have done before, potentially in this body; I am making no accusations--but once you have been convicted of a crime, </w:t>
      </w:r>
      <w:r w:rsidRPr="00B473F1">
        <w:rPr>
          <w:rStyle w:val="StyleUnderline"/>
        </w:rPr>
        <w:t>for the rest of your life,</w:t>
      </w:r>
      <w:r w:rsidRPr="00B473F1">
        <w:rPr>
          <w:sz w:val="10"/>
        </w:rPr>
        <w:t xml:space="preserve"> if you are one of those folks who has been convicted of a nonviolent drug offense, you have to check a box that says you are going to have difficulty being hired, </w:t>
      </w:r>
      <w:r w:rsidRPr="00B473F1">
        <w:rPr>
          <w:rStyle w:val="StyleUnderline"/>
        </w:rPr>
        <w:t>you are going to have difficulty getting housing.</w:t>
      </w:r>
      <w:r w:rsidRPr="00B473F1">
        <w:rPr>
          <w:sz w:val="10"/>
        </w:rPr>
        <w:t xml:space="preserve"> </w:t>
      </w:r>
      <w:r w:rsidRPr="00B473F1">
        <w:rPr>
          <w:rStyle w:val="StyleUnderline"/>
        </w:rPr>
        <w:t xml:space="preserve">You </w:t>
      </w:r>
      <w:proofErr w:type="gramStart"/>
      <w:r w:rsidRPr="00B473F1">
        <w:rPr>
          <w:rStyle w:val="StyleUnderline"/>
        </w:rPr>
        <w:t>can't</w:t>
      </w:r>
      <w:proofErr w:type="gramEnd"/>
      <w:r w:rsidRPr="00B473F1">
        <w:rPr>
          <w:rStyle w:val="StyleUnderline"/>
        </w:rPr>
        <w:t xml:space="preserve"> get many business licenses. You </w:t>
      </w:r>
      <w:proofErr w:type="gramStart"/>
      <w:r w:rsidRPr="00B473F1">
        <w:rPr>
          <w:rStyle w:val="StyleUnderline"/>
        </w:rPr>
        <w:t>can't</w:t>
      </w:r>
      <w:proofErr w:type="gramEnd"/>
      <w:r w:rsidRPr="00B473F1">
        <w:rPr>
          <w:rStyle w:val="StyleUnderline"/>
        </w:rPr>
        <w:t xml:space="preserve"> get food stamps. You </w:t>
      </w:r>
      <w:proofErr w:type="gramStart"/>
      <w:r w:rsidRPr="00B473F1">
        <w:rPr>
          <w:rStyle w:val="StyleUnderline"/>
        </w:rPr>
        <w:t>can't</w:t>
      </w:r>
      <w:proofErr w:type="gramEnd"/>
      <w:r w:rsidRPr="00B473F1">
        <w:rPr>
          <w:rStyle w:val="StyleUnderline"/>
        </w:rPr>
        <w:t xml:space="preserve"> get a loan from the bank</w:t>
      </w:r>
      <w:r w:rsidRPr="00B473F1">
        <w:rPr>
          <w:sz w:val="10"/>
        </w:rPr>
        <w:t xml:space="preserve">. The </w:t>
      </w:r>
      <w:r w:rsidRPr="00B473F1">
        <w:rPr>
          <w:rStyle w:val="Emphasis"/>
        </w:rPr>
        <w:t>A</w:t>
      </w:r>
      <w:r w:rsidRPr="00B473F1">
        <w:rPr>
          <w:sz w:val="10"/>
        </w:rPr>
        <w:t xml:space="preserve">merican </w:t>
      </w:r>
      <w:r w:rsidRPr="00B473F1">
        <w:rPr>
          <w:rStyle w:val="Emphasis"/>
        </w:rPr>
        <w:t>B</w:t>
      </w:r>
      <w:r w:rsidRPr="00B473F1">
        <w:rPr>
          <w:sz w:val="10"/>
        </w:rPr>
        <w:t xml:space="preserve">ar </w:t>
      </w:r>
      <w:r w:rsidRPr="00B473F1">
        <w:rPr>
          <w:rStyle w:val="Emphasis"/>
        </w:rPr>
        <w:t>A</w:t>
      </w:r>
      <w:r w:rsidRPr="00B473F1">
        <w:rPr>
          <w:sz w:val="10"/>
        </w:rPr>
        <w:t xml:space="preserve">ssociation </w:t>
      </w:r>
      <w:r w:rsidRPr="00B473F1">
        <w:rPr>
          <w:rStyle w:val="Emphasis"/>
        </w:rPr>
        <w:t>points to 40,000 collateral consequences that come with a criminal conviction</w:t>
      </w:r>
      <w:r w:rsidRPr="00B473F1">
        <w:rPr>
          <w:sz w:val="10"/>
        </w:rPr>
        <w:t xml:space="preserve"> in this country--40,000 collateral consequences that follow you for life for a criminal conviction.</w:t>
      </w:r>
    </w:p>
    <w:p w14:paraId="4857D923" w14:textId="48B26C1C" w:rsidR="0001731C" w:rsidRDefault="00354EC2" w:rsidP="00354EC2">
      <w:pPr>
        <w:pStyle w:val="Heading3"/>
      </w:pPr>
      <w:r>
        <w:t>1AR Courts Gut CP</w:t>
      </w:r>
    </w:p>
    <w:p w14:paraId="3B7D61E0" w14:textId="77777777" w:rsidR="00354EC2" w:rsidRPr="00354EC2" w:rsidRDefault="00354EC2" w:rsidP="00354EC2"/>
    <w:p w14:paraId="29A3E804" w14:textId="6457999F" w:rsidR="00976C77" w:rsidRDefault="00976C77" w:rsidP="00976C77">
      <w:pPr>
        <w:pStyle w:val="Heading4"/>
      </w:pPr>
      <w:r>
        <w:t>Proven by circuit-splits arguments – SOME federal courts will find ways to undermine efforts to limit CC’s while other enforce</w:t>
      </w:r>
    </w:p>
    <w:p w14:paraId="0FAD6033" w14:textId="1212A135" w:rsidR="00976C77" w:rsidRDefault="00976C77" w:rsidP="00976C77"/>
    <w:p w14:paraId="6FBF1A29" w14:textId="0513D59F" w:rsidR="00976C77" w:rsidRDefault="00976C77" w:rsidP="00976C77">
      <w:pPr>
        <w:rPr>
          <w:rStyle w:val="Style13ptBold"/>
        </w:rPr>
      </w:pPr>
      <w:r>
        <w:rPr>
          <w:rStyle w:val="Style13ptBold"/>
        </w:rPr>
        <w:t>Mayson ‘15</w:t>
      </w:r>
    </w:p>
    <w:p w14:paraId="64F6F293" w14:textId="363206A8" w:rsidR="00976C77" w:rsidRPr="00976C77" w:rsidRDefault="00976C77" w:rsidP="00976C77">
      <w:r w:rsidRPr="00976C77">
        <w:t xml:space="preserve">(Sandra, </w:t>
      </w:r>
      <w:r w:rsidR="00596D5C">
        <w:t xml:space="preserve">Research Fellow, </w:t>
      </w:r>
      <w:proofErr w:type="spellStart"/>
      <w:r w:rsidR="00596D5C">
        <w:t>Quattrone</w:t>
      </w:r>
      <w:proofErr w:type="spellEnd"/>
      <w:r w:rsidR="00596D5C">
        <w:t xml:space="preserve"> Center for the Fair Administration of Justice, University of Pennsylvania Law School, </w:t>
      </w:r>
      <w:r w:rsidRPr="00976C77">
        <w:t>“</w:t>
      </w:r>
      <w:r w:rsidR="00D12EAE">
        <w:t xml:space="preserve">Collateral Consequences and the Preventive State,” </w:t>
      </w:r>
      <w:proofErr w:type="spellStart"/>
      <w:r w:rsidRPr="00976C77">
        <w:t>pg</w:t>
      </w:r>
      <w:proofErr w:type="spellEnd"/>
      <w:r w:rsidRPr="00976C77">
        <w:t xml:space="preserve"> online @ </w:t>
      </w:r>
      <w:hyperlink r:id="rId84" w:history="1">
        <w:r w:rsidRPr="00976C77">
          <w:rPr>
            <w:rStyle w:val="Hyperlink"/>
          </w:rPr>
          <w:t>https://scholarship.law.nd.edu/cgi/viewcontent.cgi?article=4627&amp;context=ndlr</w:t>
        </w:r>
      </w:hyperlink>
      <w:r w:rsidRPr="00976C77">
        <w:t xml:space="preserve"> //um-</w:t>
      </w:r>
      <w:proofErr w:type="spellStart"/>
      <w:r w:rsidRPr="00976C77">
        <w:t>ef</w:t>
      </w:r>
      <w:proofErr w:type="spellEnd"/>
      <w:r w:rsidRPr="00976C77">
        <w:t>)</w:t>
      </w:r>
    </w:p>
    <w:p w14:paraId="308CA8D5" w14:textId="03C05A3B" w:rsidR="00B473F1" w:rsidRPr="00D62569" w:rsidRDefault="00976C77" w:rsidP="0001731C">
      <w:pPr>
        <w:rPr>
          <w:sz w:val="12"/>
        </w:rPr>
      </w:pPr>
      <w:r w:rsidRPr="00976C77">
        <w:rPr>
          <w:rStyle w:val="StyleUnderline"/>
        </w:rPr>
        <w:t>Constitutional challenges to CCs</w:t>
      </w:r>
      <w:r w:rsidRPr="00596D5C">
        <w:rPr>
          <w:sz w:val="12"/>
        </w:rPr>
        <w:t xml:space="preserve">, meanwhile, </w:t>
      </w:r>
      <w:r w:rsidRPr="00976C77">
        <w:rPr>
          <w:rStyle w:val="StyleUnderline"/>
        </w:rPr>
        <w:t>have generally failed. Courts have consistently found that CCs do not constitute punishment, and so cannot violate any constraint on the state’s power to punish</w:t>
      </w:r>
      <w:r w:rsidRPr="00596D5C">
        <w:rPr>
          <w:sz w:val="12"/>
        </w:rPr>
        <w:t xml:space="preserve"> (like the Ex Post Facto Clause or Eighth Amendment). Analyzing CCs pursuant to principles of equal protection or substantive due process, courts have applied the deferential standard of rational basis </w:t>
      </w:r>
      <w:proofErr w:type="gramStart"/>
      <w:r w:rsidRPr="00596D5C">
        <w:rPr>
          <w:sz w:val="12"/>
        </w:rPr>
        <w:t>review, and</w:t>
      </w:r>
      <w:proofErr w:type="gramEnd"/>
      <w:r w:rsidRPr="00596D5C">
        <w:rPr>
          <w:sz w:val="12"/>
        </w:rPr>
        <w:t xml:space="preserve"> have rejected nearly all challenges. Immune from the constitutional constraints on punishment and subject only to rational basis review as regulation, </w:t>
      </w:r>
      <w:r w:rsidRPr="00976C77">
        <w:rPr>
          <w:rStyle w:val="Emphasis"/>
        </w:rPr>
        <w:t>CCs have proliferated unchecked</w:t>
      </w:r>
      <w:r w:rsidRPr="00596D5C">
        <w:rPr>
          <w:sz w:val="12"/>
        </w:rPr>
        <w:t xml:space="preserve">.7 Among scholars who have addressed this situation, </w:t>
      </w:r>
      <w:r w:rsidRPr="00976C77">
        <w:rPr>
          <w:rStyle w:val="StyleUnderline"/>
        </w:rPr>
        <w:t>a consensus has emerged that courts have erred by refusing to classify CCs as punishment</w:t>
      </w:r>
      <w:r w:rsidRPr="00596D5C">
        <w:rPr>
          <w:sz w:val="12"/>
        </w:rPr>
        <w:t xml:space="preserve">. These critics contend that CCs are a form of additional punishment, and that </w:t>
      </w:r>
      <w:r w:rsidRPr="00976C77">
        <w:rPr>
          <w:rStyle w:val="Emphasis"/>
        </w:rPr>
        <w:t>courts have defied reality and strained the law to hold otherwise</w:t>
      </w:r>
      <w:r w:rsidRPr="00596D5C">
        <w:rPr>
          <w:sz w:val="12"/>
        </w:rPr>
        <w:t>. In one particularly compelling analysis, Gabriel Chin argues that CCs have effectively resurrected the colonial-era punishment of “civil death,” and must be understood as punishment, just as civil death was.8 Meanwhile, mainstream legal organizations have proposed reforms (including revisions to the Model Penal Code) encouraging sentencing judges to consider CCs as part of the punishment for an offense.9 There is considerable momentum behind the consensus that the law should treat CCs, substantively and procedurally, as “punishment.”</w:t>
      </w:r>
    </w:p>
    <w:p w14:paraId="7DC02169" w14:textId="20AF64F2" w:rsidR="00D62569" w:rsidRDefault="00D62569" w:rsidP="00D62569">
      <w:pPr>
        <w:pStyle w:val="Heading4"/>
      </w:pPr>
      <w:r>
        <w:t>More evidence --- lack of clarity causes court confusion in enforcement</w:t>
      </w:r>
    </w:p>
    <w:p w14:paraId="4ECEA68A" w14:textId="77777777" w:rsidR="00D62569" w:rsidRDefault="00D62569" w:rsidP="00D62569"/>
    <w:p w14:paraId="68D7DD76" w14:textId="77777777" w:rsidR="00D62569" w:rsidRDefault="00D62569" w:rsidP="00D62569">
      <w:pPr>
        <w:rPr>
          <w:rStyle w:val="Style13ptBold"/>
        </w:rPr>
      </w:pPr>
      <w:r>
        <w:rPr>
          <w:rStyle w:val="Style13ptBold"/>
        </w:rPr>
        <w:t>Murray ‘20</w:t>
      </w:r>
    </w:p>
    <w:p w14:paraId="3C57F632" w14:textId="77777777" w:rsidR="00D62569" w:rsidRPr="007529E8" w:rsidRDefault="00D62569" w:rsidP="00D62569">
      <w:r w:rsidRPr="0086397F">
        <w:t xml:space="preserve">(Brian, Associate Professor of Law, Seton Hall University School of Law, “ARE COLLATERAL CONSEQUENCES </w:t>
      </w:r>
      <w:proofErr w:type="gramStart"/>
      <w:r w:rsidRPr="0086397F">
        <w:t>DESERVED?,</w:t>
      </w:r>
      <w:proofErr w:type="gramEnd"/>
      <w:r w:rsidRPr="0086397F">
        <w:t xml:space="preserve">” </w:t>
      </w:r>
      <w:proofErr w:type="spellStart"/>
      <w:r w:rsidRPr="0086397F">
        <w:t>pg</w:t>
      </w:r>
      <w:proofErr w:type="spellEnd"/>
      <w:r w:rsidRPr="0086397F">
        <w:t xml:space="preserve"> SSRN //um-</w:t>
      </w:r>
      <w:proofErr w:type="spellStart"/>
      <w:r w:rsidRPr="0086397F">
        <w:t>ef</w:t>
      </w:r>
      <w:proofErr w:type="spellEnd"/>
      <w:r w:rsidRPr="0086397F">
        <w:t>)</w:t>
      </w:r>
    </w:p>
    <w:p w14:paraId="158CBF72" w14:textId="77777777" w:rsidR="00D62569" w:rsidRPr="00D62569" w:rsidRDefault="00D62569" w:rsidP="00D62569">
      <w:pPr>
        <w:rPr>
          <w:sz w:val="12"/>
        </w:rPr>
      </w:pPr>
      <w:r w:rsidRPr="00D62569">
        <w:rPr>
          <w:rStyle w:val="StyleUnderline"/>
        </w:rPr>
        <w:t>The contemporary scholarly consensus classifying collateral consequences as punishment</w:t>
      </w:r>
      <w:r w:rsidRPr="00D62569">
        <w:rPr>
          <w:sz w:val="12"/>
        </w:rPr>
        <w:t xml:space="preserve"> </w:t>
      </w:r>
      <w:r w:rsidRPr="00D62569">
        <w:rPr>
          <w:rStyle w:val="Emphasis"/>
        </w:rPr>
        <w:t>is not without its critics and theoretical confusion remains</w:t>
      </w:r>
      <w:r w:rsidRPr="00D62569">
        <w:rPr>
          <w:sz w:val="12"/>
        </w:rPr>
        <w:t xml:space="preserve">. </w:t>
      </w:r>
      <w:r w:rsidRPr="00D62569">
        <w:rPr>
          <w:rStyle w:val="StyleUnderline"/>
        </w:rPr>
        <w:t>The reason stems from the complexity of collateral-consequences regimes themselves: some consequences seem to be imposed due to the culpability of defendants and in order to inflict harm, making them condemnatory</w:t>
      </w:r>
      <w:r w:rsidRPr="00D62569">
        <w:rPr>
          <w:sz w:val="12"/>
        </w:rPr>
        <w:t xml:space="preserve">.103 </w:t>
      </w:r>
      <w:r w:rsidRPr="00D62569">
        <w:rPr>
          <w:rStyle w:val="StyleUnderline"/>
        </w:rPr>
        <w:t>Others seem to be entirely about preventing future behavior by those otherwise judged to be risky, which is a premise shared by “civil” regulations</w:t>
      </w:r>
      <w:r w:rsidRPr="00D62569">
        <w:rPr>
          <w:sz w:val="12"/>
        </w:rPr>
        <w:t xml:space="preserve">.104 The latter is especially confusing in the case of arrests resulting in collateral consequences. The distinction between automatic and potential collateral consequences creates similar confusion as the actor inflicting harm is less clear.105 </w:t>
      </w:r>
      <w:r w:rsidRPr="00D62569">
        <w:rPr>
          <w:rStyle w:val="StyleUnderline"/>
        </w:rPr>
        <w:t xml:space="preserve">The Supreme Court signaled this confusion when it emphasized the </w:t>
      </w:r>
      <w:proofErr w:type="spellStart"/>
      <w:r w:rsidRPr="00D62569">
        <w:rPr>
          <w:rStyle w:val="StyleUnderline"/>
        </w:rPr>
        <w:t>nonretributive</w:t>
      </w:r>
      <w:proofErr w:type="spellEnd"/>
      <w:r w:rsidRPr="00D62569">
        <w:rPr>
          <w:rStyle w:val="StyleUnderline"/>
        </w:rPr>
        <w:t xml:space="preserve"> components of collateral consequences as indicative of why they were not to be viewed as punitive</w:t>
      </w:r>
      <w:r w:rsidRPr="00D62569">
        <w:rPr>
          <w:sz w:val="12"/>
        </w:rPr>
        <w:t xml:space="preserve">.106 But </w:t>
      </w:r>
      <w:r w:rsidRPr="00D62569">
        <w:rPr>
          <w:rStyle w:val="Emphasis"/>
        </w:rPr>
        <w:t>that also infused more confusion as it conflated the definitions of punitive and retributive</w:t>
      </w:r>
      <w:r w:rsidRPr="00D62569">
        <w:rPr>
          <w:sz w:val="12"/>
        </w:rPr>
        <w:t>. In other words, the Court has simultaneously adopted these positions: (1) that if a nonpunitive purpose exists, the Court will not label the measure punishment; and (2) the Constitution does not mandate any one penal justification, thereby implying more than one can exist.107 Thus, collateral consequences exist along a legal spectrum and the reason for their existence is not uniform, something Padilla intimated but did not explicitly declare. Any overlap in purposes reflects the elusive relationship between retributive and utilitarian theories that has confounded scholars before.108 The confusion in this debate arises from conflation of the definition of what punishment is and what its purposes might be, the Court’s decision to emphasize legislative classification above other considerations, and the fact that utilitarian purposes for punishment closely resemble utilitarian purposes for what has been classified as civil regulation. Hence, collateral consequences might exist along a spectrum of penal purposes relating to both retributive and utilitarian theories, and a spectrum of utilitarian regulatory purposes.109 Even the most fervent and loyal punishment theorists have conceded that there can be primary and secondary aims of punishment.110</w:t>
      </w:r>
    </w:p>
    <w:p w14:paraId="79E5DE79" w14:textId="0294BC1A" w:rsidR="00D62569" w:rsidRDefault="00D62569" w:rsidP="0001731C"/>
    <w:p w14:paraId="1F00D38A" w14:textId="77777777" w:rsidR="00D62569" w:rsidRPr="0001731C" w:rsidRDefault="00D62569" w:rsidP="0001731C"/>
    <w:p w14:paraId="42277845" w14:textId="46176F10" w:rsidR="00167C87" w:rsidRDefault="00613202" w:rsidP="00613202">
      <w:pPr>
        <w:pStyle w:val="Heading3"/>
      </w:pPr>
      <w:r>
        <w:t>Links to Elections</w:t>
      </w:r>
    </w:p>
    <w:p w14:paraId="00B8B94D" w14:textId="768AF7EB" w:rsidR="00167C87" w:rsidRDefault="00167C87" w:rsidP="00167C87">
      <w:pPr>
        <w:pStyle w:val="Heading4"/>
      </w:pPr>
      <w:r>
        <w:t>Links to elections --- the cp is popular with the public and bipartisan</w:t>
      </w:r>
    </w:p>
    <w:p w14:paraId="4C55E59C" w14:textId="1656799A" w:rsidR="00167C87" w:rsidRDefault="00167C87" w:rsidP="00167C87"/>
    <w:p w14:paraId="0E83B9F4" w14:textId="6E81712C" w:rsidR="00167C87" w:rsidRDefault="00167C87" w:rsidP="00167C87"/>
    <w:p w14:paraId="7A21F304" w14:textId="77777777" w:rsidR="00167C87" w:rsidRDefault="00167C87" w:rsidP="00167C87">
      <w:pPr>
        <w:rPr>
          <w:rStyle w:val="Style13ptBold"/>
        </w:rPr>
      </w:pPr>
      <w:proofErr w:type="spellStart"/>
      <w:r>
        <w:rPr>
          <w:rStyle w:val="Style13ptBold"/>
        </w:rPr>
        <w:t>Amang</w:t>
      </w:r>
      <w:proofErr w:type="spellEnd"/>
      <w:r>
        <w:rPr>
          <w:rStyle w:val="Style13ptBold"/>
        </w:rPr>
        <w:t xml:space="preserve"> 6/25/20</w:t>
      </w:r>
    </w:p>
    <w:p w14:paraId="0374D3C6" w14:textId="77777777" w:rsidR="00167C87" w:rsidRPr="00B40891" w:rsidRDefault="00167C87" w:rsidP="00167C87">
      <w:pPr>
        <w:rPr>
          <w:sz w:val="16"/>
          <w:szCs w:val="16"/>
        </w:rPr>
      </w:pPr>
      <w:r w:rsidRPr="00B40891">
        <w:rPr>
          <w:sz w:val="16"/>
          <w:szCs w:val="16"/>
        </w:rPr>
        <w:t xml:space="preserve">(Akua, associate director for Criminal Justice Reform at American Progress, she works to advance progressive policy solutions that will ensure a more equitable justice system, while providing protections and opportunities for those who have been directly affected by the criminal justice system. Prior to joining American Progress, </w:t>
      </w:r>
      <w:proofErr w:type="spellStart"/>
      <w:r w:rsidRPr="00B40891">
        <w:rPr>
          <w:sz w:val="16"/>
          <w:szCs w:val="16"/>
        </w:rPr>
        <w:t>Amaning</w:t>
      </w:r>
      <w:proofErr w:type="spellEnd"/>
      <w:r w:rsidRPr="00B40891">
        <w:rPr>
          <w:sz w:val="16"/>
          <w:szCs w:val="16"/>
        </w:rPr>
        <w:t xml:space="preserve"> served as the legislative fellow for U.S. Rep. Mary Gay Scanlon (D-PA), where she worked on </w:t>
      </w:r>
      <w:proofErr w:type="gramStart"/>
      <w:r w:rsidRPr="00B40891">
        <w:rPr>
          <w:sz w:val="16"/>
          <w:szCs w:val="16"/>
        </w:rPr>
        <w:t>a number of</w:t>
      </w:r>
      <w:proofErr w:type="gramEnd"/>
      <w:r w:rsidRPr="00B40891">
        <w:rPr>
          <w:sz w:val="16"/>
          <w:szCs w:val="16"/>
        </w:rPr>
        <w:t xml:space="preserve"> legislative and policy matters under the member’s House Judiciary Committee portfolio. She also served as the Nancy Hale Social Policy Fellow at Third Way, a nonprofit think tank in Washington, D.C., where she worked in several issue areas, including immigration and policing reform. </w:t>
      </w:r>
      <w:proofErr w:type="spellStart"/>
      <w:r w:rsidRPr="00B40891">
        <w:rPr>
          <w:sz w:val="16"/>
          <w:szCs w:val="16"/>
        </w:rPr>
        <w:t>Amaning</w:t>
      </w:r>
      <w:proofErr w:type="spellEnd"/>
      <w:r w:rsidRPr="00B40891">
        <w:rPr>
          <w:sz w:val="16"/>
          <w:szCs w:val="16"/>
        </w:rPr>
        <w:t xml:space="preserve"> holds a Master of Law from American University’s Washington College of Law and a J.D. from Atlanta’s John Marshall Law School. She is also a proud alumna of the University of Miami, where she graduated with a B.A. in English </w:t>
      </w:r>
      <w:proofErr w:type="spellStart"/>
      <w:r w:rsidRPr="00B40891">
        <w:rPr>
          <w:sz w:val="16"/>
          <w:szCs w:val="16"/>
        </w:rPr>
        <w:t>literature.“Advancing</w:t>
      </w:r>
      <w:proofErr w:type="spellEnd"/>
      <w:r w:rsidRPr="00B40891">
        <w:rPr>
          <w:sz w:val="16"/>
          <w:szCs w:val="16"/>
        </w:rPr>
        <w:t xml:space="preserve"> Clean Slate: The Need for Automatic Record Clearance During the Coronavirus Pandemic,” </w:t>
      </w:r>
      <w:proofErr w:type="spellStart"/>
      <w:r w:rsidRPr="00B40891">
        <w:rPr>
          <w:sz w:val="16"/>
          <w:szCs w:val="16"/>
        </w:rPr>
        <w:t>pg</w:t>
      </w:r>
      <w:proofErr w:type="spellEnd"/>
      <w:r w:rsidRPr="00B40891">
        <w:rPr>
          <w:sz w:val="16"/>
          <w:szCs w:val="16"/>
        </w:rPr>
        <w:t xml:space="preserve"> online @ </w:t>
      </w:r>
      <w:hyperlink r:id="rId85" w:history="1">
        <w:r w:rsidRPr="00B40891">
          <w:rPr>
            <w:rStyle w:val="Hyperlink"/>
            <w:sz w:val="16"/>
            <w:szCs w:val="16"/>
          </w:rPr>
          <w:t>https://www.americanprogress.org/issues/criminal-justice/news/2020/06/25/486857/advancing-clean-slate-need-automatic-record-clearance-coronavirus-pandemic/</w:t>
        </w:r>
      </w:hyperlink>
      <w:r w:rsidRPr="00B40891">
        <w:rPr>
          <w:sz w:val="16"/>
          <w:szCs w:val="16"/>
        </w:rPr>
        <w:t xml:space="preserve"> //um-</w:t>
      </w:r>
      <w:proofErr w:type="spellStart"/>
      <w:r w:rsidRPr="00B40891">
        <w:rPr>
          <w:sz w:val="16"/>
          <w:szCs w:val="16"/>
        </w:rPr>
        <w:t>ef</w:t>
      </w:r>
      <w:proofErr w:type="spellEnd"/>
      <w:r w:rsidRPr="00B40891">
        <w:rPr>
          <w:sz w:val="16"/>
          <w:szCs w:val="16"/>
        </w:rPr>
        <w:t>)</w:t>
      </w:r>
    </w:p>
    <w:p w14:paraId="76DF9347" w14:textId="273946E4" w:rsidR="00167C87" w:rsidRPr="00167C87" w:rsidRDefault="00167C87" w:rsidP="00167C87">
      <w:pPr>
        <w:rPr>
          <w:sz w:val="10"/>
        </w:rPr>
      </w:pPr>
      <w:proofErr w:type="gramStart"/>
      <w:r w:rsidRPr="00167C87">
        <w:rPr>
          <w:sz w:val="10"/>
        </w:rPr>
        <w:t xml:space="preserve">In particular, </w:t>
      </w:r>
      <w:r w:rsidRPr="00885B93">
        <w:rPr>
          <w:rStyle w:val="Emphasis"/>
        </w:rPr>
        <w:t>lawmakers</w:t>
      </w:r>
      <w:proofErr w:type="gramEnd"/>
      <w:r w:rsidRPr="00885B93">
        <w:rPr>
          <w:rStyle w:val="Emphasis"/>
        </w:rPr>
        <w:t xml:space="preserve"> must push for “clean slate” policies, which center around reducing the negative effects of a criminal record through automatic record-clearing for minor nonviolent cases</w:t>
      </w:r>
      <w:r w:rsidRPr="00167C87">
        <w:rPr>
          <w:sz w:val="10"/>
        </w:rPr>
        <w:t xml:space="preserve">. Several states have taken the lead on enacting clean slate legislation to provide better opportunities for their constituents, and now, </w:t>
      </w:r>
      <w:r w:rsidRPr="00FC1671">
        <w:rPr>
          <w:rStyle w:val="Emphasis"/>
        </w:rPr>
        <w:t>even federal legislators are pushing for federal clean slate laws</w:t>
      </w:r>
      <w:r w:rsidRPr="00167C87">
        <w:rPr>
          <w:sz w:val="10"/>
        </w:rPr>
        <w:t xml:space="preserve">. Amid the current crisis, </w:t>
      </w:r>
      <w:r w:rsidRPr="00167C87">
        <w:rPr>
          <w:rStyle w:val="StyleUnderline"/>
        </w:rPr>
        <w:t>the passage of clean slate measures must become a priority to ensure that the tens of millions of people affected by the justice system are able to successfully reenter society and participate in the nation’s recovery</w:t>
      </w:r>
      <w:r w:rsidRPr="00167C87">
        <w:rPr>
          <w:sz w:val="10"/>
        </w:rPr>
        <w:t xml:space="preserve">. This column looks at the need for clean slate legislation, highlighting advances made since the first automatic record-clearing state law was passed in 2018 and examining how states and the federal government have taken steps to provide a pathway to success for those who have been negatively affected by the criminal justice system. The case for automatic record-clearance measures </w:t>
      </w:r>
      <w:proofErr w:type="gramStart"/>
      <w:r w:rsidRPr="00167C87">
        <w:rPr>
          <w:sz w:val="10"/>
        </w:rPr>
        <w:t>In</w:t>
      </w:r>
      <w:proofErr w:type="gramEnd"/>
      <w:r w:rsidRPr="00167C87">
        <w:rPr>
          <w:sz w:val="10"/>
        </w:rPr>
        <w:t xml:space="preserve"> many countries, one’s rights are restored once they have completed their sentence or been exonerated. But for far too many people in the United States, a criminal record often leads to </w:t>
      </w:r>
      <w:proofErr w:type="gramStart"/>
      <w:r w:rsidRPr="00167C87">
        <w:rPr>
          <w:sz w:val="10"/>
        </w:rPr>
        <w:t>a number of</w:t>
      </w:r>
      <w:proofErr w:type="gramEnd"/>
      <w:r w:rsidRPr="00167C87">
        <w:rPr>
          <w:sz w:val="10"/>
        </w:rPr>
        <w:t xml:space="preserve"> collateral consequences that can prevent someone from successfully moving forward in life, even long after completing their sentence. For example, formerly incarcerated people face challenges entering the workforce, where 9 in 10 employers use background checks in their hiring process. One study found that job applicants with convictions are 60 percent less likely to receive callbacks than those without convictions. Such setbacks can be particularly difficult for applicants of color, who often face additional challenges in the hiring process due to discrimination against their race or ethnicity. Now, with the coronavirus affecting the country’s economy, and unemployment rates at an all-time high, access to job opportunities has become even more scarce for those reentering society. Even once job opportunities become more available, those with a criminal record will have to compete against a much wider pool of applicants while overcoming the stigma of their arrest or conviction. In addition, housing and education opportunities can be hard to come by for those with a record: 4 in 5 landlords use background checks to make determinations on rental applicants, and about 2 in 3 colleges and universities review an applicant’s criminal history when making both admissions and funding determinations. With so many long-term barriers imposed on justice-involved individuals, accessing essential life resources can be incredibly difficult, leading many toward a life of poverty and ultimately a downward spiral of recidivism and reincarceration. Previously incarcerated people are 10 times more likely than the general public to end up homeless, and individuals who remain unemployed only two months after reentry are twice as likely to recidivate than those who are employed. These setbacks affect not only the record-holding individual but also their family members. This is especially true for dependent children, as the collateral consequences of a parent’s record can significantly affect children’s mental development, education, future employment opportunities, and overall well-being. An estimated 33 million to 36.5 million children in the United States have at least one parent with a criminal record. This means that nearly half of America’s youth population may be denied the opportunity for a successful future even before they have the chance to reach their full potential. Most states have recognized the need to reduce the impact of collateral consequences from a criminal record and have provided a mechanism for certain records to be sealed or expunged through a court petition. However, this process is flawed and comes with its own set of challenges. Many who are eligible to petition the court are unaware of this option or do not have the resources needed to navigate the challenges that come with seeking relief from the courts. Additionally, a successful petition process is often confusing and requires thousands of dollars for legal services and court fees, as well as time away from obligations such as work and child care—both of which are valuable resources that are scarce for those seeking to clear their record, especially during the coronavirus crisis. With so many barriers and potential setbacks, it is no wonder researchers at the University of Michigan find that only 6.5 percent of those eligible </w:t>
      </w:r>
      <w:proofErr w:type="gramStart"/>
      <w:r w:rsidRPr="00167C87">
        <w:rPr>
          <w:sz w:val="10"/>
        </w:rPr>
        <w:t>are able to</w:t>
      </w:r>
      <w:proofErr w:type="gramEnd"/>
      <w:r w:rsidRPr="00167C87">
        <w:rPr>
          <w:sz w:val="10"/>
        </w:rPr>
        <w:t xml:space="preserve"> clear their records within five years of eligibility. At a time when many are recognizing the need to reform the U.S. criminal justice system, </w:t>
      </w:r>
      <w:r w:rsidRPr="00167C87">
        <w:rPr>
          <w:rStyle w:val="StyleUnderline"/>
        </w:rPr>
        <w:t>momentum is gaining to implement an automated record-clearance process that would resolve many of the burdensome challenges that come with petitioning a court</w:t>
      </w:r>
      <w:r w:rsidRPr="00167C87">
        <w:rPr>
          <w:sz w:val="10"/>
        </w:rPr>
        <w:t xml:space="preserve">. </w:t>
      </w:r>
      <w:r w:rsidRPr="00167C87">
        <w:rPr>
          <w:rStyle w:val="Emphasis"/>
        </w:rPr>
        <w:t>Support for clean slate measures is not only widespread but also bipartisan</w:t>
      </w:r>
      <w:r w:rsidRPr="00167C87">
        <w:rPr>
          <w:sz w:val="10"/>
        </w:rPr>
        <w:t xml:space="preserve">. </w:t>
      </w:r>
      <w:r w:rsidRPr="00167C87">
        <w:rPr>
          <w:rStyle w:val="StyleUnderline"/>
        </w:rPr>
        <w:t>Polling</w:t>
      </w:r>
      <w:r w:rsidRPr="00167C87">
        <w:rPr>
          <w:sz w:val="10"/>
        </w:rPr>
        <w:t xml:space="preserve"> by GBA Strategies and the Center for American Progress </w:t>
      </w:r>
      <w:r w:rsidRPr="00167C87">
        <w:rPr>
          <w:rStyle w:val="StyleUnderline"/>
        </w:rPr>
        <w:t>finds that 70 percent of Americans, across party lines, support state legislation that would automatically clear qualifying records once someone remains crime-free</w:t>
      </w:r>
      <w:r w:rsidRPr="00167C87">
        <w:rPr>
          <w:sz w:val="10"/>
        </w:rPr>
        <w:t xml:space="preserve">. </w:t>
      </w:r>
      <w:r w:rsidRPr="00167C87">
        <w:rPr>
          <w:rStyle w:val="StyleUnderline"/>
        </w:rPr>
        <w:t>State and federal lawmakers—from both sides of the aisle—have taken note of the public’s interest in clean slate reforms and are beginning to advance these measures within their jurisdictions</w:t>
      </w:r>
      <w:r w:rsidRPr="00167C87">
        <w:rPr>
          <w:sz w:val="10"/>
        </w:rPr>
        <w:t>. During the current public health crisis and looming economic recession, it is vital that such policies are implemented quickly so that justice-involved individuals can access the essential life resources they need to survive and can contribute to the nation’s economy recovery.</w:t>
      </w:r>
    </w:p>
    <w:p w14:paraId="195574BE" w14:textId="77777777" w:rsidR="006479F3" w:rsidRDefault="006479F3" w:rsidP="006479F3">
      <w:pPr>
        <w:pStyle w:val="Heading3"/>
      </w:pPr>
      <w:r>
        <w:t>AT: Ban the Box CP</w:t>
      </w:r>
    </w:p>
    <w:p w14:paraId="7E6C61BB" w14:textId="77777777" w:rsidR="006479F3" w:rsidRDefault="006479F3" w:rsidP="006479F3">
      <w:pPr>
        <w:pStyle w:val="Heading4"/>
      </w:pPr>
      <w:r>
        <w:t>Ban the Box legislation fails- inconsistent results and narrow consequence focus produce little progress</w:t>
      </w:r>
    </w:p>
    <w:p w14:paraId="1EEE326E" w14:textId="77777777" w:rsidR="006479F3" w:rsidRPr="00FD5DD1" w:rsidRDefault="006479F3" w:rsidP="006479F3">
      <w:pPr>
        <w:rPr>
          <w:sz w:val="20"/>
          <w:szCs w:val="20"/>
        </w:rPr>
      </w:pPr>
      <w:proofErr w:type="spellStart"/>
      <w:r w:rsidRPr="00FD5DD1">
        <w:rPr>
          <w:b/>
          <w:bCs/>
          <w:sz w:val="24"/>
          <w:szCs w:val="24"/>
        </w:rPr>
        <w:t>Macdowell</w:t>
      </w:r>
      <w:proofErr w:type="spellEnd"/>
      <w:r w:rsidRPr="00FD5DD1">
        <w:rPr>
          <w:b/>
          <w:bCs/>
          <w:sz w:val="24"/>
          <w:szCs w:val="24"/>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86"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3311643A" w14:textId="77777777" w:rsidR="006479F3" w:rsidRPr="003A7C43" w:rsidRDefault="006479F3" w:rsidP="006479F3">
      <w:pPr>
        <w:rPr>
          <w:sz w:val="12"/>
        </w:rPr>
      </w:pPr>
      <w:r w:rsidRPr="003A7C43">
        <w:rPr>
          <w:sz w:val="12"/>
        </w:rPr>
        <w:t xml:space="preserve">C.  Why Ban the Box Statutes Alone Are Unable to Solve the Issue at </w:t>
      </w:r>
      <w:proofErr w:type="gramStart"/>
      <w:r w:rsidRPr="003A7C43">
        <w:rPr>
          <w:sz w:val="12"/>
        </w:rPr>
        <w:t xml:space="preserve">Hand  </w:t>
      </w:r>
      <w:r w:rsidRPr="00080523">
        <w:rPr>
          <w:b/>
          <w:bCs/>
          <w:u w:val="single"/>
        </w:rPr>
        <w:t>While</w:t>
      </w:r>
      <w:proofErr w:type="gramEnd"/>
      <w:r w:rsidRPr="00080523">
        <w:rPr>
          <w:b/>
          <w:bCs/>
          <w:u w:val="single"/>
        </w:rPr>
        <w:t xml:space="preserve"> Ban the Box legislation has realized considerable success</w:t>
      </w:r>
      <w:r w:rsidRPr="003A7C43">
        <w:rPr>
          <w:sz w:val="12"/>
        </w:rPr>
        <w:t>,     231</w:t>
      </w:r>
      <w:r w:rsidRPr="00080523">
        <w:rPr>
          <w:b/>
          <w:bCs/>
          <w:u w:val="single"/>
        </w:rPr>
        <w:t>there is too much variation in the state statutes</w:t>
      </w:r>
      <w:r w:rsidRPr="003A7C43">
        <w:rPr>
          <w:sz w:val="12"/>
        </w:rPr>
        <w:t xml:space="preserve">     232</w:t>
      </w:r>
      <w:r w:rsidRPr="00080523">
        <w:rPr>
          <w:b/>
          <w:bCs/>
          <w:u w:val="single"/>
        </w:rPr>
        <w:t>to expect consistent results</w:t>
      </w:r>
      <w:r w:rsidRPr="003A7C43">
        <w:rPr>
          <w:sz w:val="12"/>
        </w:rPr>
        <w:t>. Specifically, the variation in Ban the Box statutes does substantially further the congressional goals of the Act, which are to create honesty, reasonable uniformity, and proportionality in sentencing.     233</w:t>
      </w:r>
      <w:r w:rsidRPr="00080523">
        <w:rPr>
          <w:b/>
          <w:bCs/>
          <w:u w:val="single"/>
        </w:rPr>
        <w:t>Widespread variation between state legislation promotes neither fairness nor uniformity in sentencing</w:t>
      </w:r>
      <w:r w:rsidRPr="003A7C43">
        <w:rPr>
          <w:sz w:val="12"/>
        </w:rPr>
        <w:t xml:space="preserve">.     234This is because </w:t>
      </w:r>
      <w:r w:rsidRPr="00080523">
        <w:rPr>
          <w:b/>
          <w:bCs/>
          <w:u w:val="single"/>
        </w:rPr>
        <w:t>the statutes do not adequately reduce the disparity of sentences imposed on similar offenders for similar crimes</w:t>
      </w:r>
      <w:r w:rsidRPr="003A7C43">
        <w:rPr>
          <w:sz w:val="12"/>
        </w:rPr>
        <w:t xml:space="preserve">.   Although the sentences could theoretically be consistent, they continue to impose different impacts and, consequently, differing levels of punishment. Since collateral consequences, such as difficulty in finding employment, exist long after the sentence is </w:t>
      </w:r>
      <w:proofErr w:type="gramStart"/>
      <w:r w:rsidRPr="003A7C43">
        <w:rPr>
          <w:sz w:val="12"/>
        </w:rPr>
        <w:t xml:space="preserve">served,   </w:t>
      </w:r>
      <w:proofErr w:type="gramEnd"/>
      <w:r w:rsidRPr="003A7C43">
        <w:rPr>
          <w:sz w:val="12"/>
        </w:rPr>
        <w:t xml:space="preserve">  235</w:t>
      </w:r>
      <w:r w:rsidRPr="00080523">
        <w:rPr>
          <w:b/>
          <w:bCs/>
          <w:u w:val="single"/>
        </w:rPr>
        <w:t>even a seemingly slight disparity in collateral consequences that compounds for many years can lead to a considerable difference in impact</w:t>
      </w:r>
      <w:r w:rsidRPr="003A7C43">
        <w:rPr>
          <w:sz w:val="12"/>
        </w:rPr>
        <w:t xml:space="preserve">. For example, if two individuals commit the same crime and are given identical sentences, but the offenders live in different states with different Ban the Box policies, each offender will effectively have a different level of punishment because of the employment collateral consequences alone. Imposing different punishments on offenders based merely on geographic location violates the principle of fairness in sentencing.   The limitations on the Ban the Box laws found in the variations also reduce uniformity in the application of the laws and their effects. </w:t>
      </w:r>
      <w:r w:rsidRPr="00080523">
        <w:rPr>
          <w:b/>
          <w:bCs/>
          <w:u w:val="single"/>
        </w:rPr>
        <w:t xml:space="preserve">Several Ban the Box laws apply only to private employers </w:t>
      </w:r>
      <w:r w:rsidRPr="003A7C43">
        <w:rPr>
          <w:sz w:val="12"/>
        </w:rPr>
        <w:t xml:space="preserve">with more than fifteen employees.     236Many other Ban the Box laws apply only to public employers.     237Consequently, if an ex-offender is qualified to work in an industry that is laden primarily with small businesses or is primarily in the  [*836] private sector, the Ban the Box laws would not have an impact on his postconviction job prospects.   Additionally, </w:t>
      </w:r>
      <w:r w:rsidRPr="00080523">
        <w:rPr>
          <w:b/>
          <w:bCs/>
          <w:u w:val="single"/>
        </w:rPr>
        <w:t>Ban the Box addresses only one</w:t>
      </w:r>
      <w:r w:rsidRPr="003A7C43">
        <w:rPr>
          <w:sz w:val="12"/>
        </w:rPr>
        <w:t xml:space="preserve">, albeit pervasive and serious, </w:t>
      </w:r>
      <w:r w:rsidRPr="00080523">
        <w:rPr>
          <w:b/>
          <w:bCs/>
          <w:u w:val="single"/>
        </w:rPr>
        <w:t>collateral consequence</w:t>
      </w:r>
      <w:r w:rsidRPr="003A7C43">
        <w:rPr>
          <w:sz w:val="12"/>
        </w:rPr>
        <w:t xml:space="preserve">. Thus, this addresses only one piece of the collateral consequence problem. </w:t>
      </w:r>
      <w:r w:rsidRPr="00080523">
        <w:rPr>
          <w:b/>
          <w:bCs/>
          <w:u w:val="single"/>
        </w:rPr>
        <w:t>Ban the Box legislation would have no impact on formal collateral consequences or other informal collateral consequences</w:t>
      </w:r>
      <w:r w:rsidRPr="003A7C43">
        <w:rPr>
          <w:sz w:val="12"/>
        </w:rPr>
        <w:t xml:space="preserve">. </w:t>
      </w:r>
    </w:p>
    <w:p w14:paraId="3D3EDCBD" w14:textId="77777777" w:rsidR="006479F3" w:rsidRDefault="006479F3" w:rsidP="006479F3"/>
    <w:p w14:paraId="2FA70611" w14:textId="77777777" w:rsidR="006479F3" w:rsidRDefault="006479F3" w:rsidP="006479F3">
      <w:pPr>
        <w:pStyle w:val="Heading4"/>
      </w:pPr>
      <w:r>
        <w:t xml:space="preserve">Ban the Box legislation upholds discrimination in sentencing and solely focuses on one collateral consequence- the </w:t>
      </w:r>
      <w:proofErr w:type="spellStart"/>
      <w:r>
        <w:t>aff</w:t>
      </w:r>
      <w:proofErr w:type="spellEnd"/>
      <w:r>
        <w:t xml:space="preserve"> is a necessary solution </w:t>
      </w:r>
    </w:p>
    <w:p w14:paraId="35A097FD" w14:textId="77777777" w:rsidR="006479F3" w:rsidRPr="00FD5DD1" w:rsidRDefault="006479F3" w:rsidP="006479F3">
      <w:pPr>
        <w:rPr>
          <w:sz w:val="20"/>
          <w:szCs w:val="20"/>
        </w:rPr>
      </w:pPr>
      <w:proofErr w:type="spellStart"/>
      <w:r w:rsidRPr="00FD5DD1">
        <w:rPr>
          <w:b/>
          <w:bCs/>
          <w:sz w:val="24"/>
          <w:szCs w:val="24"/>
        </w:rPr>
        <w:t>Macdowell</w:t>
      </w:r>
      <w:proofErr w:type="spellEnd"/>
      <w:r w:rsidRPr="00FD5DD1">
        <w:rPr>
          <w:b/>
          <w:bCs/>
          <w:sz w:val="24"/>
          <w:szCs w:val="24"/>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87"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6CF38845" w14:textId="77777777" w:rsidR="006479F3" w:rsidRPr="00377BE3" w:rsidRDefault="006479F3" w:rsidP="006479F3">
      <w:pPr>
        <w:rPr>
          <w:sz w:val="16"/>
        </w:rPr>
      </w:pPr>
      <w:r w:rsidRPr="00FB294B">
        <w:rPr>
          <w:sz w:val="16"/>
        </w:rPr>
        <w:t>2. The Impact of the Ban the Box Campaign   The general goal of Ban the Box legislation is to give a convicted individual the opportunity to be considered for employment prior to employers discovering his criminal history.     112This goal is justified because there is a negative relationship between learning about criminal history and hiring formerly convicted individuals.     113Additionally, there is a significant link between unemployment and recidivism.     114A study found that employment following a conviction can reduce recidivism rates by up to twenty percent for nonviolent crimes.     115</w:t>
      </w:r>
      <w:proofErr w:type="gramStart"/>
      <w:r w:rsidRPr="00FB294B">
        <w:rPr>
          <w:sz w:val="16"/>
        </w:rPr>
        <w:t xml:space="preserve">   [</w:t>
      </w:r>
      <w:proofErr w:type="gramEnd"/>
      <w:r w:rsidRPr="00FB294B">
        <w:rPr>
          <w:sz w:val="16"/>
        </w:rPr>
        <w:t xml:space="preserve">*822] While formerly convicted individuals who obtain jobs may still relapse, job attainment removes some pressure to support themselves and their families.     116Therefore, removing an obstacle, which often inhibits finding employment, is a crucial part of reintegrating former convicts into society.     117   A study was conducted in 2014 to evaluate the impact of Hawaii's Ban the Box legislation.     118This study focused on Hawaii's legislation because it was the first of its kind </w:t>
      </w:r>
      <w:proofErr w:type="gramStart"/>
      <w:r w:rsidRPr="00FB294B">
        <w:rPr>
          <w:sz w:val="16"/>
        </w:rPr>
        <w:t>and also</w:t>
      </w:r>
      <w:proofErr w:type="gramEnd"/>
      <w:r w:rsidRPr="00FB294B">
        <w:rPr>
          <w:sz w:val="16"/>
        </w:rPr>
        <w:t xml:space="preserve"> a very strict form of Ban the Box legislation.     119The study found that in the six years following the enactment of the Hawaii statute, there was an overall decline in repeat offending for felonies.     120Specifically, repeat felony offenses decreased by an average of 11.4%.     121   This study also found that </w:t>
      </w:r>
      <w:r w:rsidRPr="00D11E04">
        <w:rPr>
          <w:b/>
          <w:bCs/>
          <w:u w:val="single"/>
        </w:rPr>
        <w:t>Hawaii's Ban the Box statute did not have any meaningful impact on minorities.</w:t>
      </w:r>
      <w:r w:rsidRPr="00FB294B">
        <w:rPr>
          <w:sz w:val="16"/>
        </w:rPr>
        <w:t xml:space="preserve">     122This finding is particularly significant because some scholars contend that </w:t>
      </w:r>
      <w:r w:rsidRPr="00D11E04">
        <w:rPr>
          <w:b/>
          <w:bCs/>
          <w:u w:val="single"/>
        </w:rPr>
        <w:t xml:space="preserve">in the absence of criminal background checks, employers will resort to </w:t>
      </w:r>
      <w:r w:rsidRPr="00D11E04">
        <w:rPr>
          <w:rStyle w:val="Emphasis"/>
        </w:rPr>
        <w:t>stereotyping applicants</w:t>
      </w:r>
      <w:r w:rsidRPr="00D11E04">
        <w:rPr>
          <w:b/>
          <w:bCs/>
          <w:u w:val="single"/>
        </w:rPr>
        <w:t xml:space="preserve"> and guessing criminal history of applicants based on race</w:t>
      </w:r>
      <w:r w:rsidRPr="00FB294B">
        <w:rPr>
          <w:sz w:val="16"/>
        </w:rPr>
        <w:t xml:space="preserve">.     123   Many scholars who support the movement contend that </w:t>
      </w:r>
      <w:r w:rsidRPr="00D11E04">
        <w:rPr>
          <w:b/>
          <w:bCs/>
          <w:u w:val="single"/>
        </w:rPr>
        <w:t xml:space="preserve">disclosure of criminal history by job applicants is a form of </w:t>
      </w:r>
      <w:r w:rsidRPr="00D11E04">
        <w:rPr>
          <w:rStyle w:val="Emphasis"/>
        </w:rPr>
        <w:t>employment discrimination</w:t>
      </w:r>
      <w:r w:rsidRPr="00FB294B">
        <w:rPr>
          <w:sz w:val="16"/>
        </w:rPr>
        <w:t xml:space="preserve"> under Title VII.     124While convicted individuals could not bring a disparate-treatment claim under Title VII because they are not a protected </w:t>
      </w:r>
      <w:proofErr w:type="gramStart"/>
      <w:r w:rsidRPr="00FB294B">
        <w:rPr>
          <w:sz w:val="16"/>
        </w:rPr>
        <w:t xml:space="preserve">class,   </w:t>
      </w:r>
      <w:proofErr w:type="gramEnd"/>
      <w:r w:rsidRPr="00FB294B">
        <w:rPr>
          <w:sz w:val="16"/>
        </w:rPr>
        <w:t xml:space="preserve">  125  [*823] scholars argue that these individuals still have recourse under Title VII.     126Individuals with criminal records could bring action under Title VII if they can show that considering criminal history in hiring could have a disparate impact on protected minorities.     127Assuming this stance is correct, Ban the Box combats and alleviates this form of discrimination. Ban the Box reduces discrimination for ex-convicts, who are otherwise qualified, in finding employment.   Since their inception in 1998, Ban the Box policies have become common and widespread. They are helping reintegrate offenders into society while still accounting for risks and employer concerns. However, </w:t>
      </w:r>
      <w:r w:rsidRPr="00D11E04">
        <w:rPr>
          <w:b/>
          <w:bCs/>
          <w:u w:val="single"/>
        </w:rPr>
        <w:t>Ban the Box legislation combats only one collateral consequence and reduces the impact of only that consequence</w:t>
      </w:r>
      <w:r w:rsidRPr="00FB294B">
        <w:rPr>
          <w:sz w:val="16"/>
        </w:rPr>
        <w:t xml:space="preserve">; </w:t>
      </w:r>
      <w:r w:rsidRPr="00D11E04">
        <w:rPr>
          <w:b/>
          <w:bCs/>
          <w:u w:val="single"/>
        </w:rPr>
        <w:t>Ban the Box legislation does not resolve the issue of disproportionate sentences</w:t>
      </w:r>
      <w:r w:rsidRPr="00FB294B">
        <w:rPr>
          <w:sz w:val="16"/>
        </w:rPr>
        <w:t xml:space="preserve">. Therefore, despite the success of Ban the Box legislation, </w:t>
      </w:r>
      <w:r w:rsidRPr="00D11E04">
        <w:rPr>
          <w:b/>
          <w:bCs/>
          <w:u w:val="single"/>
        </w:rPr>
        <w:t>another solution is required</w:t>
      </w:r>
      <w:r w:rsidRPr="00FB294B">
        <w:rPr>
          <w:sz w:val="16"/>
        </w:rPr>
        <w:t xml:space="preserve">. </w:t>
      </w:r>
    </w:p>
    <w:p w14:paraId="55BFA438" w14:textId="77777777" w:rsidR="006479F3" w:rsidRPr="00D11E04" w:rsidRDefault="006479F3" w:rsidP="006479F3">
      <w:pPr>
        <w:rPr>
          <w:b/>
          <w:bCs/>
          <w:u w:val="single"/>
        </w:rPr>
      </w:pPr>
    </w:p>
    <w:p w14:paraId="340BDA93" w14:textId="77777777" w:rsidR="006479F3" w:rsidRDefault="006479F3" w:rsidP="006479F3">
      <w:pPr>
        <w:pStyle w:val="Heading4"/>
      </w:pPr>
      <w:r>
        <w:t xml:space="preserve">Fair Chance and Ban the Box </w:t>
      </w:r>
      <w:proofErr w:type="gramStart"/>
      <w:r>
        <w:t>don’t</w:t>
      </w:r>
      <w:proofErr w:type="gramEnd"/>
      <w:r>
        <w:t xml:space="preserve"> solve- </w:t>
      </w:r>
      <w:proofErr w:type="spellStart"/>
      <w:r>
        <w:t>squo</w:t>
      </w:r>
      <w:proofErr w:type="spellEnd"/>
      <w:r>
        <w:t xml:space="preserve"> progress is dramatically limited and cannot spur necessary change</w:t>
      </w:r>
    </w:p>
    <w:p w14:paraId="45CD1843" w14:textId="77777777" w:rsidR="006479F3" w:rsidRPr="00FD5DD1" w:rsidRDefault="006479F3" w:rsidP="006479F3">
      <w:pPr>
        <w:rPr>
          <w:sz w:val="20"/>
          <w:szCs w:val="20"/>
        </w:rPr>
      </w:pPr>
      <w:proofErr w:type="spellStart"/>
      <w:r w:rsidRPr="00FD5DD1">
        <w:rPr>
          <w:b/>
          <w:bCs/>
          <w:sz w:val="24"/>
          <w:szCs w:val="24"/>
        </w:rPr>
        <w:t>Macdowell</w:t>
      </w:r>
      <w:proofErr w:type="spellEnd"/>
      <w:r w:rsidRPr="00FD5DD1">
        <w:rPr>
          <w:b/>
          <w:bCs/>
          <w:sz w:val="24"/>
          <w:szCs w:val="24"/>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88"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68289A87" w14:textId="77777777" w:rsidR="006479F3" w:rsidRPr="00FB294B" w:rsidRDefault="006479F3" w:rsidP="006479F3">
      <w:pPr>
        <w:rPr>
          <w:sz w:val="12"/>
        </w:rPr>
      </w:pPr>
      <w:r w:rsidRPr="00FB294B">
        <w:rPr>
          <w:sz w:val="12"/>
        </w:rPr>
        <w:t xml:space="preserve">The Obama Administration continued to support the Ban the Box Campaign by creating the White House Fair Chance Business </w:t>
      </w:r>
      <w:proofErr w:type="gramStart"/>
      <w:r w:rsidRPr="00FB294B">
        <w:rPr>
          <w:sz w:val="12"/>
        </w:rPr>
        <w:t>Pledge,  [</w:t>
      </w:r>
      <w:proofErr w:type="gramEnd"/>
      <w:r w:rsidRPr="00FB294B">
        <w:rPr>
          <w:sz w:val="12"/>
        </w:rPr>
        <w:t xml:space="preserve">*820] which asks companies to commit to removing unnecessary hiring barriers.     96Many large employers have since signed this pledge, including Coca-Cola, Microsoft, Starbucks, Google, Uber, Walmart, and Staples.     97In addition to those companies that have signed the pledge, Facebook, Target, Home Depot, and Koch Industries have instituted specific Ban the Box policies.     98   Congress has also taken steps toward Banning the Box for the federal government by introducing the Fair Chance Act.     99If enacted, the Fair Chance Act would prohibit both the federal government and federal contractors from inquiring into criminal history until a conditional job offer has been presented.     100While this would be a great stride toward reducing the employment consequences in the federal arena, </w:t>
      </w:r>
      <w:r w:rsidRPr="00D11E04">
        <w:rPr>
          <w:b/>
          <w:bCs/>
          <w:u w:val="single"/>
        </w:rPr>
        <w:t>the Fair Chance Act will not have an impact on the private sector</w:t>
      </w:r>
      <w:r w:rsidRPr="00FB294B">
        <w:rPr>
          <w:sz w:val="12"/>
        </w:rPr>
        <w:t xml:space="preserve">. Approximately </w:t>
      </w:r>
      <w:r w:rsidRPr="00D11E04">
        <w:rPr>
          <w:b/>
          <w:bCs/>
          <w:u w:val="single"/>
        </w:rPr>
        <w:t xml:space="preserve">85% of U.S. jobs are based in the private sector, so the Fair Chance Act will not impact </w:t>
      </w:r>
      <w:proofErr w:type="gramStart"/>
      <w:r w:rsidRPr="00D11E04">
        <w:rPr>
          <w:b/>
          <w:bCs/>
          <w:u w:val="single"/>
        </w:rPr>
        <w:t>the vast majority of</w:t>
      </w:r>
      <w:proofErr w:type="gramEnd"/>
      <w:r w:rsidRPr="00D11E04">
        <w:rPr>
          <w:b/>
          <w:bCs/>
          <w:u w:val="single"/>
        </w:rPr>
        <w:t xml:space="preserve"> employment opportunities</w:t>
      </w:r>
      <w:r w:rsidRPr="00FB294B">
        <w:rPr>
          <w:sz w:val="12"/>
        </w:rPr>
        <w:t xml:space="preserve">.     101   Additionally, despite these efforts across the nation, the </w:t>
      </w:r>
      <w:r w:rsidRPr="00D11E04">
        <w:rPr>
          <w:b/>
          <w:bCs/>
          <w:u w:val="single"/>
        </w:rPr>
        <w:t xml:space="preserve">existing Ban the Box legislation varies significantly among states and municipalities. </w:t>
      </w:r>
      <w:r w:rsidRPr="00FB294B">
        <w:rPr>
          <w:sz w:val="12"/>
        </w:rPr>
        <w:t xml:space="preserve">    102First, Ban the Box legislation varies on when employers can conduct background checks.     103</w:t>
      </w:r>
      <w:r w:rsidRPr="00D11E04">
        <w:rPr>
          <w:b/>
          <w:bCs/>
          <w:u w:val="single"/>
        </w:rPr>
        <w:t>Various laws permit employers to conduct background checks when the applicant is deemed qualified</w:t>
      </w:r>
      <w:r w:rsidRPr="00FB294B">
        <w:rPr>
          <w:sz w:val="12"/>
        </w:rPr>
        <w:t xml:space="preserve">, following an interview, </w:t>
      </w:r>
      <w:proofErr w:type="gramStart"/>
      <w:r w:rsidRPr="00FB294B">
        <w:rPr>
          <w:sz w:val="12"/>
        </w:rPr>
        <w:t>or  [</w:t>
      </w:r>
      <w:proofErr w:type="gramEnd"/>
      <w:r w:rsidRPr="00FB294B">
        <w:rPr>
          <w:sz w:val="12"/>
        </w:rPr>
        <w:t xml:space="preserve">*821] after making a conditional offer to an applicant.     104Second, the statutes vary based on whether they apply to private employers, public employers, or both.     105Third, the legislation varies on what kind of information employers can consider. Specifically, they vary on whether limitations are imposed on the type of offense or how much time has lapsed since the conviction.     106Fourth, the state legislation varies significantly on how employers are directed to consider criminal history.     107   Overall, </w:t>
      </w:r>
      <w:r w:rsidRPr="00D11E04">
        <w:rPr>
          <w:b/>
          <w:bCs/>
          <w:u w:val="single"/>
        </w:rPr>
        <w:t xml:space="preserve">at this point, thirty states, </w:t>
      </w:r>
      <w:r w:rsidRPr="00FB294B">
        <w:rPr>
          <w:sz w:val="12"/>
        </w:rPr>
        <w:t xml:space="preserve">150 </w:t>
      </w:r>
      <w:r w:rsidRPr="00D11E04">
        <w:rPr>
          <w:b/>
          <w:bCs/>
          <w:u w:val="single"/>
        </w:rPr>
        <w:t>local government entities</w:t>
      </w:r>
      <w:r w:rsidRPr="00FB294B">
        <w:rPr>
          <w:sz w:val="12"/>
        </w:rPr>
        <w:t>,     108</w:t>
      </w:r>
      <w:r w:rsidRPr="00D11E04">
        <w:rPr>
          <w:b/>
          <w:bCs/>
          <w:u w:val="single"/>
        </w:rPr>
        <w:t>Congress</w:t>
      </w:r>
      <w:r w:rsidRPr="00FB294B">
        <w:rPr>
          <w:sz w:val="12"/>
        </w:rPr>
        <w:t xml:space="preserve">,     109the </w:t>
      </w:r>
      <w:r w:rsidRPr="00D11E04">
        <w:rPr>
          <w:b/>
          <w:bCs/>
          <w:u w:val="single"/>
        </w:rPr>
        <w:t>Obama Administration</w:t>
      </w:r>
      <w:r w:rsidRPr="00FB294B">
        <w:rPr>
          <w:sz w:val="12"/>
        </w:rPr>
        <w:t xml:space="preserve">,     110and numerous </w:t>
      </w:r>
      <w:r w:rsidRPr="00D11E04">
        <w:rPr>
          <w:b/>
          <w:bCs/>
          <w:u w:val="single"/>
        </w:rPr>
        <w:t>companies</w:t>
      </w:r>
      <w:r w:rsidRPr="00FB294B">
        <w:rPr>
          <w:sz w:val="12"/>
        </w:rPr>
        <w:t xml:space="preserve">     111</w:t>
      </w:r>
      <w:r w:rsidRPr="00D11E04">
        <w:rPr>
          <w:b/>
          <w:bCs/>
          <w:u w:val="single"/>
        </w:rPr>
        <w:t>have taken steps toward addressing</w:t>
      </w:r>
      <w:r w:rsidRPr="00FB294B">
        <w:rPr>
          <w:sz w:val="12"/>
        </w:rPr>
        <w:t xml:space="preserve"> the </w:t>
      </w:r>
      <w:r w:rsidRPr="00D11E04">
        <w:rPr>
          <w:b/>
          <w:bCs/>
          <w:u w:val="single"/>
        </w:rPr>
        <w:t>collateral consequence of employment discrimination</w:t>
      </w:r>
      <w:r w:rsidRPr="00FB294B">
        <w:rPr>
          <w:sz w:val="12"/>
        </w:rPr>
        <w:t xml:space="preserve"> following a conviction by limiting an employer's ability to seek disclosure of criminal history. This widespread attack on criminal history disclosure demonstrates that this informal collateral consequence is impacting society and that many individuals and government entities believe it is neither appropriate nor necessary for a criminal conviction to have a dramatic, lifelong negative impact on offenders' employment opportunities. </w:t>
      </w:r>
    </w:p>
    <w:p w14:paraId="617968CB" w14:textId="77777777" w:rsidR="0098144E" w:rsidRDefault="0098144E" w:rsidP="0098144E">
      <w:pPr>
        <w:pStyle w:val="Heading3"/>
      </w:pPr>
      <w:r>
        <w:t xml:space="preserve">AT: Punishment CP </w:t>
      </w:r>
    </w:p>
    <w:p w14:paraId="09B60F16" w14:textId="77777777" w:rsidR="0098144E" w:rsidRDefault="0098144E" w:rsidP="0098144E"/>
    <w:p w14:paraId="286D8294" w14:textId="77777777" w:rsidR="0098144E" w:rsidRDefault="0098144E" w:rsidP="0098144E">
      <w:pPr>
        <w:pStyle w:val="Heading4"/>
      </w:pPr>
      <w:r>
        <w:t xml:space="preserve">It fails and triggers the legitimacy arguments --- </w:t>
      </w:r>
    </w:p>
    <w:p w14:paraId="0C373B77" w14:textId="77777777" w:rsidR="0098144E" w:rsidRDefault="0098144E" w:rsidP="0098144E"/>
    <w:p w14:paraId="3DF0F396" w14:textId="77777777" w:rsidR="0098144E" w:rsidRPr="00D45A48" w:rsidRDefault="0098144E" w:rsidP="0098144E">
      <w:pPr>
        <w:rPr>
          <w:rStyle w:val="Style13ptBold"/>
        </w:rPr>
      </w:pPr>
      <w:r w:rsidRPr="00D45A48">
        <w:rPr>
          <w:rStyle w:val="Style13ptBold"/>
        </w:rPr>
        <w:t>Mayson ‘15</w:t>
      </w:r>
    </w:p>
    <w:p w14:paraId="5FBD9389" w14:textId="77777777" w:rsidR="0098144E" w:rsidRPr="00ED162C" w:rsidRDefault="0098144E" w:rsidP="0098144E">
      <w:r>
        <w:t xml:space="preserve">(Sandra G, University of Pennsylvania Law School, “Collateral Consequences and the Preventive State,” </w:t>
      </w:r>
      <w:proofErr w:type="spellStart"/>
      <w:r>
        <w:t>pg</w:t>
      </w:r>
      <w:proofErr w:type="spellEnd"/>
      <w:r>
        <w:t xml:space="preserve"> online @ </w:t>
      </w:r>
      <w:hyperlink r:id="rId89" w:history="1">
        <w:r w:rsidRPr="00944694">
          <w:rPr>
            <w:rStyle w:val="Hyperlink"/>
          </w:rPr>
          <w:t>https://scholarship.law.nd.edu/cgi/viewcontent.cgi?article=4627&amp;context=ndlr</w:t>
        </w:r>
      </w:hyperlink>
      <w:r>
        <w:rPr>
          <w:rStyle w:val="Hyperlink"/>
        </w:rPr>
        <w:t>)</w:t>
      </w:r>
    </w:p>
    <w:p w14:paraId="06D1EB01" w14:textId="77777777" w:rsidR="0098144E" w:rsidRPr="00ED162C" w:rsidRDefault="0098144E" w:rsidP="0098144E">
      <w:pPr>
        <w:rPr>
          <w:sz w:val="12"/>
        </w:rPr>
      </w:pPr>
      <w:r w:rsidRPr="00225D7C">
        <w:rPr>
          <w:rStyle w:val="StyleUnderline"/>
        </w:rPr>
        <w:t>CCs</w:t>
      </w:r>
      <w:proofErr w:type="gramStart"/>
      <w:r w:rsidRPr="00225D7C">
        <w:rPr>
          <w:sz w:val="12"/>
        </w:rPr>
        <w:t>, as a whole, have</w:t>
      </w:r>
      <w:proofErr w:type="gramEnd"/>
      <w:r w:rsidRPr="00225D7C">
        <w:rPr>
          <w:sz w:val="12"/>
        </w:rPr>
        <w:t xml:space="preserve"> demoted 8.6% of the adult population to lesser legal status. They have done so </w:t>
      </w:r>
      <w:proofErr w:type="gramStart"/>
      <w:r w:rsidRPr="00225D7C">
        <w:rPr>
          <w:sz w:val="12"/>
        </w:rPr>
        <w:t>through the use of</w:t>
      </w:r>
      <w:proofErr w:type="gramEnd"/>
      <w:r w:rsidRPr="00225D7C">
        <w:rPr>
          <w:sz w:val="12"/>
        </w:rPr>
        <w:t xml:space="preserve"> a proxy classification that ignores the human capacity for self-determination, undermines the operation of criminal punishment, and </w:t>
      </w:r>
      <w:r w:rsidRPr="00225D7C">
        <w:rPr>
          <w:rStyle w:val="StyleUnderline"/>
        </w:rPr>
        <w:t>magnifies the race and class bias of our criminal justice system</w:t>
      </w:r>
      <w:r w:rsidRPr="00225D7C">
        <w:rPr>
          <w:sz w:val="12"/>
        </w:rPr>
        <w:t xml:space="preserve">. </w:t>
      </w:r>
      <w:r w:rsidRPr="00225D7C">
        <w:rPr>
          <w:rStyle w:val="StyleUnderline"/>
        </w:rPr>
        <w:t>This does not make CCs punishment, but it does make them destructive</w:t>
      </w:r>
      <w:r w:rsidRPr="00225D7C">
        <w:rPr>
          <w:sz w:val="12"/>
        </w:rPr>
        <w:t xml:space="preserve">. </w:t>
      </w:r>
      <w:r w:rsidRPr="00225D7C">
        <w:rPr>
          <w:rStyle w:val="StyleUnderline"/>
        </w:rPr>
        <w:t>The impulse to classify CCs as punishment</w:t>
      </w:r>
      <w:r w:rsidRPr="00225D7C">
        <w:rPr>
          <w:sz w:val="12"/>
        </w:rPr>
        <w:t xml:space="preserve">—never-ending punishment—is a natural one, because the language of punishment conveys the pain and frustration that CCs cause. It evokes the damage they do to lives, communities, and the social fabric. This impulse also, however, </w:t>
      </w:r>
      <w:r w:rsidRPr="00225D7C">
        <w:rPr>
          <w:rStyle w:val="StyleUnderline"/>
        </w:rPr>
        <w:t xml:space="preserve">obscures the fact that most CCs claim authority to restrict individual liberty </w:t>
      </w:r>
      <w:proofErr w:type="gramStart"/>
      <w:r w:rsidRPr="00225D7C">
        <w:rPr>
          <w:rStyle w:val="StyleUnderline"/>
        </w:rPr>
        <w:t>on the basis of</w:t>
      </w:r>
      <w:proofErr w:type="gramEnd"/>
      <w:r w:rsidRPr="00225D7C">
        <w:rPr>
          <w:rStyle w:val="StyleUnderline"/>
        </w:rPr>
        <w:t xml:space="preserve"> a judgment of </w:t>
      </w:r>
      <w:r w:rsidRPr="00225D7C">
        <w:rPr>
          <w:rStyle w:val="Emphasis"/>
        </w:rPr>
        <w:t>future risk</w:t>
      </w:r>
      <w:r w:rsidRPr="00225D7C">
        <w:rPr>
          <w:sz w:val="12"/>
        </w:rPr>
        <w:t xml:space="preserve">. They operate according to a predictive risk logic that is </w:t>
      </w:r>
      <w:r w:rsidRPr="00225D7C">
        <w:rPr>
          <w:rStyle w:val="StyleUnderline"/>
        </w:rPr>
        <w:t xml:space="preserve">deeply at odds with the respect for individual agency that criminal law proclaims, and on </w:t>
      </w:r>
      <w:r w:rsidRPr="00225D7C">
        <w:rPr>
          <w:rStyle w:val="Emphasis"/>
        </w:rPr>
        <w:t>which its legitimacy depends</w:t>
      </w:r>
      <w:r w:rsidRPr="00225D7C">
        <w:rPr>
          <w:sz w:val="12"/>
        </w:rPr>
        <w:t xml:space="preserve">. </w:t>
      </w:r>
      <w:r w:rsidRPr="00225D7C">
        <w:rPr>
          <w:rStyle w:val="StyleUnderline"/>
        </w:rPr>
        <w:t xml:space="preserve">To classify all CCs as “punishment” is to ignore the distinction between these two modes of social </w:t>
      </w:r>
      <w:proofErr w:type="gramStart"/>
      <w:r w:rsidRPr="00225D7C">
        <w:rPr>
          <w:rStyle w:val="StyleUnderline"/>
        </w:rPr>
        <w:t>control, and</w:t>
      </w:r>
      <w:proofErr w:type="gramEnd"/>
      <w:r w:rsidRPr="00225D7C">
        <w:rPr>
          <w:rStyle w:val="StyleUnderline"/>
        </w:rPr>
        <w:t xml:space="preserve"> promote the entanglement between them</w:t>
      </w:r>
      <w:r w:rsidRPr="00225D7C">
        <w:rPr>
          <w:sz w:val="12"/>
        </w:rPr>
        <w:t xml:space="preserve">. In pragmatic terms, </w:t>
      </w:r>
      <w:r w:rsidRPr="00225D7C">
        <w:rPr>
          <w:rStyle w:val="Emphasis"/>
        </w:rPr>
        <w:t>it is unlikely to result in effective limits</w:t>
      </w:r>
      <w:r w:rsidRPr="00225D7C">
        <w:rPr>
          <w:sz w:val="12"/>
        </w:rPr>
        <w:t xml:space="preserve">, </w:t>
      </w:r>
      <w:r w:rsidRPr="00225D7C">
        <w:rPr>
          <w:rStyle w:val="StyleUnderline"/>
        </w:rPr>
        <w:t xml:space="preserve">and prevents the judiciary and public alike from interrogating the risk judgments that </w:t>
      </w:r>
      <w:proofErr w:type="gramStart"/>
      <w:r w:rsidRPr="00225D7C">
        <w:rPr>
          <w:rStyle w:val="StyleUnderline"/>
        </w:rPr>
        <w:t>actually motivate</w:t>
      </w:r>
      <w:proofErr w:type="gramEnd"/>
      <w:r w:rsidRPr="00225D7C">
        <w:rPr>
          <w:rStyle w:val="StyleUnderline"/>
        </w:rPr>
        <w:t xml:space="preserve"> most CCs</w:t>
      </w:r>
      <w:r w:rsidRPr="00225D7C">
        <w:rPr>
          <w:sz w:val="12"/>
        </w:rPr>
        <w:t xml:space="preserve">. In abstract terms, </w:t>
      </w:r>
      <w:r w:rsidRPr="00225D7C">
        <w:rPr>
          <w:rStyle w:val="StyleUnderline"/>
        </w:rPr>
        <w:t>it furthers the erosion of the principle that an agency-based criminal law should be the polity’s first line of defense against its own members</w:t>
      </w:r>
      <w:r w:rsidRPr="00225D7C">
        <w:rPr>
          <w:sz w:val="12"/>
        </w:rPr>
        <w:t xml:space="preserve">. </w:t>
      </w:r>
      <w:r w:rsidRPr="00225D7C">
        <w:rPr>
          <w:rStyle w:val="StyleUnderline"/>
        </w:rPr>
        <w:t>Instead,</w:t>
      </w:r>
      <w:r w:rsidRPr="00225D7C">
        <w:rPr>
          <w:sz w:val="12"/>
        </w:rPr>
        <w:t xml:space="preserve"> </w:t>
      </w:r>
      <w:r w:rsidRPr="00225D7C">
        <w:rPr>
          <w:rStyle w:val="StyleUnderline"/>
        </w:rPr>
        <w:t>this article</w:t>
      </w:r>
      <w:r w:rsidRPr="00225D7C">
        <w:rPr>
          <w:sz w:val="12"/>
        </w:rPr>
        <w:t xml:space="preserve"> has </w:t>
      </w:r>
      <w:r w:rsidRPr="00225D7C">
        <w:rPr>
          <w:rStyle w:val="StyleUnderline"/>
        </w:rPr>
        <w:t>urged courts and critics to recognize that CCs are a form of risk regulation that warrants serious constitutional concern</w:t>
      </w:r>
      <w:r w:rsidRPr="00225D7C">
        <w:rPr>
          <w:sz w:val="12"/>
        </w:rPr>
        <w:t xml:space="preserve">. </w:t>
      </w:r>
      <w:r w:rsidRPr="00225D7C">
        <w:rPr>
          <w:rStyle w:val="StyleUnderline"/>
        </w:rPr>
        <w:t>When equal protection and substantive due process challenges to CCs arrive in court, courts should apply heightened review</w:t>
      </w:r>
      <w:r w:rsidRPr="00225D7C">
        <w:rPr>
          <w:sz w:val="12"/>
        </w:rPr>
        <w:t xml:space="preserve">. Once identified as preventive measures, </w:t>
      </w:r>
      <w:r w:rsidRPr="00225D7C">
        <w:rPr>
          <w:rStyle w:val="StyleUnderline"/>
        </w:rPr>
        <w:t>CCs raise the same questions and concerns as other preventive regimes, within the criminal justice system</w:t>
      </w:r>
      <w:r w:rsidRPr="00225D7C">
        <w:rPr>
          <w:sz w:val="12"/>
        </w:rPr>
        <w:t xml:space="preserve"> and outside it. And as one iteration of the ongoing collapse between punishment and predictive restraint, they belong to a broader debate about the future of criminal law. The values of agency and desert that criminal justice is supposed to implement are difficult to apply, susceptible of abuse, and anathema to the modern ethic of efficient regulation. They are also, however, the best protection for certain intangible goods, among them our collective experience of responsibility and redemption. </w:t>
      </w:r>
      <w:r w:rsidRPr="00225D7C">
        <w:rPr>
          <w:rStyle w:val="StyleUnderline"/>
        </w:rPr>
        <w:t>There is momentum now for a major rethinking of criminal justice in America</w:t>
      </w:r>
      <w:r w:rsidRPr="00225D7C">
        <w:rPr>
          <w:sz w:val="12"/>
        </w:rPr>
        <w:t xml:space="preserve">. </w:t>
      </w:r>
      <w:r w:rsidRPr="00225D7C">
        <w:rPr>
          <w:rStyle w:val="StyleUnderline"/>
        </w:rPr>
        <w:t>It should include an effort to recapture the law’s respect for individual agency</w:t>
      </w:r>
      <w:r w:rsidRPr="00225D7C">
        <w:rPr>
          <w:sz w:val="12"/>
        </w:rPr>
        <w:t>. And it should entail a new, more wary doctrinal approach to CCs.</w:t>
      </w:r>
    </w:p>
    <w:p w14:paraId="3E313EFC" w14:textId="77777777" w:rsidR="0098144E" w:rsidRPr="000751CF" w:rsidRDefault="0098144E" w:rsidP="0098144E"/>
    <w:p w14:paraId="024A172D" w14:textId="77777777" w:rsidR="0098144E" w:rsidRDefault="0098144E" w:rsidP="0098144E">
      <w:pPr>
        <w:pStyle w:val="Heading4"/>
      </w:pPr>
      <w:r>
        <w:t xml:space="preserve">Classifying collateral consequences as punishment fails – conceptual uncertainty and doctrinal confusion ensures circumvention </w:t>
      </w:r>
    </w:p>
    <w:p w14:paraId="6F67D3B7" w14:textId="77777777" w:rsidR="0098144E" w:rsidRPr="005B27C5" w:rsidRDefault="0098144E" w:rsidP="0098144E">
      <w:r w:rsidRPr="005B27C5">
        <w:rPr>
          <w:b/>
        </w:rPr>
        <w:t>Mayson 15</w:t>
      </w:r>
      <w:r>
        <w:rPr>
          <w:b/>
        </w:rPr>
        <w:t xml:space="preserve"> </w:t>
      </w:r>
      <w:r>
        <w:t xml:space="preserve">(Sandra, </w:t>
      </w:r>
      <w:r w:rsidRPr="005B27C5">
        <w:t xml:space="preserve">Research Fellow, </w:t>
      </w:r>
      <w:proofErr w:type="spellStart"/>
      <w:r w:rsidRPr="005B27C5">
        <w:t>Quattrone</w:t>
      </w:r>
      <w:proofErr w:type="spellEnd"/>
      <w:r w:rsidRPr="005B27C5">
        <w:t xml:space="preserve"> Center for the Fair Administration of Justice, University of Pennsylvania Law School</w:t>
      </w:r>
      <w:r>
        <w:t>, “</w:t>
      </w:r>
      <w:r w:rsidRPr="005B27C5">
        <w:t>Collateral Consequences and the Preventive State</w:t>
      </w:r>
      <w:r>
        <w:t xml:space="preserve">,” Notre Dame Law Review, vol 91, article 6) </w:t>
      </w:r>
    </w:p>
    <w:p w14:paraId="7D32006D" w14:textId="77777777" w:rsidR="0098144E" w:rsidRDefault="0098144E" w:rsidP="0098144E">
      <w:r>
        <w:t xml:space="preserve">Both </w:t>
      </w:r>
      <w:r w:rsidRPr="005B27C5">
        <w:rPr>
          <w:rStyle w:val="StyleUnderline"/>
        </w:rPr>
        <w:t>the American Bar Association (ABA) and American Law Institute (ALI) have proposed reforms that encourage sentencing courts to consider CCs as part of the punishment for an offense.</w:t>
      </w:r>
      <w:r>
        <w:t xml:space="preserve"> The ABA’s Standards for Criminal Justice urge courts to consider CCs “in determining an offender’s overall sentence.”81 The ALI has proposed a new chapter of the Model Penal Code to address CCs, reasoning that, although they may be labeled as civil measures, “collateral consequences carry punitive weight” and affect core sentencing goals.82 </w:t>
      </w:r>
      <w:r w:rsidRPr="005B27C5">
        <w:rPr>
          <w:rStyle w:val="StyleUnderline"/>
        </w:rPr>
        <w:t>The proposed provisions direct sentencing courts to apply the principle of proportionality “with reference to the total package of sanctions imposed in each case,” including CCs that the conviction is likely to trigger, because CCs “are experienced by the offender as additional punishments</w:t>
      </w:r>
      <w:r>
        <w:t>.”83</w:t>
      </w:r>
    </w:p>
    <w:p w14:paraId="02474A91" w14:textId="77777777" w:rsidR="0098144E" w:rsidRDefault="0098144E" w:rsidP="0098144E">
      <w:r>
        <w:t>A consensus has thus emerged, among scholars, advocates, and main- stream legal organizations, that CCs should be classified as “punishment” for constitutional purposes and considered in sentencing accordingly. That is to</w:t>
      </w:r>
      <w:r w:rsidRPr="005B27C5">
        <w:t xml:space="preserve"> </w:t>
      </w:r>
      <w:r>
        <w:t>say: the law should treat CCs, substantively and procedurally, as “punishment.” There is considerable momentum behind this consensus. As Alec Ewald has noted, “commentators from a variety of perspectives have concluded that collateral sanctions are ‘a legal burden constituting punishment.’”84</w:t>
      </w:r>
    </w:p>
    <w:p w14:paraId="04043E9F" w14:textId="77777777" w:rsidR="0098144E" w:rsidRPr="005B27C5" w:rsidRDefault="0098144E" w:rsidP="0098144E">
      <w:pPr>
        <w:rPr>
          <w:rStyle w:val="StyleUnderline"/>
        </w:rPr>
      </w:pPr>
      <w:r w:rsidRPr="005B27C5">
        <w:rPr>
          <w:rStyle w:val="Emphasis"/>
        </w:rPr>
        <w:t>Yet there are several reasons for pause</w:t>
      </w:r>
      <w:r w:rsidRPr="005B27C5">
        <w:rPr>
          <w:rStyle w:val="StyleUnderline"/>
        </w:rPr>
        <w:t>. The first is that this approach has a conceptual snag. Critics who urge courts to apply a more rigorous “effects” test falter at the question of when and why the “effects” of a measure might render it punitive. It cannot be that there is a threshold of severity. Some punishments are severe, but others are l</w:t>
      </w:r>
      <w:r>
        <w:rPr>
          <w:rStyle w:val="StyleUnderline"/>
        </w:rPr>
        <w:t>ight. The same is true of regu</w:t>
      </w:r>
      <w:r w:rsidRPr="005B27C5">
        <w:rPr>
          <w:rStyle w:val="StyleUnderline"/>
        </w:rPr>
        <w:t xml:space="preserve">latory burdens. Your annual income tax may be a greater burden than a fifty dollar fine for committing a simple battery, but it is generally agreed that the latter is punishment and the former is not. Nor can the form of the burden be </w:t>
      </w:r>
      <w:proofErr w:type="gramStart"/>
      <w:r w:rsidRPr="005B27C5">
        <w:rPr>
          <w:rStyle w:val="StyleUnderline"/>
        </w:rPr>
        <w:t>determinative, unless</w:t>
      </w:r>
      <w:proofErr w:type="gramEnd"/>
      <w:r w:rsidRPr="005B27C5">
        <w:rPr>
          <w:rStyle w:val="StyleUnderline"/>
        </w:rPr>
        <w:t xml:space="preserve"> we are prepared to reclassify all civil detention and property confiscations as punishment. It is not at all clear what empirical “effects” could suffice to create a punishmen</w:t>
      </w:r>
      <w:r>
        <w:rPr>
          <w:rStyle w:val="StyleUnderline"/>
        </w:rPr>
        <w:t xml:space="preserve">t. Given that </w:t>
      </w:r>
      <w:r w:rsidRPr="005B27C5">
        <w:rPr>
          <w:rStyle w:val="Emphasis"/>
        </w:rPr>
        <w:t>conceptual uncertainty</w:t>
      </w:r>
      <w:r w:rsidRPr="005B27C5">
        <w:rPr>
          <w:rStyle w:val="StyleUnderline"/>
        </w:rPr>
        <w:t xml:space="preserve">, is a </w:t>
      </w:r>
      <w:proofErr w:type="gramStart"/>
      <w:r w:rsidRPr="005B27C5">
        <w:rPr>
          <w:rStyle w:val="StyleUnderline"/>
        </w:rPr>
        <w:t>stricter effects</w:t>
      </w:r>
      <w:proofErr w:type="gramEnd"/>
      <w:r w:rsidRPr="005B27C5">
        <w:rPr>
          <w:rStyle w:val="StyleUnderline"/>
        </w:rPr>
        <w:t xml:space="preserve"> test the right path </w:t>
      </w:r>
      <w:r>
        <w:rPr>
          <w:rStyle w:val="StyleUnderline"/>
        </w:rPr>
        <w:t>for the law and for people bur</w:t>
      </w:r>
      <w:r w:rsidRPr="005B27C5">
        <w:rPr>
          <w:rStyle w:val="StyleUnderline"/>
        </w:rPr>
        <w:t>dened by CCs?</w:t>
      </w:r>
    </w:p>
    <w:p w14:paraId="31E3181B" w14:textId="77777777" w:rsidR="0098144E" w:rsidRDefault="0098144E" w:rsidP="0098144E">
      <w:r>
        <w:t>T</w:t>
      </w:r>
      <w:r w:rsidRPr="005B27C5">
        <w:rPr>
          <w:rStyle w:val="StyleUnderline"/>
        </w:rPr>
        <w:t>he second reason for pause is that the courts are not delusional; many CCs do seem driven by a preventive logic. Registration regimes, employment and licensure bars, disqualification from public housing, bars to gun ownership and fostering children—</w:t>
      </w:r>
      <w:proofErr w:type="gramStart"/>
      <w:r w:rsidRPr="005B27C5">
        <w:rPr>
          <w:rStyle w:val="StyleUnderline"/>
        </w:rPr>
        <w:t>all of</w:t>
      </w:r>
      <w:proofErr w:type="gramEnd"/>
      <w:r w:rsidRPr="005B27C5">
        <w:rPr>
          <w:rStyle w:val="StyleUnderline"/>
        </w:rPr>
        <w:t xml:space="preserve"> these ostensibly aspire to prevent the public,</w:t>
      </w:r>
      <w:r>
        <w:t xml:space="preserve"> or certain members of the public, </w:t>
      </w:r>
      <w:r w:rsidRPr="005B27C5">
        <w:rPr>
          <w:rStyle w:val="StyleUnderline"/>
        </w:rPr>
        <w:t xml:space="preserve">from harm. Proponents of the punishment approach tend to discount this </w:t>
      </w:r>
      <w:proofErr w:type="gramStart"/>
      <w:r w:rsidRPr="005B27C5">
        <w:rPr>
          <w:rStyle w:val="StyleUnderline"/>
        </w:rPr>
        <w:t>fac</w:t>
      </w:r>
      <w:r>
        <w:rPr>
          <w:rStyle w:val="StyleUnderline"/>
        </w:rPr>
        <w:t>t, or</w:t>
      </w:r>
      <w:proofErr w:type="gramEnd"/>
      <w:r>
        <w:rPr>
          <w:rStyle w:val="StyleUnderline"/>
        </w:rPr>
        <w:t xml:space="preserve"> assume that it is irrele</w:t>
      </w:r>
      <w:r w:rsidRPr="005B27C5">
        <w:rPr>
          <w:rStyle w:val="StyleUnderline"/>
        </w:rPr>
        <w:t xml:space="preserve">vant to constitutional classification. Are they </w:t>
      </w:r>
      <w:r>
        <w:rPr>
          <w:rStyle w:val="StyleUnderline"/>
        </w:rPr>
        <w:t>right? How should courts deter</w:t>
      </w:r>
      <w:r w:rsidRPr="005B27C5">
        <w:rPr>
          <w:rStyle w:val="StyleUnderline"/>
        </w:rPr>
        <w:t>mine whether CCs—and other measures that seem to mix punitive and preventive qualities—qualify as “punishme</w:t>
      </w:r>
      <w:r>
        <w:rPr>
          <w:rStyle w:val="StyleUnderline"/>
        </w:rPr>
        <w:t xml:space="preserve">nt?” Given the </w:t>
      </w:r>
      <w:r w:rsidRPr="005B27C5">
        <w:rPr>
          <w:rStyle w:val="Emphasis"/>
        </w:rPr>
        <w:t>doctrinal confusion</w:t>
      </w:r>
      <w:r w:rsidRPr="005B27C5">
        <w:rPr>
          <w:rStyle w:val="StyleUnderline"/>
        </w:rPr>
        <w:t>, the next Part looks to theory.</w:t>
      </w:r>
      <w:r>
        <w:t xml:space="preserve"> It introduces idealized conceptions of “punishment” and “preventive restraint,” then explores the distinction between them and that distinction’s significance for the law.</w:t>
      </w:r>
    </w:p>
    <w:p w14:paraId="70209312" w14:textId="77777777" w:rsidR="0098144E" w:rsidRDefault="0098144E" w:rsidP="0098144E"/>
    <w:p w14:paraId="2CB7113D" w14:textId="77777777" w:rsidR="0098144E" w:rsidRDefault="0098144E" w:rsidP="0098144E">
      <w:pPr>
        <w:pStyle w:val="Heading4"/>
      </w:pPr>
      <w:r>
        <w:t xml:space="preserve">The </w:t>
      </w:r>
      <w:proofErr w:type="spellStart"/>
      <w:r>
        <w:t>aff</w:t>
      </w:r>
      <w:proofErr w:type="spellEnd"/>
      <w:r>
        <w:t xml:space="preserve"> normalizes and entrenches collateral consequences – it presumes their permissibility without reducing their scope or triggering additional protections </w:t>
      </w:r>
    </w:p>
    <w:p w14:paraId="061D1E6A" w14:textId="77777777" w:rsidR="0098144E" w:rsidRPr="00E72D09" w:rsidRDefault="0098144E" w:rsidP="0098144E">
      <w:r w:rsidRPr="005B27C5">
        <w:rPr>
          <w:b/>
        </w:rPr>
        <w:t>Mayson 15</w:t>
      </w:r>
      <w:r>
        <w:rPr>
          <w:b/>
        </w:rPr>
        <w:t xml:space="preserve"> </w:t>
      </w:r>
      <w:r>
        <w:t xml:space="preserve">(Sandra, </w:t>
      </w:r>
      <w:r w:rsidRPr="005B27C5">
        <w:t xml:space="preserve">Research Fellow, </w:t>
      </w:r>
      <w:proofErr w:type="spellStart"/>
      <w:r w:rsidRPr="005B27C5">
        <w:t>Quattrone</w:t>
      </w:r>
      <w:proofErr w:type="spellEnd"/>
      <w:r w:rsidRPr="005B27C5">
        <w:t xml:space="preserve"> Center for the Fair Administration of Justice, University of Pennsylvania Law School</w:t>
      </w:r>
      <w:r>
        <w:t>, “</w:t>
      </w:r>
      <w:r w:rsidRPr="005B27C5">
        <w:t>Collateral Consequences and the Preventive State</w:t>
      </w:r>
      <w:r>
        <w:t xml:space="preserve">,” Notre Dame Law Review, vol 91, article 6) </w:t>
      </w:r>
    </w:p>
    <w:p w14:paraId="6244D23E" w14:textId="234EF1F1" w:rsidR="0098144E" w:rsidRDefault="0098144E" w:rsidP="0098144E">
      <w:r w:rsidRPr="004B745D">
        <w:rPr>
          <w:rStyle w:val="StyleUnderline"/>
        </w:rPr>
        <w:t>There is a critical reflex to classify every</w:t>
      </w:r>
      <w:r>
        <w:rPr>
          <w:rStyle w:val="StyleUnderline"/>
        </w:rPr>
        <w:t>thing on the punishment-preven</w:t>
      </w:r>
      <w:r w:rsidRPr="004B745D">
        <w:rPr>
          <w:rStyle w:val="StyleUnderline"/>
        </w:rPr>
        <w:t xml:space="preserve">tion spectrum as </w:t>
      </w:r>
      <w:proofErr w:type="gramStart"/>
      <w:r w:rsidRPr="004B745D">
        <w:rPr>
          <w:rStyle w:val="StyleUnderline"/>
        </w:rPr>
        <w:t>punishment, because</w:t>
      </w:r>
      <w:proofErr w:type="gramEnd"/>
      <w:r w:rsidRPr="004B745D">
        <w:rPr>
          <w:rStyle w:val="StyleUnderline"/>
        </w:rPr>
        <w:t xml:space="preserve"> that is the arena in which we have clear, specific constitutional constraints. It is like looking for lost keys under the streetlight. But this is not the only possible response, and it is not necessarily the right one. </w:t>
      </w:r>
      <w:r>
        <w:t xml:space="preserve">Carol </w:t>
      </w:r>
      <w:proofErr w:type="spellStart"/>
      <w:r>
        <w:t>Steiker</w:t>
      </w:r>
      <w:proofErr w:type="spellEnd"/>
      <w:r>
        <w:t xml:space="preserve"> observed in 1999 that the reflex can have a price: it obscures the judgments that preventive regimes entail, and impedes the development of rational legal frameworks to guide them.197 As the preventive state grows in scope and complexity, these costs increase.198 </w:t>
      </w:r>
      <w:r w:rsidRPr="004B745D">
        <w:rPr>
          <w:rStyle w:val="StyleUnderline"/>
        </w:rPr>
        <w:t>Classifying CCs as “punishment” has particular costs</w:t>
      </w:r>
      <w:r>
        <w:t xml:space="preserve">. 1. Downsides of the “Punishment” Category </w:t>
      </w:r>
      <w:r w:rsidRPr="004B745D">
        <w:rPr>
          <w:rStyle w:val="StyleUnderline"/>
        </w:rPr>
        <w:t>The first set of costs relate to the punishment classification itself, not the character of CCs. In short, characterizing CCs—whatever their character—as “punishment” risks legitimation without the benefit of effective constraints.</w:t>
      </w:r>
      <w:r>
        <w:rPr>
          <w:rStyle w:val="StyleUnderline"/>
        </w:rPr>
        <w:t xml:space="preserve"> </w:t>
      </w:r>
      <w:r>
        <w:t xml:space="preserve">Because punishment is a presumptively permissible consequence of conviction, </w:t>
      </w:r>
      <w:r w:rsidRPr="004B745D">
        <w:rPr>
          <w:rStyle w:val="StyleUnderline"/>
        </w:rPr>
        <w:t>to categorize CCs as punishment is to bestow a presumption of permissibility.</w:t>
      </w:r>
      <w:r>
        <w:t xml:space="preserve"> Every person subject to CCs has been convicted of a crime. The determination of culpability that is the necessary and (arguably) sufficient condition for punishment has already been made. </w:t>
      </w:r>
      <w:r w:rsidRPr="004B745D">
        <w:rPr>
          <w:rStyle w:val="StyleUnderline"/>
        </w:rPr>
        <w:t>A person subject to CCs might object to their scope, but she cannot object, as a matter of first principles, to being punished. This is especially true if her sentencing judge has already considered the effect of CCs in imp</w:t>
      </w:r>
      <w:r>
        <w:rPr>
          <w:rStyle w:val="StyleUnderline"/>
        </w:rPr>
        <w:t>osing her sentence, as the pro</w:t>
      </w:r>
      <w:r w:rsidRPr="004B745D">
        <w:rPr>
          <w:rStyle w:val="StyleUnderline"/>
        </w:rPr>
        <w:t>posed Model Penal Code provisions would have her do. If CCs are not punishment, on the other hand, critics retain the baseline argument that there is no ground for the deprivation whatsoever. At the very least, they can argue that the state bears the burden of demonstrating that there is.</w:t>
      </w:r>
      <w:r>
        <w:rPr>
          <w:rStyle w:val="StyleUnderline"/>
        </w:rPr>
        <w:t xml:space="preserve"> </w:t>
      </w:r>
      <w:r w:rsidRPr="004B745D">
        <w:rPr>
          <w:rStyle w:val="StyleUnderline"/>
        </w:rPr>
        <w:t xml:space="preserve">The possibility of subtly </w:t>
      </w:r>
      <w:r w:rsidRPr="004B745D">
        <w:rPr>
          <w:rStyle w:val="Emphasis"/>
        </w:rPr>
        <w:t>normalizing and entrenching CCs</w:t>
      </w:r>
      <w:r w:rsidRPr="004B745D">
        <w:rPr>
          <w:rStyle w:val="StyleUnderline"/>
        </w:rPr>
        <w:t xml:space="preserve"> is </w:t>
      </w:r>
      <w:proofErr w:type="gramStart"/>
      <w:r w:rsidRPr="004B745D">
        <w:rPr>
          <w:rStyle w:val="StyleUnderline"/>
        </w:rPr>
        <w:t>all the more</w:t>
      </w:r>
      <w:proofErr w:type="gramEnd"/>
      <w:r w:rsidRPr="004B745D">
        <w:rPr>
          <w:rStyle w:val="StyleUnderline"/>
        </w:rPr>
        <w:t xml:space="preserve"> concerning because, in point of fact, the constitutional constraints on punishment are limited.</w:t>
      </w:r>
      <w:r>
        <w:t xml:space="preserve"> The Ex Post Facto Clause provides diminishing returns over time, as retroactive application of a given CC becomes less important than its prospective effect. The Double Jeopardy Clause does not prohibit all “double punishment,” only punishment that exceeds legislative intent.199 As for the Eighth Amendment, courts are notoriously passive in enforcing it as a substantive limit.200 </w:t>
      </w:r>
      <w:r w:rsidRPr="00E72D09">
        <w:rPr>
          <w:rStyle w:val="StyleUnderline"/>
        </w:rPr>
        <w:t>Classifying CCs as punishment might not result in much (or any) reduction in their scope.</w:t>
      </w:r>
      <w:r>
        <w:rPr>
          <w:rStyle w:val="StyleUnderline"/>
        </w:rPr>
        <w:t xml:space="preserve"> </w:t>
      </w:r>
      <w:r w:rsidRPr="00E72D09">
        <w:rPr>
          <w:rStyle w:val="StyleUnderline"/>
        </w:rPr>
        <w:t>Procedurally, the punishment approach does not trigger significant additional protections.</w:t>
      </w:r>
      <w:r>
        <w:t xml:space="preserve"> </w:t>
      </w:r>
      <w:proofErr w:type="gramStart"/>
      <w:r>
        <w:t>All of</w:t>
      </w:r>
      <w:proofErr w:type="gramEnd"/>
      <w:r>
        <w:t xml:space="preserve"> the prerequisites to conviction by trial already apply. The only new procedural protection would be the due process and Sixth Amendment right to pre-plea notice of the civil disabilities that a plea would trigger. This seems valuable and necessary as a matter of basic fairness.201 Yet, whether the Constitution requires pre-plea notice of potential CCs does not actually depend on whether they are punishment. There are other routes to the notice goal.202 As a tactical matter for CCs critics, then, </w:t>
      </w:r>
      <w:r w:rsidRPr="00E72D09">
        <w:rPr>
          <w:rStyle w:val="Emphasis"/>
        </w:rPr>
        <w:t>the punishment approach could be counterproductive</w:t>
      </w:r>
      <w:r w:rsidRPr="00E72D09">
        <w:t xml:space="preserve">. </w:t>
      </w:r>
      <w:r w:rsidRPr="00E72D09">
        <w:rPr>
          <w:rStyle w:val="StyleUnderline"/>
        </w:rPr>
        <w:t>At best, it offers limited returns.</w:t>
      </w:r>
      <w:r>
        <w:t xml:space="preserve"> We could, of course, strive to make constitutional constraints on punishment more robust. If the Eighth Amendment were held to prohibit any punishment in excess of desert, were applied to CCs, and were perfectly enforced, it would eliminate most CCs. That might resolve the legitimation concern. But that outcome is unlikely. And if there is ever a basis for the state to consider conviction as evidence of future risk, it is also irrational, as the next Sections will discuss.</w:t>
      </w:r>
    </w:p>
    <w:p w14:paraId="0542708A" w14:textId="77777777" w:rsidR="0098144E" w:rsidRDefault="0098144E" w:rsidP="0098144E">
      <w:pPr>
        <w:pStyle w:val="Heading4"/>
      </w:pPr>
      <w:r>
        <w:t xml:space="preserve">The cp increases collateral consequences  </w:t>
      </w:r>
    </w:p>
    <w:p w14:paraId="60E413B4" w14:textId="77777777" w:rsidR="0098144E" w:rsidRPr="00850018" w:rsidRDefault="0098144E" w:rsidP="0098144E">
      <w:r w:rsidRPr="005B27C5">
        <w:rPr>
          <w:b/>
        </w:rPr>
        <w:t>Mayson 15</w:t>
      </w:r>
      <w:r>
        <w:rPr>
          <w:b/>
        </w:rPr>
        <w:t xml:space="preserve"> </w:t>
      </w:r>
      <w:r>
        <w:t xml:space="preserve">(Sandra, </w:t>
      </w:r>
      <w:r w:rsidRPr="005B27C5">
        <w:t xml:space="preserve">Research Fellow, </w:t>
      </w:r>
      <w:proofErr w:type="spellStart"/>
      <w:r w:rsidRPr="005B27C5">
        <w:t>Quattrone</w:t>
      </w:r>
      <w:proofErr w:type="spellEnd"/>
      <w:r w:rsidRPr="005B27C5">
        <w:t xml:space="preserve"> Center for the Fair Administration of Justice, University of Pennsylvania Law School</w:t>
      </w:r>
      <w:r>
        <w:t>, “</w:t>
      </w:r>
      <w:r w:rsidRPr="005B27C5">
        <w:t>Collateral Consequences and the Preventive State</w:t>
      </w:r>
      <w:r>
        <w:t xml:space="preserve">,” Notre Dame Law Review, vol 91, article 6) </w:t>
      </w:r>
    </w:p>
    <w:p w14:paraId="28D4DBB9" w14:textId="77777777" w:rsidR="0098144E" w:rsidRPr="00850018" w:rsidRDefault="0098144E" w:rsidP="0098144E">
      <w:pPr>
        <w:rPr>
          <w:rStyle w:val="StyleUnderline"/>
        </w:rPr>
      </w:pPr>
      <w:r w:rsidRPr="00850018">
        <w:t xml:space="preserve">Stated most generally, </w:t>
      </w:r>
      <w:r w:rsidRPr="00850018">
        <w:rPr>
          <w:rStyle w:val="StyleUnderline"/>
        </w:rPr>
        <w:t xml:space="preserve">the cost of classifying CCs as punishment is that, by failing to distinguish between culpability- and risk-based deprivations, </w:t>
      </w:r>
      <w:r w:rsidRPr="00850018">
        <w:rPr>
          <w:rStyle w:val="Emphasis"/>
        </w:rPr>
        <w:t>it contributes to the general convergence of punishment and predictive control</w:t>
      </w:r>
      <w:r w:rsidRPr="00850018">
        <w:rPr>
          <w:rStyle w:val="StyleUnderline"/>
        </w:rPr>
        <w:t>.</w:t>
      </w:r>
      <w:r w:rsidRPr="00850018">
        <w:t xml:space="preserve"> Today’s CCs are the product of a wave of overlapping criminal law and regulatory reforms in the 1980s and 1990s. The narrow question of how we classify them belongs to the larger question</w:t>
      </w:r>
      <w:r>
        <w:t xml:space="preserve"> of how we understand the rela</w:t>
      </w:r>
      <w:r w:rsidRPr="00850018">
        <w:t>tionship between criminal punishment an</w:t>
      </w:r>
      <w:r>
        <w:t>d predictive regulatory govern</w:t>
      </w:r>
      <w:r w:rsidRPr="00850018">
        <w:t xml:space="preserve">ance. </w:t>
      </w:r>
      <w:r w:rsidRPr="00850018">
        <w:rPr>
          <w:rStyle w:val="StyleUnderline"/>
        </w:rPr>
        <w:t xml:space="preserve">To classify CCs as punishment is </w:t>
      </w:r>
      <w:r w:rsidRPr="00850018">
        <w:rPr>
          <w:rStyle w:val="Emphasis"/>
        </w:rPr>
        <w:t>unlikely to result in much meaningful oversight</w:t>
      </w:r>
      <w:r w:rsidRPr="00850018">
        <w:rPr>
          <w:rStyle w:val="StyleUnderline"/>
        </w:rPr>
        <w:t xml:space="preserve">. Instead, </w:t>
      </w:r>
      <w:r w:rsidRPr="00850018">
        <w:rPr>
          <w:rStyle w:val="Emphasis"/>
        </w:rPr>
        <w:t xml:space="preserve">it promotes the very entanglement of punishment and preemption that catalyzed the explosion of CCs in the first place. </w:t>
      </w:r>
      <w:r w:rsidRPr="00850018">
        <w:rPr>
          <w:rStyle w:val="StyleUnderline"/>
        </w:rPr>
        <w:t xml:space="preserve">That obscures the deep difference between </w:t>
      </w:r>
      <w:proofErr w:type="gramStart"/>
      <w:r w:rsidRPr="00850018">
        <w:rPr>
          <w:rStyle w:val="StyleUnderline"/>
        </w:rPr>
        <w:t>them, and</w:t>
      </w:r>
      <w:proofErr w:type="gramEnd"/>
      <w:r w:rsidRPr="00850018">
        <w:rPr>
          <w:rStyle w:val="StyleUnderline"/>
        </w:rPr>
        <w:t xml:space="preserve"> makes it harder to ensure that criminal law is indeed the first line of defense against future bad acts. The ultimate cost is that we might unwittingly sacrifice the primacy of criminal law, the value it attaches to human choice, and the freedom it protects.</w:t>
      </w:r>
    </w:p>
    <w:p w14:paraId="3B68A3DD" w14:textId="77777777" w:rsidR="00687E07" w:rsidRPr="00687E07" w:rsidRDefault="00687E07" w:rsidP="00687E07"/>
    <w:p w14:paraId="15FD654D" w14:textId="77777777" w:rsidR="00092C11" w:rsidRPr="00B55AD5" w:rsidRDefault="00092C11" w:rsidP="00092C11"/>
    <w:p w14:paraId="57DBBFBB" w14:textId="77777777" w:rsidR="00FC7B90" w:rsidRDefault="00FC7B90" w:rsidP="00FC7B90">
      <w:pPr>
        <w:pStyle w:val="Heading2"/>
      </w:pPr>
      <w:r>
        <w:t>AT: Expungement CP</w:t>
      </w:r>
    </w:p>
    <w:p w14:paraId="2457494B" w14:textId="77777777" w:rsidR="00FC7B90" w:rsidRDefault="00FC7B90" w:rsidP="00FC7B90">
      <w:pPr>
        <w:pStyle w:val="Heading3"/>
      </w:pPr>
      <w:r>
        <w:t>2AC Confusion DA</w:t>
      </w:r>
    </w:p>
    <w:p w14:paraId="43A38C5A" w14:textId="77777777" w:rsidR="00FC7B90" w:rsidRDefault="00FC7B90" w:rsidP="00FC7B90"/>
    <w:p w14:paraId="744C24D2" w14:textId="77777777" w:rsidR="00FC7B90" w:rsidRDefault="00FC7B90" w:rsidP="00FC7B90">
      <w:r>
        <w:t>Note: grab the 2AC/1AR stuff from the congress cp --- I didn’t want to copy it twice</w:t>
      </w:r>
      <w:proofErr w:type="gramStart"/>
      <w:r>
        <w:t>…..</w:t>
      </w:r>
      <w:proofErr w:type="gramEnd"/>
    </w:p>
    <w:p w14:paraId="282D7B1C" w14:textId="77777777" w:rsidR="00FC7B90" w:rsidRDefault="00FC7B90" w:rsidP="00FC7B90"/>
    <w:p w14:paraId="73D8AD85" w14:textId="77777777" w:rsidR="00FC7B90" w:rsidRPr="00D85FB0" w:rsidRDefault="00FC7B90" w:rsidP="00FC7B90">
      <w:pPr>
        <w:pStyle w:val="Heading4"/>
      </w:pPr>
      <w:r>
        <w:t>CP is too complex --- causes confusion and results in court clog</w:t>
      </w:r>
    </w:p>
    <w:p w14:paraId="5A85CB0A" w14:textId="77777777" w:rsidR="00FC7B90" w:rsidRPr="00586CAA" w:rsidRDefault="00FC7B90" w:rsidP="00FC7B90"/>
    <w:p w14:paraId="59CB250F" w14:textId="77777777" w:rsidR="00FC7B90" w:rsidRPr="00333E7E" w:rsidRDefault="00FC7B90" w:rsidP="00FC7B90">
      <w:pPr>
        <w:rPr>
          <w:b/>
          <w:bCs/>
          <w:sz w:val="26"/>
        </w:rPr>
      </w:pPr>
      <w:r>
        <w:rPr>
          <w:rStyle w:val="Style13ptBold"/>
        </w:rPr>
        <w:t>Silva ‘11</w:t>
      </w:r>
    </w:p>
    <w:p w14:paraId="615995E7" w14:textId="77777777" w:rsidR="00FC7B90" w:rsidRPr="00503F48" w:rsidRDefault="00FC7B90" w:rsidP="00FC7B90">
      <w:r w:rsidRPr="00503F48">
        <w:t>(</w:t>
      </w:r>
      <w:proofErr w:type="spellStart"/>
      <w:r w:rsidRPr="00503F48">
        <w:t>Lahny</w:t>
      </w:r>
      <w:proofErr w:type="spellEnd"/>
      <w:r w:rsidRPr="00503F48">
        <w:t>, J.D. University of Connecticut 2007; Hastie Fellow and LLM Candidate University of</w:t>
      </w:r>
      <w:r>
        <w:t xml:space="preserve"> </w:t>
      </w:r>
      <w:r w:rsidRPr="00503F48">
        <w:t>Wisconsin, “Clean Slate: Exp</w:t>
      </w:r>
      <w:r>
        <w:t>anding</w:t>
      </w:r>
      <w:r w:rsidRPr="00503F48">
        <w:t xml:space="preserve"> Expungemen</w:t>
      </w:r>
      <w:r>
        <w:t>ts</w:t>
      </w:r>
      <w:r w:rsidRPr="00503F48">
        <w:t xml:space="preserve"> </w:t>
      </w:r>
      <w:r>
        <w:t>a</w:t>
      </w:r>
      <w:r w:rsidRPr="00503F48">
        <w:t>nd Expungements</w:t>
      </w:r>
      <w:r>
        <w:t xml:space="preserve"> </w:t>
      </w:r>
      <w:r w:rsidRPr="00503F48">
        <w:t>Pardons</w:t>
      </w:r>
    </w:p>
    <w:p w14:paraId="44D89682" w14:textId="77777777" w:rsidR="00FC7B90" w:rsidRDefault="00FC7B90" w:rsidP="00FC7B90">
      <w:r w:rsidRPr="00503F48">
        <w:t xml:space="preserve">For Non-Violent Federal Offenders,” </w:t>
      </w:r>
      <w:proofErr w:type="spellStart"/>
      <w:r w:rsidRPr="00503F48">
        <w:t>pg</w:t>
      </w:r>
      <w:proofErr w:type="spellEnd"/>
      <w:r w:rsidRPr="00503F48">
        <w:t xml:space="preserve"> online @ </w:t>
      </w:r>
      <w:hyperlink r:id="rId90" w:history="1">
        <w:r w:rsidRPr="00503F48">
          <w:rPr>
            <w:rStyle w:val="Hyperlink"/>
          </w:rPr>
          <w:t>https://scholarship.law.uc.edu/cgi/viewcontent.cgi?article=1046&amp;context=uclr</w:t>
        </w:r>
      </w:hyperlink>
      <w:r w:rsidRPr="00503F48">
        <w:t xml:space="preserve"> //um-</w:t>
      </w:r>
      <w:proofErr w:type="spellStart"/>
      <w:r w:rsidRPr="00503F48">
        <w:t>ef</w:t>
      </w:r>
      <w:proofErr w:type="spellEnd"/>
      <w:r w:rsidRPr="00503F48">
        <w:t>)</w:t>
      </w:r>
    </w:p>
    <w:p w14:paraId="4412E007" w14:textId="77777777" w:rsidR="00FC7B90" w:rsidRDefault="00FC7B90" w:rsidP="00FC7B90">
      <w:r>
        <w:t xml:space="preserve">Arguably, </w:t>
      </w:r>
      <w:r w:rsidRPr="002F3881">
        <w:rPr>
          <w:rStyle w:val="Emphasis"/>
        </w:rPr>
        <w:t>Congress could repeal or modify existing federal statutes and regulations that work as post-conviction penalties</w:t>
      </w:r>
      <w:r w:rsidRPr="002F3881">
        <w:t xml:space="preserve">. While possible, </w:t>
      </w:r>
      <w:r w:rsidRPr="002F3881">
        <w:rPr>
          <w:rStyle w:val="Emphasis"/>
        </w:rPr>
        <w:t>this approach is open to two criticisms: (1) it leaves the problem of employer access wide open; and (2) there are an overwhelming number of statutes and regulations</w:t>
      </w:r>
      <w:r>
        <w:t xml:space="preserve">. </w:t>
      </w:r>
      <w:r w:rsidRPr="005A4EFA">
        <w:rPr>
          <w:rStyle w:val="StyleUnderline"/>
        </w:rPr>
        <w:t>Without expungement, private employers maintain the ability to inquire into the criminal history of an individual before even extending an offer of employment</w:t>
      </w:r>
      <w:r>
        <w:t xml:space="preserve">. </w:t>
      </w:r>
      <w:r w:rsidRPr="005A4EFA">
        <w:rPr>
          <w:rStyle w:val="StyleUnderline"/>
        </w:rPr>
        <w:t xml:space="preserve">Disqualification </w:t>
      </w:r>
      <w:proofErr w:type="gramStart"/>
      <w:r w:rsidRPr="005A4EFA">
        <w:rPr>
          <w:rStyle w:val="StyleUnderline"/>
        </w:rPr>
        <w:t>on the basis of</w:t>
      </w:r>
      <w:proofErr w:type="gramEnd"/>
      <w:r w:rsidRPr="005A4EFA">
        <w:rPr>
          <w:rStyle w:val="StyleUnderline"/>
        </w:rPr>
        <w:t xml:space="preserve"> a criminal conviction would likely continue</w:t>
      </w:r>
      <w:r>
        <w:t xml:space="preserve">.295 Title VII does not prohibit discrimination on the basis of a criminal record.296 Second, </w:t>
      </w:r>
      <w:r w:rsidRPr="00586CAA">
        <w:rPr>
          <w:rStyle w:val="Emphasis"/>
        </w:rPr>
        <w:t>there are numerous statutes and regulations that impose collateral consequences. It would likely take significant resources and political will to sift through, sort, and modify decades of legislation</w:t>
      </w:r>
      <w:r>
        <w:t xml:space="preserve">. </w:t>
      </w:r>
      <w:r w:rsidRPr="00586CAA">
        <w:rPr>
          <w:rStyle w:val="Emphasis"/>
        </w:rPr>
        <w:t>It is also possible that Congress could statutorily prescribe jurisdiction to the federal courts to grant expungements</w:t>
      </w:r>
      <w:r>
        <w:t xml:space="preserve">. </w:t>
      </w:r>
      <w:r w:rsidRPr="00586CAA">
        <w:rPr>
          <w:rStyle w:val="Emphasis"/>
        </w:rPr>
        <w:t>Doing so could potentially clog the dockets of federal courts</w:t>
      </w:r>
      <w:r>
        <w:t xml:space="preserve"> </w:t>
      </w:r>
      <w:r w:rsidRPr="00586CAA">
        <w:rPr>
          <w:rStyle w:val="Emphasis"/>
        </w:rPr>
        <w:t>and divert resources from customary court matters</w:t>
      </w:r>
      <w:r>
        <w:t xml:space="preserve">. Moreover, </w:t>
      </w:r>
      <w:r w:rsidRPr="00586CAA">
        <w:rPr>
          <w:rStyle w:val="StyleUnderline"/>
        </w:rPr>
        <w:t>expungement would then be subject to discretionary judgement.</w:t>
      </w:r>
      <w:r>
        <w:t xml:space="preserve"> Giving the </w:t>
      </w:r>
      <w:proofErr w:type="spellStart"/>
      <w:r>
        <w:t>courts</w:t>
      </w:r>
      <w:proofErr w:type="spellEnd"/>
      <w:r>
        <w:t xml:space="preserve"> jurisdiction </w:t>
      </w:r>
      <w:r w:rsidRPr="00586CAA">
        <w:rPr>
          <w:rStyle w:val="StyleUnderline"/>
        </w:rPr>
        <w:t>would remove transparency from the process</w:t>
      </w:r>
      <w:r>
        <w:t xml:space="preserve">. </w:t>
      </w:r>
    </w:p>
    <w:p w14:paraId="23294E7A" w14:textId="77777777" w:rsidR="00FC7B90" w:rsidRDefault="00FC7B90" w:rsidP="00FC7B90"/>
    <w:p w14:paraId="02B4614F" w14:textId="77777777" w:rsidR="00FC7B90" w:rsidRDefault="00FC7B90" w:rsidP="00FC7B90">
      <w:pPr>
        <w:pStyle w:val="Heading3"/>
      </w:pPr>
      <w:r>
        <w:t>2AC Private Info DA</w:t>
      </w:r>
    </w:p>
    <w:p w14:paraId="5D05D602" w14:textId="77777777" w:rsidR="00FC7B90" w:rsidRDefault="00FC7B90" w:rsidP="00FC7B90"/>
    <w:p w14:paraId="43F0016A" w14:textId="77777777" w:rsidR="00FC7B90" w:rsidRDefault="00FC7B90" w:rsidP="00FC7B90">
      <w:pPr>
        <w:pStyle w:val="Heading4"/>
      </w:pPr>
      <w:r>
        <w:t xml:space="preserve">Information inevitably gets out due to private companies </w:t>
      </w:r>
    </w:p>
    <w:p w14:paraId="6973258F" w14:textId="77777777" w:rsidR="00FC7B90" w:rsidRPr="00EA0758" w:rsidRDefault="00FC7B90" w:rsidP="00FC7B90"/>
    <w:p w14:paraId="0174C7EE" w14:textId="77777777" w:rsidR="00FC7B90" w:rsidRPr="00333E7E" w:rsidRDefault="00FC7B90" w:rsidP="00FC7B90">
      <w:pPr>
        <w:rPr>
          <w:b/>
          <w:bCs/>
          <w:sz w:val="26"/>
        </w:rPr>
      </w:pPr>
      <w:r>
        <w:rPr>
          <w:rStyle w:val="Style13ptBold"/>
        </w:rPr>
        <w:t>Silva ‘11</w:t>
      </w:r>
    </w:p>
    <w:p w14:paraId="782694ED" w14:textId="77777777" w:rsidR="00FC7B90" w:rsidRPr="00503F48" w:rsidRDefault="00FC7B90" w:rsidP="00FC7B90">
      <w:r w:rsidRPr="00503F48">
        <w:t>(</w:t>
      </w:r>
      <w:proofErr w:type="spellStart"/>
      <w:r w:rsidRPr="00503F48">
        <w:t>Lahny</w:t>
      </w:r>
      <w:proofErr w:type="spellEnd"/>
      <w:r w:rsidRPr="00503F48">
        <w:t>, J.D. University of Connecticut 2007; Hastie Fellow and LLM Candidate University of</w:t>
      </w:r>
      <w:r>
        <w:t xml:space="preserve"> </w:t>
      </w:r>
      <w:r w:rsidRPr="00503F48">
        <w:t>Wisconsin, “Clean Slate: Exp</w:t>
      </w:r>
      <w:r>
        <w:t>anding</w:t>
      </w:r>
      <w:r w:rsidRPr="00503F48">
        <w:t xml:space="preserve"> Expungemen</w:t>
      </w:r>
      <w:r>
        <w:t>ts</w:t>
      </w:r>
      <w:r w:rsidRPr="00503F48">
        <w:t xml:space="preserve"> </w:t>
      </w:r>
      <w:r>
        <w:t>a</w:t>
      </w:r>
      <w:r w:rsidRPr="00503F48">
        <w:t>nd Expungements</w:t>
      </w:r>
      <w:r>
        <w:t xml:space="preserve"> </w:t>
      </w:r>
      <w:r w:rsidRPr="00503F48">
        <w:t>Pardons</w:t>
      </w:r>
    </w:p>
    <w:p w14:paraId="7B2C5363" w14:textId="77777777" w:rsidR="00FC7B90" w:rsidRDefault="00FC7B90" w:rsidP="00FC7B90">
      <w:r w:rsidRPr="00503F48">
        <w:t xml:space="preserve">For Non-Violent Federal Offenders,” </w:t>
      </w:r>
      <w:proofErr w:type="spellStart"/>
      <w:r w:rsidRPr="00503F48">
        <w:t>pg</w:t>
      </w:r>
      <w:proofErr w:type="spellEnd"/>
      <w:r w:rsidRPr="00503F48">
        <w:t xml:space="preserve"> online @ </w:t>
      </w:r>
      <w:hyperlink r:id="rId91" w:history="1">
        <w:r w:rsidRPr="00503F48">
          <w:rPr>
            <w:rStyle w:val="Hyperlink"/>
          </w:rPr>
          <w:t>https://scholarship.law.uc.edu/cgi/viewcontent.cgi?article=1046&amp;context=uclr</w:t>
        </w:r>
      </w:hyperlink>
      <w:r w:rsidRPr="00503F48">
        <w:t xml:space="preserve"> //um-</w:t>
      </w:r>
      <w:proofErr w:type="spellStart"/>
      <w:r w:rsidRPr="00503F48">
        <w:t>ef</w:t>
      </w:r>
      <w:proofErr w:type="spellEnd"/>
      <w:r w:rsidRPr="00503F48">
        <w:t>)</w:t>
      </w:r>
    </w:p>
    <w:p w14:paraId="6E87FC1E" w14:textId="77777777" w:rsidR="00FC7B90" w:rsidRPr="006959E7" w:rsidRDefault="00FC7B90" w:rsidP="00FC7B90">
      <w:pPr>
        <w:rPr>
          <w:sz w:val="14"/>
        </w:rPr>
      </w:pPr>
      <w:r w:rsidRPr="006959E7">
        <w:rPr>
          <w:sz w:val="14"/>
        </w:rPr>
        <w:t xml:space="preserve">B. Concerns with Expungement At this juncture, there are many questions and concerns with respect to a federal legislative expungement program. One question regards the right of the public to inspect public records. The Supreme Court provided guidance on this issue in Nixon v. Warner Communications, Inc. 324 In that case the court firmly asserted, "that the right to inspect and copy judicial records is not absolute. Every court has supervisory power over its own records and files, and access has been denied where court files might have become a vehicle for improper purposes." 325 While it is America's practice to allow the copy and inspection of public documents, it is not an unlimited right. There are also individual privacy rights that should be respected and balanced. "It is the unwarranted invasion of individual </w:t>
      </w:r>
      <w:proofErr w:type="gramStart"/>
      <w:r w:rsidRPr="006959E7">
        <w:rPr>
          <w:sz w:val="14"/>
        </w:rPr>
        <w:t>privacy</w:t>
      </w:r>
      <w:proofErr w:type="gramEnd"/>
      <w:r w:rsidRPr="006959E7">
        <w:rPr>
          <w:sz w:val="14"/>
        </w:rPr>
        <w:t xml:space="preserve"> which is reprehended and to be, so far as [*204] possible, prevented." 326 These two rights should be balanced in order to maximize the benefit to American society. Another argument asserts that </w:t>
      </w:r>
      <w:r w:rsidRPr="003134E0">
        <w:rPr>
          <w:rStyle w:val="StyleUnderline"/>
        </w:rPr>
        <w:t>expunging a criminal conviction would also prevent employers from obtaining a full and accurate history of prospective employees</w:t>
      </w:r>
      <w:r w:rsidRPr="006959E7">
        <w:rPr>
          <w:sz w:val="14"/>
        </w:rPr>
        <w:t xml:space="preserve">. Wanting to know the criminal background of individuals who will have expansive access to cash registers and retail merchandise is a legitimate concern. However, an expungement program would serve as a character screening tool for society in general. Moreover, there must be some point where the law recognizes the individual's "right to be let alone." 327 After expungement, an individual should be allowed to pick up where he left off without intrusions into his past. He is to begin anew with a clean slate. </w:t>
      </w:r>
      <w:r w:rsidRPr="003134E0">
        <w:rPr>
          <w:rStyle w:val="StyleUnderline"/>
        </w:rPr>
        <w:t>An expungement system may encounter problems on a different front</w:t>
      </w:r>
      <w:r w:rsidRPr="006959E7">
        <w:rPr>
          <w:sz w:val="14"/>
        </w:rPr>
        <w:t xml:space="preserve">. </w:t>
      </w:r>
      <w:r w:rsidRPr="003134E0">
        <w:rPr>
          <w:rStyle w:val="StyleUnderline"/>
        </w:rPr>
        <w:t>Many private companies have entered the criminal records business by "mining" criminal information from state systems</w:t>
      </w:r>
      <w:r w:rsidRPr="006959E7">
        <w:rPr>
          <w:sz w:val="14"/>
        </w:rPr>
        <w:t xml:space="preserve">.  328 </w:t>
      </w:r>
      <w:r w:rsidRPr="003134E0">
        <w:rPr>
          <w:rStyle w:val="StyleUnderline"/>
        </w:rPr>
        <w:t>These companies then turn around and sell this information to anyone for a price</w:t>
      </w:r>
      <w:r w:rsidRPr="006959E7">
        <w:rPr>
          <w:sz w:val="14"/>
        </w:rPr>
        <w:t xml:space="preserve">.  329 </w:t>
      </w:r>
      <w:r w:rsidRPr="003134E0">
        <w:rPr>
          <w:rStyle w:val="Emphasis"/>
        </w:rPr>
        <w:t>Expunging an individual's criminal history may not prevent this information from being completely out of public reach</w:t>
      </w:r>
      <w:r w:rsidRPr="006959E7">
        <w:rPr>
          <w:sz w:val="14"/>
        </w:rPr>
        <w:t xml:space="preserve">. </w:t>
      </w:r>
      <w:r w:rsidRPr="003134E0">
        <w:rPr>
          <w:rStyle w:val="StyleUnderline"/>
        </w:rPr>
        <w:t xml:space="preserve">Private ownership of this information could cause major intellectual property, constitutional, and contractual issues. </w:t>
      </w:r>
      <w:r w:rsidRPr="006959E7">
        <w:rPr>
          <w:sz w:val="14"/>
        </w:rPr>
        <w:t>This is an issue that the Second Chance Advisory Group would be charged with resolving.</w:t>
      </w:r>
    </w:p>
    <w:p w14:paraId="71DFEE2D" w14:textId="77777777" w:rsidR="00FC7B90" w:rsidRDefault="00FC7B90" w:rsidP="00FC7B90">
      <w:pPr>
        <w:pStyle w:val="Heading3"/>
      </w:pPr>
      <w:r>
        <w:t>2AC Delay DA</w:t>
      </w:r>
    </w:p>
    <w:p w14:paraId="36C1281D" w14:textId="77777777" w:rsidR="00FC7B90" w:rsidRDefault="00FC7B90" w:rsidP="00FC7B90">
      <w:pPr>
        <w:pStyle w:val="Heading4"/>
      </w:pPr>
      <w:r>
        <w:t xml:space="preserve">Delay da </w:t>
      </w:r>
    </w:p>
    <w:p w14:paraId="2B2CAC70" w14:textId="77777777" w:rsidR="00FC7B90" w:rsidRPr="008C7BC9" w:rsidRDefault="00FC7B90" w:rsidP="00FC7B90"/>
    <w:p w14:paraId="6BE01E99" w14:textId="77777777" w:rsidR="00FC7B90" w:rsidRDefault="00FC7B90" w:rsidP="00FC7B90">
      <w:pPr>
        <w:rPr>
          <w:rStyle w:val="Style13ptBold"/>
        </w:rPr>
      </w:pPr>
      <w:proofErr w:type="spellStart"/>
      <w:r>
        <w:rPr>
          <w:rStyle w:val="Style13ptBold"/>
        </w:rPr>
        <w:t>Leasure</w:t>
      </w:r>
      <w:proofErr w:type="spellEnd"/>
      <w:r>
        <w:rPr>
          <w:rStyle w:val="Style13ptBold"/>
        </w:rPr>
        <w:t xml:space="preserve"> ‘16</w:t>
      </w:r>
    </w:p>
    <w:p w14:paraId="1002D297" w14:textId="77777777" w:rsidR="00FC7B90" w:rsidRDefault="00FC7B90" w:rsidP="00FC7B90">
      <w:r w:rsidRPr="008C7BC9">
        <w:t xml:space="preserve">(Peter, Peter </w:t>
      </w:r>
      <w:proofErr w:type="spellStart"/>
      <w:r w:rsidRPr="008C7BC9">
        <w:t>Leasure</w:t>
      </w:r>
      <w:proofErr w:type="spellEnd"/>
      <w:r w:rsidRPr="008C7BC9">
        <w:t xml:space="preserve">: Ph.D. candidate, Department of Criminology and Criminal Justice, University of South Carolina. Tia Stevens Andersen: Assistant Professor, Department of Criminology and Criminal Justice, University of South Carolina., “The Effectiveness of Certificates of Relief as Collateral Consequence Relief Mechanisms: An Experimental Study,” </w:t>
      </w:r>
      <w:proofErr w:type="spellStart"/>
      <w:r w:rsidRPr="008C7BC9">
        <w:t>pg</w:t>
      </w:r>
      <w:proofErr w:type="spellEnd"/>
      <w:r w:rsidRPr="008C7BC9">
        <w:t xml:space="preserve"> online @ </w:t>
      </w:r>
      <w:hyperlink r:id="rId92" w:history="1">
        <w:r w:rsidRPr="008C7BC9">
          <w:rPr>
            <w:rStyle w:val="Hyperlink"/>
          </w:rPr>
          <w:t>https://ylpr.yale.edu/inter_alia/effectiveness-certificates-relief-collateral-consequence-relief-mechanisms-experimental</w:t>
        </w:r>
      </w:hyperlink>
      <w:r w:rsidRPr="008C7BC9">
        <w:t xml:space="preserve"> //um-</w:t>
      </w:r>
      <w:proofErr w:type="spellStart"/>
      <w:r w:rsidRPr="008C7BC9">
        <w:t>ef</w:t>
      </w:r>
      <w:proofErr w:type="spellEnd"/>
      <w:r w:rsidRPr="008C7BC9">
        <w:t>)</w:t>
      </w:r>
    </w:p>
    <w:p w14:paraId="575599D6" w14:textId="77777777" w:rsidR="00FC7B90" w:rsidRPr="008C7BC9" w:rsidRDefault="00FC7B90" w:rsidP="00FC7B90">
      <w:pPr>
        <w:rPr>
          <w:sz w:val="12"/>
        </w:rPr>
      </w:pPr>
      <w:r w:rsidRPr="008C7BC9">
        <w:rPr>
          <w:sz w:val="12"/>
        </w:rPr>
        <w:t xml:space="preserve">Many </w:t>
      </w:r>
      <w:r w:rsidRPr="008C7BC9">
        <w:rPr>
          <w:rStyle w:val="StyleUnderline"/>
        </w:rPr>
        <w:t>jurisdictions have created mechanisms aimed at lessening the collateral consequences of conviction</w:t>
      </w:r>
      <w:r w:rsidRPr="008C7BC9">
        <w:rPr>
          <w:sz w:val="12"/>
        </w:rPr>
        <w:t xml:space="preserve">, particularly those related to employment. Such mechanisms include clemency, expungement, and certificates of relief.[12] Between 2009 and 2014, forty-one states and the District of Columbia enacted legislation to ease the harsh effects of a criminal conviction.[13] Several states passed laws expanding or strengthening pardon relief, expungement relief, or both, most commonly by extending the availability of such relief, clarifying its effects, reducing waiting periods, and altering the burden of proof required to obtain it.[14] </w:t>
      </w:r>
      <w:r w:rsidRPr="008C7BC9">
        <w:rPr>
          <w:rStyle w:val="StyleUnderline"/>
        </w:rPr>
        <w:t>Although pardons and expungements can be effective tools for mitigating the burden of collateral consequences, the process can be lengthy, expensive, and cumbersome for ex-offenders to navigate</w:t>
      </w:r>
      <w:r w:rsidRPr="008C7BC9">
        <w:rPr>
          <w:sz w:val="12"/>
        </w:rPr>
        <w:t>.[15]</w:t>
      </w:r>
    </w:p>
    <w:p w14:paraId="09FB7C50" w14:textId="77777777" w:rsidR="00FC7B90" w:rsidRDefault="00FC7B90" w:rsidP="00FC7B90">
      <w:pPr>
        <w:pStyle w:val="Heading3"/>
      </w:pPr>
      <w:r>
        <w:t>CP = Backlash</w:t>
      </w:r>
    </w:p>
    <w:p w14:paraId="0FDCCD2D" w14:textId="77777777" w:rsidR="00FC7B90" w:rsidRDefault="00FC7B90" w:rsidP="00FC7B90">
      <w:pPr>
        <w:pStyle w:val="Heading4"/>
      </w:pPr>
      <w:r>
        <w:t>CP Causes backlash --- seen as soft on crime</w:t>
      </w:r>
    </w:p>
    <w:p w14:paraId="24B7EF19" w14:textId="77777777" w:rsidR="00FC7B90" w:rsidRDefault="00FC7B90" w:rsidP="00FC7B90"/>
    <w:p w14:paraId="3F5C4AF4" w14:textId="77777777" w:rsidR="00FC7B90" w:rsidRDefault="00FC7B90" w:rsidP="00FC7B90">
      <w:pPr>
        <w:rPr>
          <w:rStyle w:val="Style13ptBold"/>
        </w:rPr>
      </w:pPr>
      <w:proofErr w:type="spellStart"/>
      <w:r>
        <w:rPr>
          <w:rStyle w:val="Style13ptBold"/>
        </w:rPr>
        <w:t>Radice</w:t>
      </w:r>
      <w:proofErr w:type="spellEnd"/>
      <w:r>
        <w:rPr>
          <w:rStyle w:val="Style13ptBold"/>
        </w:rPr>
        <w:t xml:space="preserve"> ‘12</w:t>
      </w:r>
    </w:p>
    <w:p w14:paraId="52B4474F" w14:textId="77777777" w:rsidR="00FC7B90" w:rsidRPr="00AA6276" w:rsidRDefault="00FC7B90" w:rsidP="00FC7B90">
      <w:r w:rsidRPr="00AA6276">
        <w:t xml:space="preserve">(Joy, </w:t>
      </w:r>
      <w:r>
        <w:t xml:space="preserve">Acting Assistant Professor, New York University School of Law.  J.D., Harvard Law School.  A.B.,  Princeton  University, </w:t>
      </w:r>
      <w:r w:rsidRPr="00AA6276">
        <w:t xml:space="preserve">“ADMINISTERING JUSTICE:REMOVING STATUTORY BARRIERS TO REENTRY,” </w:t>
      </w:r>
      <w:proofErr w:type="spellStart"/>
      <w:r w:rsidRPr="00AA6276">
        <w:t>pg</w:t>
      </w:r>
      <w:proofErr w:type="spellEnd"/>
      <w:r w:rsidRPr="00AA6276">
        <w:t xml:space="preserve"> online @ </w:t>
      </w:r>
      <w:hyperlink r:id="rId93" w:history="1">
        <w:r w:rsidRPr="00AA6276">
          <w:rPr>
            <w:rStyle w:val="Hyperlink"/>
          </w:rPr>
          <w:t>https://silo.tips/download/administering-justice-removing-statutory-barriers-to-reentry</w:t>
        </w:r>
      </w:hyperlink>
      <w:r w:rsidRPr="00AA6276">
        <w:t xml:space="preserve"> //um-</w:t>
      </w:r>
      <w:proofErr w:type="spellStart"/>
      <w:r w:rsidRPr="00AA6276">
        <w:t>ef</w:t>
      </w:r>
      <w:proofErr w:type="spellEnd"/>
      <w:r w:rsidRPr="00AA6276">
        <w:t>)</w:t>
      </w:r>
    </w:p>
    <w:p w14:paraId="69208547" w14:textId="77777777" w:rsidR="00FC7B90" w:rsidRPr="00CB2E72" w:rsidRDefault="00FC7B90" w:rsidP="00FC7B90">
      <w:pPr>
        <w:rPr>
          <w:sz w:val="12"/>
        </w:rPr>
      </w:pPr>
      <w:r w:rsidRPr="00CB2E72">
        <w:rPr>
          <w:rStyle w:val="Emphasis"/>
        </w:rPr>
        <w:t>Expunging records also does not fit into tough-on-crime rhetoric and exposes its political supporters to criticism if a person   with   an   expunged   record   commits   another   crime</w:t>
      </w:r>
      <w:r w:rsidRPr="00CB2E72">
        <w:rPr>
          <w:rStyle w:val="StyleUnderline"/>
        </w:rPr>
        <w:t>. Expungement  usually  removes  a  conviction  from  the  public record after a certain period of time following the completion of a criminal sentence</w:t>
      </w:r>
      <w:r w:rsidRPr="00CB2E72">
        <w:rPr>
          <w:sz w:val="12"/>
        </w:rPr>
        <w:t>.214  It permits a person to deny that he has been  convicted,  even  on  job  applications.215Over  the  past  fifty years,  expungement  efforts  have  declined,  and  under  federal law virtually no record is expunged.</w:t>
      </w:r>
      <w:r w:rsidRPr="00CB2E72">
        <w:rPr>
          <w:rStyle w:val="StyleUnderline"/>
        </w:rPr>
        <w:t>216While endorsed by some as an effective and necessary reentry tool, its detractors argue that  expungement  runs  counter  to  the  compelling interest  of protecting  the  public  from  repeat  offenders</w:t>
      </w:r>
      <w:r w:rsidRPr="00CB2E72">
        <w:rPr>
          <w:sz w:val="12"/>
        </w:rPr>
        <w:t>.217Expungement also  has  been  criticized  for  perversely  revising  history,  saying that a conviction did not happen when it did.218</w:t>
      </w:r>
    </w:p>
    <w:p w14:paraId="1FA5DDFF" w14:textId="77777777" w:rsidR="00FC7B90" w:rsidRDefault="00FC7B90" w:rsidP="00FC7B90"/>
    <w:p w14:paraId="39423403" w14:textId="77777777" w:rsidR="00FC7B90" w:rsidRDefault="00FC7B90" w:rsidP="00FC7B90"/>
    <w:p w14:paraId="3BD22FA8" w14:textId="77777777" w:rsidR="00FC7B90" w:rsidRDefault="00FC7B90" w:rsidP="00FC7B90"/>
    <w:p w14:paraId="097B0E56" w14:textId="77777777" w:rsidR="00FC7B90" w:rsidRPr="00754DCD" w:rsidRDefault="00FC7B90" w:rsidP="00FC7B90"/>
    <w:p w14:paraId="50E1A599" w14:textId="77777777" w:rsidR="00FC7B90" w:rsidRDefault="00FC7B90" w:rsidP="00FC7B90">
      <w:pPr>
        <w:pStyle w:val="Heading3"/>
      </w:pPr>
      <w:r>
        <w:t>AT: Courts Expunge CP</w:t>
      </w:r>
    </w:p>
    <w:p w14:paraId="7B9ACCCC" w14:textId="77777777" w:rsidR="00FC7B90" w:rsidRDefault="00FC7B90" w:rsidP="00FC7B90"/>
    <w:p w14:paraId="7CAFB5BA" w14:textId="77777777" w:rsidR="00FC7B90" w:rsidRDefault="00FC7B90" w:rsidP="00FC7B90"/>
    <w:p w14:paraId="7BDB9814" w14:textId="77777777" w:rsidR="00FC7B90" w:rsidRDefault="00FC7B90" w:rsidP="00FC7B90">
      <w:pPr>
        <w:pStyle w:val="Heading4"/>
      </w:pPr>
      <w:r>
        <w:t xml:space="preserve">Judicial expungement causes challenges --- </w:t>
      </w:r>
      <w:proofErr w:type="gramStart"/>
      <w:r>
        <w:t>don’t</w:t>
      </w:r>
      <w:proofErr w:type="gramEnd"/>
      <w:r>
        <w:t xml:space="preserve"> have the authority </w:t>
      </w:r>
    </w:p>
    <w:p w14:paraId="32662CAE" w14:textId="77777777" w:rsidR="00FC7B90" w:rsidRPr="001C0CA6" w:rsidRDefault="00FC7B90" w:rsidP="00FC7B90"/>
    <w:p w14:paraId="14CCDAF7" w14:textId="77777777" w:rsidR="00FC7B90" w:rsidRDefault="00FC7B90" w:rsidP="00FC7B90">
      <w:pPr>
        <w:rPr>
          <w:rStyle w:val="Style13ptBold"/>
        </w:rPr>
      </w:pPr>
      <w:r>
        <w:rPr>
          <w:rStyle w:val="Style13ptBold"/>
        </w:rPr>
        <w:t>Silva ‘11</w:t>
      </w:r>
    </w:p>
    <w:p w14:paraId="11F901B6" w14:textId="77777777" w:rsidR="00FC7B90" w:rsidRPr="00503F48" w:rsidRDefault="00FC7B90" w:rsidP="00FC7B90">
      <w:r w:rsidRPr="00503F48">
        <w:t>(</w:t>
      </w:r>
      <w:proofErr w:type="spellStart"/>
      <w:r w:rsidRPr="00503F48">
        <w:t>Lahny</w:t>
      </w:r>
      <w:proofErr w:type="spellEnd"/>
      <w:r w:rsidRPr="00503F48">
        <w:t>, J.D. University of Connecticut 2007; Hastie Fellow and LLM Candidate University of</w:t>
      </w:r>
      <w:r>
        <w:t xml:space="preserve"> </w:t>
      </w:r>
      <w:r w:rsidRPr="00503F48">
        <w:t>Wisconsin, “Clean Slate: Exp</w:t>
      </w:r>
      <w:r>
        <w:t>anding</w:t>
      </w:r>
      <w:r w:rsidRPr="00503F48">
        <w:t xml:space="preserve"> Expungemen</w:t>
      </w:r>
      <w:r>
        <w:t>ts</w:t>
      </w:r>
      <w:r w:rsidRPr="00503F48">
        <w:t xml:space="preserve"> </w:t>
      </w:r>
      <w:r>
        <w:t>a</w:t>
      </w:r>
      <w:r w:rsidRPr="00503F48">
        <w:t>nd Expungements</w:t>
      </w:r>
      <w:r>
        <w:t xml:space="preserve"> </w:t>
      </w:r>
      <w:r w:rsidRPr="00503F48">
        <w:t>Pardons</w:t>
      </w:r>
    </w:p>
    <w:p w14:paraId="18C35DA4" w14:textId="77777777" w:rsidR="00FC7B90" w:rsidRDefault="00FC7B90" w:rsidP="00FC7B90">
      <w:r w:rsidRPr="00503F48">
        <w:t xml:space="preserve">For Non-Violent Federal Offenders,” </w:t>
      </w:r>
      <w:proofErr w:type="spellStart"/>
      <w:r w:rsidRPr="00503F48">
        <w:t>pg</w:t>
      </w:r>
      <w:proofErr w:type="spellEnd"/>
      <w:r w:rsidRPr="00503F48">
        <w:t xml:space="preserve"> online @ </w:t>
      </w:r>
      <w:hyperlink r:id="rId94" w:history="1">
        <w:r w:rsidRPr="00503F48">
          <w:rPr>
            <w:rStyle w:val="Hyperlink"/>
          </w:rPr>
          <w:t>https://scholarship.law.uc.edu/cgi/viewcontent.cgi?article=1046&amp;context=uclr</w:t>
        </w:r>
      </w:hyperlink>
      <w:r w:rsidRPr="00503F48">
        <w:t xml:space="preserve"> //um-</w:t>
      </w:r>
      <w:proofErr w:type="spellStart"/>
      <w:r w:rsidRPr="00503F48">
        <w:t>ef</w:t>
      </w:r>
      <w:proofErr w:type="spellEnd"/>
      <w:r w:rsidRPr="00503F48">
        <w:t>)</w:t>
      </w:r>
    </w:p>
    <w:p w14:paraId="19EC0ABD" w14:textId="77777777" w:rsidR="00FC7B90" w:rsidRDefault="00FC7B90" w:rsidP="00FC7B90">
      <w:r>
        <w:t xml:space="preserve">As has been demonstrated in Part III, </w:t>
      </w:r>
      <w:r w:rsidRPr="005A4EFA">
        <w:t>current federal law is confusing at best</w:t>
      </w:r>
      <w:r>
        <w:t xml:space="preserve">. </w:t>
      </w:r>
      <w:r w:rsidRPr="005A4EFA">
        <w:rPr>
          <w:rStyle w:val="StyleUnderline"/>
        </w:rPr>
        <w:t>The executive pardoning power does little to successfully integrate ex-offenders that the President has chosen to pardon</w:t>
      </w:r>
      <w:r w:rsidRPr="005A4EFA">
        <w:t xml:space="preserve">. It does nothing to solve the practical and </w:t>
      </w:r>
      <w:proofErr w:type="gramStart"/>
      <w:r w:rsidRPr="005A4EFA">
        <w:t>real life</w:t>
      </w:r>
      <w:proofErr w:type="gramEnd"/>
      <w:r w:rsidRPr="005A4EFA">
        <w:t xml:space="preserve"> problems associated with conviction: the easy accessibility of criminal records and the stigma attached to conviction. It is also quite likely that pardons recently aroused public suspicion of corruptibility with the Clinton pardons </w:t>
      </w:r>
      <w:r>
        <w:t xml:space="preserve">in 2001.292 </w:t>
      </w:r>
      <w:r w:rsidRPr="005A4EFA">
        <w:rPr>
          <w:rStyle w:val="Emphasis"/>
        </w:rPr>
        <w:t>A judicial petition for expungement is not a better alternative</w:t>
      </w:r>
      <w:r w:rsidRPr="005A4EFA">
        <w:t xml:space="preserve">. </w:t>
      </w:r>
      <w:r w:rsidRPr="005A4EFA">
        <w:rPr>
          <w:rStyle w:val="Emphasis"/>
        </w:rPr>
        <w:t>The federal courts remain divided questioning if they even have the authority to expunge</w:t>
      </w:r>
      <w:r>
        <w:t xml:space="preserve">. Not only that, </w:t>
      </w:r>
      <w:r w:rsidRPr="005A4EFA">
        <w:rPr>
          <w:rStyle w:val="StyleUnderline"/>
        </w:rPr>
        <w:t>some ex-offenders are deprived of the opportunity to petition the courts by virtue of the circuit where the conviction stands</w:t>
      </w:r>
      <w:r>
        <w:t xml:space="preserve">. </w:t>
      </w:r>
      <w:r w:rsidRPr="005A4EFA">
        <w:rPr>
          <w:rStyle w:val="StyleUnderline"/>
        </w:rPr>
        <w:t>Neither of the two branches provide a reliable postconviction remedy and relief from these branches is seldom granted</w:t>
      </w:r>
      <w:r>
        <w:t xml:space="preserve">. While Congress has already enacted legislation </w:t>
      </w:r>
      <w:proofErr w:type="gramStart"/>
      <w:r>
        <w:t>providing assistance</w:t>
      </w:r>
      <w:proofErr w:type="gramEnd"/>
      <w:r>
        <w:t xml:space="preserve"> for the reentering releasee, these initiatives did not and do not go far enough. Beginning in the late 1960s, Congress began to show lukewarm concern for the economic position of ex-offenders. Legislators worked to provide incentives to employers with the goal of influencing hiring practices. In 1966, the United States Department of Labor (USDOL) created the Federal Bonding program,293 and the Reagan Administration implemented the Work Opportunity Tax Credit.294 Both of these programs were aimed at advantaged groups, in securing employment from private sector employers. These programs provided limited assistance in one fundamental area in a time where collateral consequences existed and were not as potent.</w:t>
      </w:r>
    </w:p>
    <w:p w14:paraId="60140C33" w14:textId="77777777" w:rsidR="005D0845" w:rsidRDefault="005D0845" w:rsidP="00613202">
      <w:pPr>
        <w:pStyle w:val="Heading2"/>
      </w:pPr>
      <w:r>
        <w:t xml:space="preserve">AT: Housing CP </w:t>
      </w:r>
    </w:p>
    <w:p w14:paraId="7C24FD6E" w14:textId="4CB4600E" w:rsidR="005D0845" w:rsidRDefault="00613202" w:rsidP="00613202">
      <w:pPr>
        <w:pStyle w:val="Heading3"/>
      </w:pPr>
      <w:r>
        <w:t xml:space="preserve">2AC </w:t>
      </w:r>
      <w:proofErr w:type="gramStart"/>
      <w:r>
        <w:t>Doesn’t</w:t>
      </w:r>
      <w:proofErr w:type="gramEnd"/>
      <w:r>
        <w:t xml:space="preserve"> Solve</w:t>
      </w:r>
    </w:p>
    <w:p w14:paraId="321B5D4C" w14:textId="77777777" w:rsidR="005D0845" w:rsidRDefault="005D0845" w:rsidP="005D0845">
      <w:pPr>
        <w:pStyle w:val="Heading4"/>
      </w:pPr>
      <w:r>
        <w:t xml:space="preserve">And, there is a risk the model doesn’t </w:t>
      </w:r>
      <w:proofErr w:type="gramStart"/>
      <w:r>
        <w:t>work</w:t>
      </w:r>
      <w:proofErr w:type="gramEnd"/>
      <w:r>
        <w:t xml:space="preserve"> and the money doesn’t get there.</w:t>
      </w:r>
    </w:p>
    <w:p w14:paraId="5ED6FBA8" w14:textId="77777777" w:rsidR="005D0845" w:rsidRDefault="005D0845" w:rsidP="005D0845"/>
    <w:p w14:paraId="78814E12" w14:textId="77777777" w:rsidR="005D0845" w:rsidRDefault="005D0845" w:rsidP="005D0845">
      <w:pPr>
        <w:rPr>
          <w:rStyle w:val="Style13ptBold"/>
        </w:rPr>
      </w:pPr>
      <w:r>
        <w:rPr>
          <w:rStyle w:val="Style13ptBold"/>
        </w:rPr>
        <w:t>Schneider ‘17</w:t>
      </w:r>
    </w:p>
    <w:p w14:paraId="139CF3EA" w14:textId="77777777" w:rsidR="005D0845" w:rsidRDefault="005D0845" w:rsidP="005D0845">
      <w:r w:rsidRPr="00995398">
        <w:t xml:space="preserve">(J.D. Candidate, anticipated graduation in May 2018 from Fordham University School of Law. B.A. in Political Science from Barnard College of Columbia University, May 2013, “PROPERTY AND THE CHALLENGE OF HOUSING AFFORDABILITY: NOTE: DISPARATE IMPACT LACKS AN IMPACT: THE NEED FOR PAY FOR SUCCESS PROGRAMS TO HOUSE FORMERLY INCARCERATED PEOPLE,” 44 Fordham </w:t>
      </w:r>
      <w:proofErr w:type="spellStart"/>
      <w:r w:rsidRPr="00995398">
        <w:t>Urb</w:t>
      </w:r>
      <w:proofErr w:type="spellEnd"/>
      <w:r w:rsidRPr="00995398">
        <w:t xml:space="preserve">. L.J. 529, </w:t>
      </w:r>
      <w:proofErr w:type="spellStart"/>
      <w:r w:rsidRPr="00995398">
        <w:t>pg</w:t>
      </w:r>
      <w:proofErr w:type="spellEnd"/>
      <w:r w:rsidRPr="00995398">
        <w:t xml:space="preserve"> lexis//um-</w:t>
      </w:r>
      <w:proofErr w:type="spellStart"/>
      <w:r w:rsidRPr="00995398">
        <w:t>ef</w:t>
      </w:r>
      <w:proofErr w:type="spellEnd"/>
      <w:r w:rsidRPr="00995398">
        <w:t>)</w:t>
      </w:r>
    </w:p>
    <w:p w14:paraId="074616BA" w14:textId="77777777" w:rsidR="005D0845" w:rsidRPr="00DB78AF" w:rsidRDefault="005D0845" w:rsidP="005D0845">
      <w:pPr>
        <w:rPr>
          <w:sz w:val="12"/>
        </w:rPr>
      </w:pPr>
      <w:r w:rsidRPr="00074582">
        <w:rPr>
          <w:rStyle w:val="StyleUnderline"/>
        </w:rPr>
        <w:t>The PFS model it is not without risks</w:t>
      </w:r>
      <w:r w:rsidRPr="00DB78AF">
        <w:rPr>
          <w:sz w:val="12"/>
        </w:rPr>
        <w:t xml:space="preserve">. Risks stem from the fact that </w:t>
      </w:r>
      <w:r w:rsidRPr="00DB78AF">
        <w:rPr>
          <w:rStyle w:val="StyleUnderline"/>
        </w:rPr>
        <w:t>PFS utilizes SIBs that are "a complicated, multi-party and cross-sector financial instrument, which is still in its infancy stage today</w:t>
      </w:r>
      <w:r w:rsidRPr="00DB78AF">
        <w:rPr>
          <w:sz w:val="12"/>
        </w:rPr>
        <w:t xml:space="preserve">." 308 Scholar Deborah </w:t>
      </w:r>
      <w:proofErr w:type="spellStart"/>
      <w:r w:rsidRPr="00DB78AF">
        <w:rPr>
          <w:sz w:val="12"/>
        </w:rPr>
        <w:t>Burand</w:t>
      </w:r>
      <w:proofErr w:type="spellEnd"/>
      <w:r w:rsidRPr="00DB78AF">
        <w:rPr>
          <w:sz w:val="12"/>
        </w:rPr>
        <w:t xml:space="preserve"> has grouped the risks of the PFS model into the following categories: [*571] (1) intervention model risk; (2) execution risk; (3) intermediary risk; (4) political risk; (5) financial risk; and (6) reputational risk. 309 Intervention model risk is the possibility that the outcomes expected are not produced. 310 One way to mitigate this risk is to rely on </w:t>
      </w:r>
      <w:r w:rsidRPr="00DB78AF">
        <w:rPr>
          <w:rStyle w:val="StyleUnderline"/>
        </w:rPr>
        <w:t>proven models</w:t>
      </w:r>
      <w:r w:rsidRPr="00DB78AF">
        <w:rPr>
          <w:sz w:val="12"/>
        </w:rPr>
        <w:t xml:space="preserve">. 311 However, this </w:t>
      </w:r>
      <w:r w:rsidRPr="00DB78AF">
        <w:rPr>
          <w:rStyle w:val="StyleUnderline"/>
        </w:rPr>
        <w:t>may make funding harder to obtain for smaller fledgling nonprofits with new and untested ideas</w:t>
      </w:r>
      <w:r w:rsidRPr="00DB78AF">
        <w:rPr>
          <w:sz w:val="12"/>
        </w:rPr>
        <w:t xml:space="preserve">. 312 One way to reduce intervention model risk is to ensure that appropriate metrics are: (1) used to provide feedback on the progress of the program; and (2) are correlated strongly with the expected financial benefit of the program. 313 Execution risk is created by performance challenges that are specific to the structure of a given model. 314 First, </w:t>
      </w:r>
      <w:r w:rsidRPr="00DB78AF">
        <w:rPr>
          <w:rStyle w:val="StyleUnderline"/>
        </w:rPr>
        <w:t>social providers that have been selected for programs may "prove to be weak or otherwise unable to scale the intervention as expected.</w:t>
      </w:r>
      <w:r w:rsidRPr="00DB78AF">
        <w:rPr>
          <w:sz w:val="12"/>
        </w:rPr>
        <w:t xml:space="preserve">" 315 Second, </w:t>
      </w:r>
      <w:r w:rsidRPr="00DB78AF">
        <w:rPr>
          <w:rStyle w:val="Emphasis"/>
        </w:rPr>
        <w:t>a badly executed program can "wreak havoc on the very populations that the SIB is meant to serve</w:t>
      </w:r>
      <w:r w:rsidRPr="00DB78AF">
        <w:rPr>
          <w:sz w:val="12"/>
        </w:rPr>
        <w:t xml:space="preserve">." 316 Third, </w:t>
      </w:r>
      <w:r w:rsidRPr="00DB78AF">
        <w:rPr>
          <w:rStyle w:val="StyleUnderline"/>
        </w:rPr>
        <w:t>there is a risk that social service providers may take "inappropriate actions" such as withholding information that shows a program may not reach its targets or, at worst, falsifying information to meet the targets</w:t>
      </w:r>
      <w:r w:rsidRPr="00DB78AF">
        <w:rPr>
          <w:sz w:val="12"/>
        </w:rPr>
        <w:t xml:space="preserve">. 317 However, there are several ways the government can mitigate these risks. 318 For example, the government can require due diligence to mitigate this [*572] risk. 319 The government can also include certain contractual provisions that allow it to terminate or replace social service providers who act inappropriately. 320 The government can also support independent watchdog organizations, distinct from the independent evaluator, that ensure the protection of vulnerable populations by providing independent oversight of PFS programs. 321 Intermediary risk is the risk that the intermediary will not perform its obligations and thus thwart the financial and social goals of the program. 322 Since this is such a new model, intermediaries that lack experience may fail to manage the project well. 323 Additionally, if their role as intermediary is not their primary job, they also may not have the time necessary to adequately manage a project. 324 One way to mitigate this risk would be to develop best practices for intermediaries. 325 Political risk refers to "both the capacity and the will of the host government to undertake its obligations." 326 Government entrenchment can result in an unwillingness to participate in PFS programs. 327 Also, since government officials change, new administrations may not adhere to former obligations. 328 Further, if a government has limited experience, this political risk is exacerbated. 329 For example, some programs may be priced too highly, and an inexperienced government may not recognize this. 330 Thus, government commitment 331 and executive leadership within government are often critically important to a program's success. 332 Additionally, some [*573] programs may require the adoption of legislation to ensure the government is bound to a long term PFS contract. 333 </w:t>
      </w:r>
      <w:r w:rsidRPr="00DB78AF">
        <w:rPr>
          <w:rStyle w:val="StyleUnderline"/>
        </w:rPr>
        <w:t>Financial risks are largely born by the investors</w:t>
      </w:r>
      <w:r w:rsidRPr="00DB78AF">
        <w:rPr>
          <w:sz w:val="12"/>
        </w:rPr>
        <w:t>. 334 First, the investor's money is often locked up in the model for years: "</w:t>
      </w:r>
      <w:r w:rsidRPr="00DB78AF">
        <w:rPr>
          <w:rStyle w:val="StyleUnderline"/>
        </w:rPr>
        <w:t>investors must be willing to tolerate high liquidity risk since the duration of a bond is anywhere from 3 to 10 years with no early termination.</w:t>
      </w:r>
      <w:r w:rsidRPr="00DB78AF">
        <w:rPr>
          <w:sz w:val="12"/>
        </w:rPr>
        <w:t xml:space="preserve">" 335 Transaction and monitoring costs in the early stages of PFS models may be incredibly high. 336 Once these PFS contracts become more standardized, the transaction costs will likely lower at least moderately. 337 Moreover, there are some risk-mitigation methods that can "be applied to the social impact bond structure, such as reserve funds, first-loss provisions, and other credit enhancing methods." 338 Also the government can explore tax solutions to encourage investors to participate in this type of financing. 339 Reputational risks affect all players; however, service providers bear the brunt of this risk if targets are not met. 340 The reputational risk also extends to PFS programs in general. If some programs prove to be unsuccessful due to any of the </w:t>
      </w:r>
      <w:proofErr w:type="gramStart"/>
      <w:r w:rsidRPr="00DB78AF">
        <w:rPr>
          <w:sz w:val="12"/>
        </w:rPr>
        <w:t>aforementioned risks</w:t>
      </w:r>
      <w:proofErr w:type="gramEnd"/>
      <w:r w:rsidRPr="00DB78AF">
        <w:rPr>
          <w:sz w:val="12"/>
        </w:rPr>
        <w:t xml:space="preserve">, governments may shy away from using this model to address other societal problems. 341 </w:t>
      </w:r>
      <w:r w:rsidRPr="00DB78AF">
        <w:rPr>
          <w:rStyle w:val="StyleUnderline"/>
        </w:rPr>
        <w:t>There are also several general concerns with the PFS model</w:t>
      </w:r>
      <w:r w:rsidRPr="00DB78AF">
        <w:rPr>
          <w:sz w:val="12"/>
        </w:rPr>
        <w:t xml:space="preserve">. First, </w:t>
      </w:r>
      <w:r w:rsidRPr="00DB78AF">
        <w:rPr>
          <w:rStyle w:val="StyleUnderline"/>
        </w:rPr>
        <w:t xml:space="preserve">because it is still </w:t>
      </w:r>
      <w:proofErr w:type="gramStart"/>
      <w:r w:rsidRPr="00DB78AF">
        <w:rPr>
          <w:rStyle w:val="StyleUnderline"/>
        </w:rPr>
        <w:t>a new innovation</w:t>
      </w:r>
      <w:proofErr w:type="gramEnd"/>
      <w:r w:rsidRPr="00DB78AF">
        <w:rPr>
          <w:rStyle w:val="StyleUnderline"/>
        </w:rPr>
        <w:t xml:space="preserve"> in the United States, it is difficult to predict whether this model will become more popular or if it will stagnate</w:t>
      </w:r>
      <w:r w:rsidRPr="00DB78AF">
        <w:rPr>
          <w:sz w:val="12"/>
        </w:rPr>
        <w:t xml:space="preserve">. 342 Second, there is a risk that if PFS programs become more mainstream, they [*574] will cannibalize funding from non-profits who do not participate. 343 Third, not all social goods are easily quantifiable. This model may be limited to only those programs that can be easily measured and monetized, creating the unintended effect of ignoring some of the more challenging social ills. 344 Additionally, there is a risk that the programs funded will rely on oversimplified models that "obscure the true scope of the costs, benefits, and savings to local communities." 345 Fourth, monetizing social progress may lead to favoring local incrementalism in lieu of broad based reform.   346 Fifth, others argue that PFS models risk privatizing the public sector, and instead we should "consider a </w:t>
      </w:r>
      <w:proofErr w:type="gramStart"/>
      <w:r w:rsidRPr="00DB78AF">
        <w:rPr>
          <w:sz w:val="12"/>
        </w:rPr>
        <w:t>simpler solution--public investments</w:t>
      </w:r>
      <w:proofErr w:type="gramEnd"/>
      <w:r w:rsidRPr="00DB78AF">
        <w:rPr>
          <w:sz w:val="12"/>
        </w:rPr>
        <w:t xml:space="preserve"> in schools, jobs, social programs and innovate criminal justice."   347</w:t>
      </w:r>
    </w:p>
    <w:p w14:paraId="4B2DD269" w14:textId="2B9C6D7D" w:rsidR="00F563A7" w:rsidRDefault="00CC4EF2" w:rsidP="0098144E">
      <w:pPr>
        <w:pStyle w:val="Heading2"/>
        <w:rPr>
          <w:rFonts w:eastAsia="Arial"/>
        </w:rPr>
      </w:pPr>
      <w:r>
        <w:rPr>
          <w:rFonts w:eastAsia="Arial"/>
        </w:rPr>
        <w:t>AT:</w:t>
      </w:r>
      <w:r w:rsidR="00F563A7" w:rsidRPr="00A3094C">
        <w:rPr>
          <w:rFonts w:eastAsia="Arial"/>
        </w:rPr>
        <w:t xml:space="preserve"> </w:t>
      </w:r>
      <w:r w:rsidR="00291F2A">
        <w:rPr>
          <w:rFonts w:eastAsia="Arial"/>
        </w:rPr>
        <w:t>P</w:t>
      </w:r>
      <w:r w:rsidR="00F563A7" w:rsidRPr="00A3094C">
        <w:rPr>
          <w:rFonts w:eastAsia="Arial"/>
        </w:rPr>
        <w:t xml:space="preserve">ardon cp </w:t>
      </w:r>
    </w:p>
    <w:p w14:paraId="3811241E" w14:textId="4FA764EA" w:rsidR="00904A19" w:rsidRDefault="0098144E" w:rsidP="0098144E">
      <w:pPr>
        <w:pStyle w:val="Heading3"/>
      </w:pPr>
      <w:r>
        <w:t>Delay DA</w:t>
      </w:r>
    </w:p>
    <w:p w14:paraId="6F504BF3" w14:textId="19A55976" w:rsidR="00904A19" w:rsidRDefault="008C7BC9" w:rsidP="008C7BC9">
      <w:pPr>
        <w:pStyle w:val="Heading4"/>
      </w:pPr>
      <w:r>
        <w:t xml:space="preserve">Delay da </w:t>
      </w:r>
    </w:p>
    <w:p w14:paraId="7765C5A7" w14:textId="3A095024" w:rsidR="008C7BC9" w:rsidRDefault="008C7BC9" w:rsidP="008C7BC9"/>
    <w:p w14:paraId="1254561D" w14:textId="7259365A" w:rsidR="008C7BC9" w:rsidRDefault="008C7BC9" w:rsidP="008C7BC9">
      <w:pPr>
        <w:rPr>
          <w:rStyle w:val="Style13ptBold"/>
        </w:rPr>
      </w:pPr>
      <w:proofErr w:type="spellStart"/>
      <w:r>
        <w:rPr>
          <w:rStyle w:val="Style13ptBold"/>
        </w:rPr>
        <w:t>Leasure</w:t>
      </w:r>
      <w:proofErr w:type="spellEnd"/>
      <w:r>
        <w:rPr>
          <w:rStyle w:val="Style13ptBold"/>
        </w:rPr>
        <w:t xml:space="preserve"> ‘16</w:t>
      </w:r>
    </w:p>
    <w:p w14:paraId="6386FF9F" w14:textId="4478E1DF" w:rsidR="008C7BC9" w:rsidRPr="008C7BC9" w:rsidRDefault="008C7BC9" w:rsidP="008C7BC9">
      <w:r w:rsidRPr="008C7BC9">
        <w:t xml:space="preserve">(Peter, Peter </w:t>
      </w:r>
      <w:proofErr w:type="spellStart"/>
      <w:r w:rsidRPr="008C7BC9">
        <w:t>Leasure</w:t>
      </w:r>
      <w:proofErr w:type="spellEnd"/>
      <w:r w:rsidRPr="008C7BC9">
        <w:t xml:space="preserve">: Ph.D. candidate, Department of Criminology and Criminal Justice, University of South Carolina. Tia Stevens Andersen: Assistant Professor, Department of Criminology and Criminal Justice, University of South Carolina., “The Effectiveness of Certificates of Relief as Collateral Consequence Relief Mechanisms: An Experimental Study,” </w:t>
      </w:r>
      <w:proofErr w:type="spellStart"/>
      <w:r w:rsidRPr="008C7BC9">
        <w:t>pg</w:t>
      </w:r>
      <w:proofErr w:type="spellEnd"/>
      <w:r w:rsidRPr="008C7BC9">
        <w:t xml:space="preserve"> online @ </w:t>
      </w:r>
      <w:hyperlink r:id="rId95" w:history="1">
        <w:r w:rsidRPr="008C7BC9">
          <w:rPr>
            <w:rStyle w:val="Hyperlink"/>
          </w:rPr>
          <w:t>https://ylpr.yale.edu/inter_alia/effectiveness-certificates-relief-collateral-consequence-relief-mechanisms-experimental</w:t>
        </w:r>
      </w:hyperlink>
      <w:r w:rsidRPr="008C7BC9">
        <w:t xml:space="preserve"> //um-</w:t>
      </w:r>
      <w:proofErr w:type="spellStart"/>
      <w:r w:rsidRPr="008C7BC9">
        <w:t>ef</w:t>
      </w:r>
      <w:proofErr w:type="spellEnd"/>
      <w:r w:rsidRPr="008C7BC9">
        <w:t>)</w:t>
      </w:r>
    </w:p>
    <w:p w14:paraId="58B939D5" w14:textId="38EBE1E2" w:rsidR="001900CD" w:rsidRPr="001900CD" w:rsidRDefault="008C7BC9" w:rsidP="00FF6867">
      <w:pPr>
        <w:rPr>
          <w:sz w:val="12"/>
        </w:rPr>
      </w:pPr>
      <w:r w:rsidRPr="008C7BC9">
        <w:rPr>
          <w:sz w:val="12"/>
        </w:rPr>
        <w:t xml:space="preserve">Many </w:t>
      </w:r>
      <w:r w:rsidRPr="008C7BC9">
        <w:rPr>
          <w:rStyle w:val="StyleUnderline"/>
        </w:rPr>
        <w:t>jurisdictions have created mechanisms aimed at lessening the collateral consequences of conviction</w:t>
      </w:r>
      <w:r w:rsidRPr="008C7BC9">
        <w:rPr>
          <w:sz w:val="12"/>
        </w:rPr>
        <w:t xml:space="preserve">, particularly those related to employment. Such mechanisms include clemency, expungement, and certificates of relief.[12] Between 2009 and 2014, forty-one states and the District of Columbia enacted legislation to ease the harsh effects of a criminal conviction.[13] Several states passed laws expanding or strengthening pardon relief, expungement relief, or both, most commonly by extending the availability of such relief, clarifying its effects, reducing waiting periods, and altering the burden of proof required to obtain it.[14] </w:t>
      </w:r>
      <w:r w:rsidRPr="008C7BC9">
        <w:rPr>
          <w:rStyle w:val="StyleUnderline"/>
        </w:rPr>
        <w:t>Although pardons and expungements can be effective tools for mitigating the burden of collateral consequences, the process can be lengthy, expensive, and cumbersome for ex-offenders to navigate</w:t>
      </w:r>
      <w:r w:rsidRPr="008C7BC9">
        <w:rPr>
          <w:sz w:val="12"/>
        </w:rPr>
        <w:t>.[15]</w:t>
      </w:r>
    </w:p>
    <w:p w14:paraId="52902824" w14:textId="77777777" w:rsidR="0098144E" w:rsidRDefault="0098144E" w:rsidP="00FF6867">
      <w:pPr>
        <w:pStyle w:val="Heading4"/>
      </w:pPr>
    </w:p>
    <w:p w14:paraId="4E51F67E" w14:textId="77777777" w:rsidR="00572D60" w:rsidRPr="0098144E" w:rsidRDefault="00572D60" w:rsidP="00572D60">
      <w:pPr>
        <w:pStyle w:val="Heading3"/>
      </w:pPr>
      <w:r>
        <w:t>Pardon Fails</w:t>
      </w:r>
    </w:p>
    <w:p w14:paraId="396A23CE" w14:textId="77777777" w:rsidR="00572D60" w:rsidRPr="00F563A7" w:rsidRDefault="00572D60" w:rsidP="00572D60">
      <w:pPr>
        <w:pStyle w:val="Heading4"/>
      </w:pPr>
      <w:r w:rsidRPr="00F563A7">
        <w:t xml:space="preserve">Pardon CP fails- it </w:t>
      </w:r>
      <w:proofErr w:type="gramStart"/>
      <w:r w:rsidRPr="00F563A7">
        <w:t>can’t</w:t>
      </w:r>
      <w:proofErr w:type="gramEnd"/>
      <w:r w:rsidRPr="00F563A7">
        <w:t xml:space="preserve"> restore civil rights </w:t>
      </w:r>
    </w:p>
    <w:p w14:paraId="37EC5C1F" w14:textId="77777777" w:rsidR="00572D60" w:rsidRPr="00A3094C" w:rsidRDefault="00572D60" w:rsidP="00572D60">
      <w:proofErr w:type="spellStart"/>
      <w:r w:rsidRPr="00A3094C">
        <w:rPr>
          <w:rStyle w:val="Heading4Char"/>
          <w:rFonts w:cs="Arial"/>
        </w:rPr>
        <w:t>Demleitner</w:t>
      </w:r>
      <w:proofErr w:type="spellEnd"/>
      <w:r w:rsidRPr="00A3094C">
        <w:rPr>
          <w:rStyle w:val="Heading4Char"/>
          <w:rFonts w:cs="Arial"/>
        </w:rPr>
        <w:t xml:space="preserve"> 99.</w:t>
      </w:r>
      <w:r w:rsidRPr="00A3094C">
        <w:t xml:space="preserve"> Nora V. </w:t>
      </w:r>
      <w:proofErr w:type="spellStart"/>
      <w:r w:rsidRPr="00A3094C">
        <w:t>Demleitner</w:t>
      </w:r>
      <w:proofErr w:type="spellEnd"/>
      <w:r w:rsidRPr="00A3094C">
        <w:t xml:space="preserve"> is a Visiting Professor at the University of Michigan Law School (Fall 1999), and a Professor at St. Mary's University School of Law, San Antonio. She received a B.A. from Bates College, a J.D. from Yale Law School, and an LL.M. from Georgetown University Law Center. Winter 1999, “</w:t>
      </w:r>
      <w:hyperlink r:id="rId96" w:history="1">
        <w:r w:rsidRPr="00A3094C">
          <w:rPr>
            <w:rStyle w:val="Hyperlink"/>
          </w:rPr>
          <w:t xml:space="preserve">SYMPOSIUM: Preventing Internal Exile: The Need for Restrictions on </w:t>
        </w:r>
      </w:hyperlink>
      <w:hyperlink r:id="rId97" w:history="1">
        <w:r w:rsidRPr="00A3094C">
          <w:rPr>
            <w:rStyle w:val="Hyperlink"/>
          </w:rPr>
          <w:t>Collateral</w:t>
        </w:r>
      </w:hyperlink>
      <w:hyperlink r:id="rId98" w:history="1">
        <w:r w:rsidRPr="00A3094C">
          <w:rPr>
            <w:rStyle w:val="Hyperlink"/>
          </w:rPr>
          <w:t xml:space="preserve"> </w:t>
        </w:r>
      </w:hyperlink>
      <w:hyperlink r:id="rId99" w:history="1">
        <w:r w:rsidRPr="00A3094C">
          <w:rPr>
            <w:rStyle w:val="Hyperlink"/>
          </w:rPr>
          <w:t>Sentencing</w:t>
        </w:r>
      </w:hyperlink>
      <w:hyperlink r:id="rId100" w:history="1">
        <w:r w:rsidRPr="00A3094C">
          <w:rPr>
            <w:rStyle w:val="Hyperlink"/>
          </w:rPr>
          <w:t xml:space="preserve"> Consequences </w:t>
        </w:r>
      </w:hyperlink>
      <w:r w:rsidRPr="00A3094C">
        <w:t xml:space="preserve">” Stanford Law and Policy Review. </w:t>
      </w:r>
      <w:proofErr w:type="spellStart"/>
      <w:r w:rsidRPr="00A3094C">
        <w:t>eg.</w:t>
      </w:r>
      <w:proofErr w:type="spellEnd"/>
    </w:p>
    <w:p w14:paraId="0196D347" w14:textId="77777777" w:rsidR="00572D60" w:rsidRPr="00A3094C" w:rsidRDefault="00572D60" w:rsidP="00572D60">
      <w:pPr>
        <w:rPr>
          <w:sz w:val="16"/>
        </w:rPr>
      </w:pPr>
      <w:r w:rsidRPr="00A3094C">
        <w:rPr>
          <w:sz w:val="16"/>
        </w:rPr>
        <w:t xml:space="preserve">Proposals in England and the United States during the 1960s and early 1970s advocated a different approach to collateral consequences. They would have either restored certain rights to the offender immediately upon release </w:t>
      </w:r>
      <w:proofErr w:type="gramStart"/>
      <w:r w:rsidRPr="00A3094C">
        <w:rPr>
          <w:sz w:val="16"/>
        </w:rPr>
        <w:t>so as to</w:t>
      </w:r>
      <w:proofErr w:type="gramEnd"/>
      <w:r w:rsidRPr="00A3094C">
        <w:rPr>
          <w:sz w:val="16"/>
        </w:rPr>
        <w:t xml:space="preserve"> permit easier rehabilitation, or upon rehabilitation as a reward for reintegration into society. </w:t>
      </w:r>
      <w:r w:rsidRPr="00A3094C">
        <w:rPr>
          <w:sz w:val="16"/>
        </w:rPr>
        <w:footnoteReference w:customMarkFollows="1" w:id="269"/>
        <w:t xml:space="preserve">145 The Model Penal Code, for example, proposed limiting disqualifications from voting and jury service solely to the time of incarceration and/or total sentence, respectively. </w:t>
      </w:r>
      <w:r w:rsidRPr="00A3094C">
        <w:rPr>
          <w:sz w:val="16"/>
        </w:rPr>
        <w:footnoteReference w:customMarkFollows="1" w:id="270"/>
        <w:t xml:space="preserve">146 A few states adopted these principles and automatically restored the civil rights of offenders upon their release from prison. </w:t>
      </w:r>
      <w:r w:rsidRPr="00A3094C">
        <w:rPr>
          <w:sz w:val="16"/>
        </w:rPr>
        <w:footnoteReference w:customMarkFollows="1" w:id="271"/>
        <w:t xml:space="preserve">147 In England, the automatic restoration of civil rights may depend on whether an offender has led a crime-free life for a limited number of years after incarceration. </w:t>
      </w:r>
      <w:r w:rsidRPr="00A3094C">
        <w:rPr>
          <w:sz w:val="16"/>
        </w:rPr>
        <w:footnoteReference w:customMarkFollows="1" w:id="272"/>
        <w:t xml:space="preserve">148 Such an approach is more desirable than requiring a gubernatorial pardon to restore an ex-offender's civil rights. </w:t>
      </w:r>
      <w:r w:rsidRPr="00A3094C">
        <w:rPr>
          <w:rStyle w:val="Emphasis"/>
        </w:rPr>
        <w:t xml:space="preserve">Pardons do not always restore all civil and political rights, </w:t>
      </w:r>
      <w:r w:rsidRPr="00A3094C">
        <w:rPr>
          <w:rStyle w:val="Emphasis"/>
        </w:rPr>
        <w:footnoteReference w:customMarkFollows="1" w:id="273"/>
        <w:t>149 and their award often depends on external, political influences.</w:t>
      </w:r>
      <w:r w:rsidRPr="00A3094C">
        <w:rPr>
          <w:sz w:val="16"/>
        </w:rPr>
        <w:t xml:space="preserve"> </w:t>
      </w:r>
      <w:r w:rsidRPr="00A3094C">
        <w:rPr>
          <w:sz w:val="16"/>
        </w:rPr>
        <w:footnoteReference w:customMarkFollows="1" w:id="274"/>
        <w:t xml:space="preserve">150 In addition, </w:t>
      </w:r>
      <w:r w:rsidRPr="00A3094C">
        <w:rPr>
          <w:rStyle w:val="StyleUnderline"/>
        </w:rPr>
        <w:t xml:space="preserve">the number of pardons granted in the state and federal systems in recent years has been </w:t>
      </w:r>
      <w:proofErr w:type="gramStart"/>
      <w:r w:rsidRPr="00A3094C">
        <w:rPr>
          <w:rStyle w:val="StyleUnderline"/>
        </w:rPr>
        <w:t>very small</w:t>
      </w:r>
      <w:proofErr w:type="gramEnd"/>
      <w:r w:rsidRPr="00A3094C">
        <w:rPr>
          <w:rStyle w:val="StyleUnderline"/>
        </w:rPr>
        <w:t xml:space="preserve">, especially when compared to the overall number of offenders convicted. </w:t>
      </w:r>
      <w:r w:rsidRPr="00A3094C">
        <w:rPr>
          <w:sz w:val="16"/>
        </w:rPr>
        <w:footnoteReference w:customMarkFollows="1" w:id="275"/>
        <w:t xml:space="preserve">151 </w:t>
      </w:r>
      <w:r w:rsidRPr="00A3094C">
        <w:rPr>
          <w:rStyle w:val="Emphasis"/>
        </w:rPr>
        <w:t xml:space="preserve">Neither pardons nor the restoration of civil rights </w:t>
      </w:r>
      <w:proofErr w:type="gramStart"/>
      <w:r w:rsidRPr="00A3094C">
        <w:rPr>
          <w:rStyle w:val="Emphasis"/>
        </w:rPr>
        <w:t>assist</w:t>
      </w:r>
      <w:proofErr w:type="gramEnd"/>
      <w:r w:rsidRPr="00A3094C">
        <w:rPr>
          <w:rStyle w:val="Emphasis"/>
        </w:rPr>
        <w:t xml:space="preserve"> the ex-offender, however, in regaining an occupational license even if she displays indicia of rehabilitation.</w:t>
      </w:r>
      <w:r w:rsidRPr="00A3094C">
        <w:rPr>
          <w:sz w:val="16"/>
        </w:rPr>
        <w:t xml:space="preserve"> </w:t>
      </w:r>
      <w:r w:rsidRPr="00A3094C">
        <w:rPr>
          <w:sz w:val="16"/>
        </w:rPr>
        <w:footnoteReference w:customMarkFollows="1" w:id="276"/>
        <w:t xml:space="preserve">152 To prevent such negative collateral consequences for ex-offenders, a more comprehensive solution, adopted in some states, is needed: the expungement of criminal records after a certain </w:t>
      </w:r>
      <w:proofErr w:type="gramStart"/>
      <w:r w:rsidRPr="00A3094C">
        <w:rPr>
          <w:sz w:val="16"/>
        </w:rPr>
        <w:t>period of time</w:t>
      </w:r>
      <w:proofErr w:type="gramEnd"/>
      <w:r w:rsidRPr="00A3094C">
        <w:rPr>
          <w:sz w:val="16"/>
        </w:rPr>
        <w:t xml:space="preserve"> following the end of a sentence. </w:t>
      </w:r>
      <w:r w:rsidRPr="00A3094C">
        <w:rPr>
          <w:sz w:val="16"/>
        </w:rPr>
        <w:footnoteReference w:customMarkFollows="1" w:id="277"/>
        <w:t xml:space="preserve">153 "In those jurisdictions in which there is no statute of limitations or expungement mechanism, the criminal justice system is creating an ever-growing number of people with criminal records." </w:t>
      </w:r>
      <w:r w:rsidRPr="00A3094C">
        <w:rPr>
          <w:sz w:val="16"/>
        </w:rPr>
        <w:footnoteReference w:customMarkFollows="1" w:id="278"/>
        <w:t xml:space="preserve">154 Based on a 1992 survey, almost fifty million people have criminal records in the United States. </w:t>
      </w:r>
      <w:r w:rsidRPr="00A3094C">
        <w:rPr>
          <w:sz w:val="16"/>
        </w:rPr>
        <w:footnoteReference w:customMarkFollows="1" w:id="279"/>
        <w:t xml:space="preserve">155 Expungement would allow these individuals to eradicate their record of conviction after a certain amount of crime-free time. </w:t>
      </w:r>
      <w:r w:rsidRPr="00A3094C">
        <w:rPr>
          <w:sz w:val="16"/>
        </w:rPr>
        <w:footnoteReference w:customMarkFollows="1" w:id="280"/>
        <w:t>156 This process would enable them, for example, to qualify for employment licenses and receive bonded employment. While the effect of such measures would be crucial, the process by which an ex-offender is welcomed back into the larger community also may be of consequence. Like many applicants for citizenship who prefer the official swearing-in ceremony conducted by a federal judge over the quicker but less ceremonious administrative naturalization process, ex-offenders should have access to a ceremony marking their official reintegration into the community and the end of their exclusion and degradation. The restoration of civil and political rights, pardons and expungement are back- rather than front-end measures. They attempt to ameliorate the negative impact of collateral consequences after sentencing. It would be more effective, however, if courts were to consider the value and necessity of collateral consequences in each individual case prior to their imposition.</w:t>
      </w:r>
    </w:p>
    <w:p w14:paraId="1233FF3F" w14:textId="77777777" w:rsidR="00572D60" w:rsidRPr="00A3094C" w:rsidRDefault="00572D60" w:rsidP="00572D60">
      <w:pPr>
        <w:sectPr w:rsidR="00572D60" w:rsidRPr="00A3094C" w:rsidSect="00CB6C8C">
          <w:headerReference w:type="even" r:id="rId101"/>
          <w:headerReference w:type="default" r:id="rId102"/>
          <w:footerReference w:type="even" r:id="rId103"/>
          <w:footerReference w:type="default" r:id="rId104"/>
          <w:headerReference w:type="first" r:id="rId105"/>
          <w:footerReference w:type="first" r:id="rId106"/>
          <w:pgSz w:w="12240" w:h="15840"/>
          <w:pgMar w:top="840" w:right="1000" w:bottom="840" w:left="1000" w:header="400" w:footer="400" w:gutter="0"/>
          <w:cols w:space="720"/>
        </w:sectPr>
      </w:pPr>
    </w:p>
    <w:p w14:paraId="6FD3CD0E" w14:textId="77777777" w:rsidR="00572D60" w:rsidRPr="00A3094C" w:rsidRDefault="00572D60" w:rsidP="00572D60">
      <w:pPr>
        <w:pStyle w:val="Heading4"/>
        <w:rPr>
          <w:rFonts w:eastAsia="Arial" w:cs="Arial"/>
        </w:rPr>
      </w:pPr>
      <w:r w:rsidRPr="00A3094C">
        <w:rPr>
          <w:rFonts w:eastAsia="Arial" w:cs="Arial"/>
        </w:rPr>
        <w:t xml:space="preserve">Pardon CP fails- discrepancies amongst states and only accessible to the wealthy </w:t>
      </w:r>
    </w:p>
    <w:p w14:paraId="2B6E8E22" w14:textId="77777777" w:rsidR="00572D60" w:rsidRPr="00A3094C" w:rsidRDefault="00572D60" w:rsidP="00572D60">
      <w:proofErr w:type="spellStart"/>
      <w:r w:rsidRPr="00A3094C">
        <w:rPr>
          <w:rStyle w:val="Heading4Char"/>
          <w:rFonts w:cs="Arial"/>
        </w:rPr>
        <w:t>Finzen</w:t>
      </w:r>
      <w:proofErr w:type="spellEnd"/>
      <w:r w:rsidRPr="00A3094C">
        <w:rPr>
          <w:rStyle w:val="Heading4Char"/>
          <w:rFonts w:cs="Arial"/>
        </w:rPr>
        <w:t xml:space="preserve"> 05.</w:t>
      </w:r>
      <w:r w:rsidRPr="00A3094C">
        <w:t xml:space="preserve"> Margaret E. </w:t>
      </w:r>
      <w:proofErr w:type="spellStart"/>
      <w:r w:rsidRPr="00A3094C">
        <w:t>Finzen</w:t>
      </w:r>
      <w:proofErr w:type="spellEnd"/>
      <w:r w:rsidRPr="00A3094C">
        <w:t xml:space="preserve">- J.D., Georgetown University Law Center (Race and American Law Class). Summer 2005, “NOTE: </w:t>
      </w:r>
      <w:hyperlink r:id="rId107" w:history="1">
        <w:r w:rsidRPr="00A3094C">
          <w:rPr>
            <w:rStyle w:val="Hyperlink"/>
          </w:rPr>
          <w:t>Systems of Oppression: The Collateral Consequences of Incarceration and Their Effects on Black Communities</w:t>
        </w:r>
      </w:hyperlink>
      <w:r w:rsidRPr="00A3094C">
        <w:t xml:space="preserve">” Georgetown Journal on Poverty, Law, &amp; Policy. </w:t>
      </w:r>
      <w:proofErr w:type="spellStart"/>
      <w:r w:rsidRPr="00A3094C">
        <w:t>eg.</w:t>
      </w:r>
      <w:proofErr w:type="spellEnd"/>
    </w:p>
    <w:p w14:paraId="4B4F69C5" w14:textId="77777777" w:rsidR="00572D60" w:rsidRDefault="00572D60" w:rsidP="00572D60">
      <w:pPr>
        <w:rPr>
          <w:sz w:val="16"/>
        </w:rPr>
      </w:pPr>
      <w:r w:rsidRPr="00A3094C">
        <w:rPr>
          <w:rStyle w:val="StyleUnderline"/>
        </w:rPr>
        <w:t xml:space="preserve">Procedures exist in some states for felons to restore some or </w:t>
      </w:r>
      <w:proofErr w:type="gramStart"/>
      <w:r w:rsidRPr="00A3094C">
        <w:rPr>
          <w:rStyle w:val="StyleUnderline"/>
        </w:rPr>
        <w:t>all of</w:t>
      </w:r>
      <w:proofErr w:type="gramEnd"/>
      <w:r w:rsidRPr="00A3094C">
        <w:rPr>
          <w:rStyle w:val="StyleUnderline"/>
        </w:rPr>
        <w:t xml:space="preserve"> their civil rights after they have been lost as a result of a felony conviction</w:t>
      </w:r>
      <w:r w:rsidRPr="00A3094C">
        <w:rPr>
          <w:rStyle w:val="Emphasis"/>
        </w:rPr>
        <w:t>, but the procedures vary from state to state.</w:t>
      </w:r>
      <w:r w:rsidRPr="00A3094C">
        <w:rPr>
          <w:sz w:val="16"/>
        </w:rPr>
        <w:t xml:space="preserve">   </w:t>
      </w:r>
      <w:r w:rsidRPr="00A3094C">
        <w:rPr>
          <w:sz w:val="16"/>
        </w:rPr>
        <w:footnoteReference w:customMarkFollows="1" w:id="281"/>
        <w:t xml:space="preserve">74 In some states and for some rights, the right is restored automatically upon release from prison or the completion of parole or probation.   </w:t>
      </w:r>
      <w:r w:rsidRPr="00A3094C">
        <w:rPr>
          <w:sz w:val="16"/>
        </w:rPr>
        <w:footnoteReference w:customMarkFollows="1" w:id="282"/>
        <w:t xml:space="preserve">75 In other states, some or all civil rights can be restored only after an administrative procedure or a gubernatorial or presidential pardon.   </w:t>
      </w:r>
      <w:r w:rsidRPr="00A3094C">
        <w:rPr>
          <w:sz w:val="16"/>
        </w:rPr>
        <w:footnoteReference w:customMarkFollows="1" w:id="283"/>
        <w:t xml:space="preserve">76 However, because </w:t>
      </w:r>
      <w:r w:rsidRPr="00A3094C">
        <w:rPr>
          <w:rStyle w:val="Emphasis"/>
        </w:rPr>
        <w:t xml:space="preserve">pardons are often available only for the wealthy and well-connected, in states where only a gubernatorial or presidential pardon can restore the lost right, the right may </w:t>
      </w:r>
      <w:proofErr w:type="gramStart"/>
      <w:r w:rsidRPr="00A3094C">
        <w:rPr>
          <w:rStyle w:val="Emphasis"/>
        </w:rPr>
        <w:t>in reality be</w:t>
      </w:r>
      <w:proofErr w:type="gramEnd"/>
      <w:r w:rsidRPr="00A3094C">
        <w:rPr>
          <w:rStyle w:val="Emphasis"/>
        </w:rPr>
        <w:t xml:space="preserve"> permanently lost</w:t>
      </w:r>
      <w:r w:rsidRPr="00A3094C">
        <w:rPr>
          <w:sz w:val="16"/>
        </w:rPr>
        <w:t xml:space="preserve">.   </w:t>
      </w:r>
      <w:r w:rsidRPr="00A3094C">
        <w:rPr>
          <w:sz w:val="16"/>
        </w:rPr>
        <w:footnoteReference w:customMarkFollows="1" w:id="284"/>
        <w:t xml:space="preserve">77 Intersections of state and </w:t>
      </w:r>
      <w:proofErr w:type="gramStart"/>
      <w:r w:rsidRPr="00A3094C">
        <w:rPr>
          <w:sz w:val="16"/>
        </w:rPr>
        <w:t>federal  [</w:t>
      </w:r>
      <w:proofErr w:type="gramEnd"/>
      <w:r w:rsidRPr="00A3094C">
        <w:rPr>
          <w:sz w:val="16"/>
        </w:rPr>
        <w:t xml:space="preserve">*309]  law create interesting issues, where state restoration of rights sometimes fails to restore certain federal rights and vice versa.   </w:t>
      </w:r>
      <w:r w:rsidRPr="00A3094C">
        <w:rPr>
          <w:sz w:val="16"/>
        </w:rPr>
        <w:footnoteReference w:customMarkFollows="1" w:id="285"/>
        <w:t xml:space="preserve">78 Similarly, differences in collateral consequences laws across states also pose problems, since an individual may have certain rights while living in one state, only to lose them as a result of his conviction upon moving to another state with more stringent laws.   </w:t>
      </w:r>
      <w:r w:rsidRPr="00A3094C">
        <w:rPr>
          <w:sz w:val="16"/>
        </w:rPr>
        <w:footnoteReference w:customMarkFollows="1" w:id="286"/>
        <w:t xml:space="preserve">79 </w:t>
      </w:r>
      <w:r w:rsidRPr="00A3094C">
        <w:rPr>
          <w:rStyle w:val="StyleUnderline"/>
        </w:rPr>
        <w:t>The difficult if not insurmountable barriers to having lost rights restored highlight the seriousness of an ex-offender's inability to regain rights that affect everyday necessities</w:t>
      </w:r>
      <w:r w:rsidRPr="00A3094C">
        <w:rPr>
          <w:sz w:val="16"/>
        </w:rPr>
        <w:t>. The remainder of this Note will focus on those laws that most impact an ex-offender's daily life, namely the loss of welfare and housing, and the inability to obtain employment or loans for higher education.</w:t>
      </w:r>
    </w:p>
    <w:p w14:paraId="4281CB97" w14:textId="5E3D7236" w:rsidR="0098144E" w:rsidRDefault="0098144E" w:rsidP="0098144E">
      <w:pPr>
        <w:pStyle w:val="Heading3"/>
      </w:pPr>
      <w:r>
        <w:t>Causes Backlash</w:t>
      </w:r>
    </w:p>
    <w:p w14:paraId="08E00C2D" w14:textId="77777777" w:rsidR="00CB2E72" w:rsidRDefault="00CB2E72" w:rsidP="00FF6867">
      <w:pPr>
        <w:pStyle w:val="Heading4"/>
      </w:pPr>
    </w:p>
    <w:p w14:paraId="41A8F470" w14:textId="1F4A8514" w:rsidR="00FF6867" w:rsidRDefault="00FF6867" w:rsidP="00FF6867">
      <w:pPr>
        <w:pStyle w:val="Heading4"/>
      </w:pPr>
      <w:r>
        <w:t>And, causes backlash --- makes the president look “soft on crime” at the polls</w:t>
      </w:r>
    </w:p>
    <w:p w14:paraId="09B633F3" w14:textId="77777777" w:rsidR="00FF6867" w:rsidRDefault="00FF6867" w:rsidP="00FF6867"/>
    <w:p w14:paraId="2DF39ACA" w14:textId="77777777" w:rsidR="00FF6867" w:rsidRDefault="00FF6867" w:rsidP="00FF6867">
      <w:pPr>
        <w:rPr>
          <w:rStyle w:val="Style13ptBold"/>
        </w:rPr>
      </w:pPr>
      <w:r>
        <w:rPr>
          <w:rStyle w:val="Style13ptBold"/>
        </w:rPr>
        <w:t>Love ‘11</w:t>
      </w:r>
    </w:p>
    <w:p w14:paraId="758602FC" w14:textId="77777777" w:rsidR="00FF6867" w:rsidRDefault="00FF6867" w:rsidP="00FF6867">
      <w:r w:rsidRPr="007E7F82">
        <w:t xml:space="preserve">(Margaret, Law Office of Margaret Love. ABA Liaison to the drafters of the Uniform Collateral Consequences of Conviction Act, 2005-10; Chair, Drafting Committee of the ABA Criminal Justice Standards on Collateral Sanctions and Discretionary Disqualification of Convicted Persons, “Paying Their Debt to Society: Forgiveness, Redemption, and the Uniform Collateral Consequences of Conviction Act,” Howard Law Journal </w:t>
      </w:r>
      <w:proofErr w:type="spellStart"/>
      <w:r w:rsidRPr="007E7F82">
        <w:t>pg</w:t>
      </w:r>
      <w:proofErr w:type="spellEnd"/>
      <w:r w:rsidRPr="007E7F82">
        <w:t xml:space="preserve"> SSRN //um-</w:t>
      </w:r>
      <w:proofErr w:type="spellStart"/>
      <w:r w:rsidRPr="007E7F82">
        <w:t>ef</w:t>
      </w:r>
      <w:proofErr w:type="spellEnd"/>
      <w:r w:rsidRPr="007E7F82">
        <w:t>)</w:t>
      </w:r>
    </w:p>
    <w:p w14:paraId="6021B888" w14:textId="16438388" w:rsidR="008C7BC9" w:rsidRDefault="00FF6867" w:rsidP="00904A19">
      <w:r>
        <w:t xml:space="preserve">It is therefore unfortunate that </w:t>
      </w:r>
      <w:r w:rsidRPr="007155C1">
        <w:rPr>
          <w:rStyle w:val="StyleUnderline"/>
        </w:rPr>
        <w:t>pardon has become all but useless</w:t>
      </w:r>
      <w:r w:rsidR="000D1B6A" w:rsidRPr="007155C1">
        <w:rPr>
          <w:rStyle w:val="StyleUnderline"/>
        </w:rPr>
        <w:t xml:space="preserve"> </w:t>
      </w:r>
      <w:r w:rsidRPr="007155C1">
        <w:rPr>
          <w:rStyle w:val="StyleUnderline"/>
        </w:rPr>
        <w:t>in the internet age, at least where the power is exercised by an elected</w:t>
      </w:r>
      <w:r w:rsidR="000D1B6A" w:rsidRPr="007155C1">
        <w:rPr>
          <w:rStyle w:val="StyleUnderline"/>
        </w:rPr>
        <w:t xml:space="preserve"> </w:t>
      </w:r>
      <w:r w:rsidRPr="007155C1">
        <w:rPr>
          <w:rStyle w:val="StyleUnderline"/>
        </w:rPr>
        <w:t>official</w:t>
      </w:r>
      <w:r>
        <w:t xml:space="preserve">. </w:t>
      </w:r>
      <w:r w:rsidRPr="007155C1">
        <w:rPr>
          <w:rStyle w:val="StyleUnderline"/>
        </w:rPr>
        <w:t>Always considered somewhat haphazard and subject to improper influence,102 in the past thirty years pardon has become a</w:t>
      </w:r>
      <w:r w:rsidR="000D1B6A" w:rsidRPr="007155C1">
        <w:rPr>
          <w:rStyle w:val="StyleUnderline"/>
        </w:rPr>
        <w:t xml:space="preserve"> </w:t>
      </w:r>
      <w:r w:rsidRPr="007155C1">
        <w:rPr>
          <w:rStyle w:val="StyleUnderline"/>
        </w:rPr>
        <w:t>phantom remedy in most states and in the federal system</w:t>
      </w:r>
      <w:r>
        <w:t>.103 With but</w:t>
      </w:r>
      <w:r w:rsidR="000D1B6A">
        <w:t xml:space="preserve"> </w:t>
      </w:r>
      <w:r>
        <w:t xml:space="preserve">a few conspicuous exceptions, </w:t>
      </w:r>
      <w:r w:rsidRPr="007155C1">
        <w:rPr>
          <w:rStyle w:val="Emphasis"/>
        </w:rPr>
        <w:t>governors and presidents are reluctant</w:t>
      </w:r>
      <w:r w:rsidR="000D1B6A" w:rsidRPr="007155C1">
        <w:rPr>
          <w:rStyle w:val="Emphasis"/>
        </w:rPr>
        <w:t xml:space="preserve"> </w:t>
      </w:r>
      <w:r w:rsidRPr="007155C1">
        <w:rPr>
          <w:rStyle w:val="Emphasis"/>
        </w:rPr>
        <w:t>to use their constitutional power while in office while they can still be</w:t>
      </w:r>
      <w:r w:rsidR="000D1B6A" w:rsidRPr="007155C1">
        <w:rPr>
          <w:rStyle w:val="Emphasis"/>
        </w:rPr>
        <w:t xml:space="preserve"> </w:t>
      </w:r>
      <w:r w:rsidRPr="007155C1">
        <w:rPr>
          <w:rStyle w:val="Emphasis"/>
        </w:rPr>
        <w:t>punished at the polls as “soft on crime,”</w:t>
      </w:r>
      <w:r>
        <w:t xml:space="preserve"> or, worse, held responsible</w:t>
      </w:r>
      <w:r w:rsidR="000D1B6A">
        <w:t xml:space="preserve"> </w:t>
      </w:r>
      <w:r>
        <w:t>for some undiscovered vices or subsequent bad behavior of a beneficiary of their forgiveness. Indeed, in many jurisdictions pardon has</w:t>
      </w:r>
      <w:r w:rsidR="000D1B6A">
        <w:t xml:space="preserve"> </w:t>
      </w:r>
      <w:r>
        <w:t>been relegated to an end-of-term indulgence, and governors excused</w:t>
      </w:r>
      <w:r w:rsidR="000D1B6A">
        <w:t xml:space="preserve"> </w:t>
      </w:r>
      <w:r>
        <w:t>from their traditional year-round, every-day duties.</w:t>
      </w:r>
    </w:p>
    <w:p w14:paraId="6AAF9324" w14:textId="77777777" w:rsidR="008C7BC9" w:rsidRDefault="008C7BC9" w:rsidP="00904A19"/>
    <w:p w14:paraId="767EAC66" w14:textId="77777777" w:rsidR="00904A19" w:rsidRPr="00333E7E" w:rsidRDefault="00904A19" w:rsidP="00904A19">
      <w:pPr>
        <w:rPr>
          <w:b/>
          <w:bCs/>
          <w:sz w:val="26"/>
        </w:rPr>
      </w:pPr>
      <w:r>
        <w:rPr>
          <w:rStyle w:val="Style13ptBold"/>
        </w:rPr>
        <w:t>Silva ‘11</w:t>
      </w:r>
    </w:p>
    <w:p w14:paraId="74A8C075" w14:textId="77777777" w:rsidR="00904A19" w:rsidRPr="00503F48" w:rsidRDefault="00904A19" w:rsidP="00904A19">
      <w:r w:rsidRPr="00503F48">
        <w:t>(</w:t>
      </w:r>
      <w:proofErr w:type="spellStart"/>
      <w:r w:rsidRPr="00503F48">
        <w:t>Lahny</w:t>
      </w:r>
      <w:proofErr w:type="spellEnd"/>
      <w:r w:rsidRPr="00503F48">
        <w:t>, J.D. University of Connecticut 2007; Hastie Fellow and LLM Candidate University of</w:t>
      </w:r>
      <w:r>
        <w:t xml:space="preserve"> </w:t>
      </w:r>
      <w:r w:rsidRPr="00503F48">
        <w:t>Wisconsin, “Clean Slate: Exp</w:t>
      </w:r>
      <w:r>
        <w:t>anding</w:t>
      </w:r>
      <w:r w:rsidRPr="00503F48">
        <w:t xml:space="preserve"> Expungemen</w:t>
      </w:r>
      <w:r>
        <w:t>ts</w:t>
      </w:r>
      <w:r w:rsidRPr="00503F48">
        <w:t xml:space="preserve"> </w:t>
      </w:r>
      <w:r>
        <w:t>a</w:t>
      </w:r>
      <w:r w:rsidRPr="00503F48">
        <w:t>nd Expungements</w:t>
      </w:r>
      <w:r>
        <w:t xml:space="preserve"> </w:t>
      </w:r>
      <w:r w:rsidRPr="00503F48">
        <w:t>Pardons</w:t>
      </w:r>
    </w:p>
    <w:p w14:paraId="08EC4F01" w14:textId="77777777" w:rsidR="00904A19" w:rsidRDefault="00904A19" w:rsidP="00904A19">
      <w:r w:rsidRPr="00503F48">
        <w:t xml:space="preserve">For Non-Violent Federal Offenders,” </w:t>
      </w:r>
      <w:proofErr w:type="spellStart"/>
      <w:r w:rsidRPr="00503F48">
        <w:t>pg</w:t>
      </w:r>
      <w:proofErr w:type="spellEnd"/>
      <w:r w:rsidRPr="00503F48">
        <w:t xml:space="preserve"> online @ </w:t>
      </w:r>
      <w:hyperlink r:id="rId108" w:history="1">
        <w:r w:rsidRPr="00503F48">
          <w:rPr>
            <w:rStyle w:val="Hyperlink"/>
          </w:rPr>
          <w:t>https://scholarship.law.uc.edu/cgi/viewcontent.cgi?article=1046&amp;context=uclr</w:t>
        </w:r>
      </w:hyperlink>
      <w:r w:rsidRPr="00503F48">
        <w:t xml:space="preserve"> //um-</w:t>
      </w:r>
      <w:proofErr w:type="spellStart"/>
      <w:r w:rsidRPr="00503F48">
        <w:t>ef</w:t>
      </w:r>
      <w:proofErr w:type="spellEnd"/>
      <w:r w:rsidRPr="00503F48">
        <w:t>)</w:t>
      </w:r>
    </w:p>
    <w:p w14:paraId="6C9F8EA3" w14:textId="77777777" w:rsidR="00904A19" w:rsidRPr="00CB2E72" w:rsidRDefault="00904A19" w:rsidP="00904A19">
      <w:pPr>
        <w:rPr>
          <w:sz w:val="12"/>
        </w:rPr>
      </w:pPr>
      <w:r w:rsidRPr="00CB2E72">
        <w:rPr>
          <w:sz w:val="12"/>
        </w:rPr>
        <w:t xml:space="preserve">As has been demonstrated in Part III, current federal law is confusing at best. </w:t>
      </w:r>
      <w:r w:rsidRPr="005A4EFA">
        <w:rPr>
          <w:rStyle w:val="StyleUnderline"/>
        </w:rPr>
        <w:t>The executive pardoning power does little to successfully integrate ex-offenders that the President has chosen to pardon</w:t>
      </w:r>
      <w:r w:rsidRPr="00CB2E72">
        <w:rPr>
          <w:sz w:val="12"/>
        </w:rPr>
        <w:t xml:space="preserve">. </w:t>
      </w:r>
      <w:r w:rsidRPr="005A4EFA">
        <w:rPr>
          <w:rStyle w:val="Emphasis"/>
        </w:rPr>
        <w:t xml:space="preserve">It does nothing to solve the practical and </w:t>
      </w:r>
      <w:proofErr w:type="gramStart"/>
      <w:r w:rsidRPr="005A4EFA">
        <w:rPr>
          <w:rStyle w:val="Emphasis"/>
        </w:rPr>
        <w:t>real life</w:t>
      </w:r>
      <w:proofErr w:type="gramEnd"/>
      <w:r w:rsidRPr="005A4EFA">
        <w:rPr>
          <w:rStyle w:val="Emphasis"/>
        </w:rPr>
        <w:t xml:space="preserve"> problems associated with conviction</w:t>
      </w:r>
      <w:r w:rsidRPr="00CB2E72">
        <w:rPr>
          <w:sz w:val="12"/>
        </w:rPr>
        <w:t xml:space="preserve">: </w:t>
      </w:r>
      <w:r w:rsidRPr="005A4EFA">
        <w:rPr>
          <w:rStyle w:val="Emphasis"/>
        </w:rPr>
        <w:t>the easy accessibility of criminal records and the stigma attached to conviction</w:t>
      </w:r>
      <w:r w:rsidRPr="00CB2E72">
        <w:rPr>
          <w:sz w:val="12"/>
        </w:rPr>
        <w:t xml:space="preserve">. It is also quite likely that </w:t>
      </w:r>
      <w:r w:rsidRPr="005A4EFA">
        <w:rPr>
          <w:rStyle w:val="StyleUnderline"/>
        </w:rPr>
        <w:t>pardons recently aroused public suspicion of corruptibility with the Clinton pardons</w:t>
      </w:r>
      <w:r w:rsidRPr="00CB2E72">
        <w:rPr>
          <w:sz w:val="12"/>
        </w:rPr>
        <w:t xml:space="preserve"> in 2001.292 A judicial petition for expungement is not a better alternative. The federal courts remain divided questioning if they even have the authority to expunge. Not only that, some ex-offenders are deprived of the opportunity to petition the courts by virtue of the circuit where the conviction stands. Neither of the two branches provide a reliable postconviction remedy and relief from these branches is seldom granted. While Congress has already enacted legislation </w:t>
      </w:r>
      <w:proofErr w:type="gramStart"/>
      <w:r w:rsidRPr="00CB2E72">
        <w:rPr>
          <w:sz w:val="12"/>
        </w:rPr>
        <w:t>providing assistance</w:t>
      </w:r>
      <w:proofErr w:type="gramEnd"/>
      <w:r w:rsidRPr="00CB2E72">
        <w:rPr>
          <w:sz w:val="12"/>
        </w:rPr>
        <w:t xml:space="preserve"> for the reentering releasee, these initiatives did not and do not go far enough. Beginning in the late 1960s, Congress began to show lukewarm concern for the economic position of ex-offenders. Legislators worked to provide incentives to employers with the goal of influencing hiring practices. In 1966, the United States Department of Labor (USDOL) created the Federal Bonding program,293 and the Reagan Administration implemented the Work Opportunity Tax Credit.294 Both of these programs were aimed at advantaged groups, in securing employment from private sector employers. These programs provided limited assistance in one fundamental area in a time where collateral consequences existed and were not as potent.</w:t>
      </w:r>
    </w:p>
    <w:p w14:paraId="402FE2AC" w14:textId="77777777" w:rsidR="00904A19" w:rsidRDefault="00904A19" w:rsidP="00904A19"/>
    <w:p w14:paraId="26E29252" w14:textId="05355621" w:rsidR="005D0845" w:rsidRDefault="00FF296C" w:rsidP="00657D6E">
      <w:pPr>
        <w:pStyle w:val="Heading2"/>
      </w:pPr>
      <w:r>
        <w:t>AT: Civil Disabilities Test CP</w:t>
      </w:r>
    </w:p>
    <w:p w14:paraId="6A35D633" w14:textId="2BCB6C2B" w:rsidR="00FF296C" w:rsidRDefault="00A2651F" w:rsidP="00A2651F">
      <w:pPr>
        <w:pStyle w:val="Heading3"/>
      </w:pPr>
      <w:r>
        <w:t xml:space="preserve">2AC </w:t>
      </w:r>
      <w:proofErr w:type="gramStart"/>
      <w:r>
        <w:t>Doesn’t</w:t>
      </w:r>
      <w:proofErr w:type="gramEnd"/>
      <w:r>
        <w:t xml:space="preserve"> Solve</w:t>
      </w:r>
    </w:p>
    <w:p w14:paraId="4202FB8A" w14:textId="77777777" w:rsidR="00FF296C" w:rsidRDefault="00FF296C" w:rsidP="00FF296C">
      <w:pPr>
        <w:rPr>
          <w:sz w:val="16"/>
          <w:szCs w:val="16"/>
        </w:rPr>
      </w:pPr>
    </w:p>
    <w:p w14:paraId="3B611387" w14:textId="77777777" w:rsidR="00FF296C" w:rsidRDefault="00FF296C" w:rsidP="00FF296C">
      <w:pPr>
        <w:pStyle w:val="Heading4"/>
        <w:rPr>
          <w:rStyle w:val="Style13ptBold"/>
          <w:b/>
          <w:bCs w:val="0"/>
        </w:rPr>
      </w:pPr>
      <w:r>
        <w:rPr>
          <w:rStyle w:val="Style13ptBold"/>
          <w:b/>
          <w:bCs w:val="0"/>
        </w:rPr>
        <w:t xml:space="preserve">The civil disabilities test causes legal uncertainty and </w:t>
      </w:r>
      <w:proofErr w:type="gramStart"/>
      <w:r>
        <w:rPr>
          <w:rStyle w:val="Style13ptBold"/>
          <w:b/>
          <w:bCs w:val="0"/>
        </w:rPr>
        <w:t>can’t</w:t>
      </w:r>
      <w:proofErr w:type="gramEnd"/>
      <w:r>
        <w:rPr>
          <w:rStyle w:val="Style13ptBold"/>
          <w:b/>
          <w:bCs w:val="0"/>
        </w:rPr>
        <w:t xml:space="preserve"> solve finality</w:t>
      </w:r>
    </w:p>
    <w:p w14:paraId="1636FFC8" w14:textId="77777777" w:rsidR="00FF296C" w:rsidRPr="00AE31F5" w:rsidRDefault="00FF296C" w:rsidP="00FF296C">
      <w:pPr>
        <w:rPr>
          <w:rStyle w:val="Style13ptBold"/>
          <w:b w:val="0"/>
          <w:bCs w:val="0"/>
          <w:sz w:val="22"/>
        </w:rPr>
      </w:pPr>
      <w:proofErr w:type="spellStart"/>
      <w:r>
        <w:rPr>
          <w:rStyle w:val="Style13ptBold"/>
        </w:rPr>
        <w:t>Wolitz</w:t>
      </w:r>
      <w:proofErr w:type="spellEnd"/>
      <w:r>
        <w:rPr>
          <w:rStyle w:val="Style13ptBold"/>
        </w:rPr>
        <w:t xml:space="preserve"> 09 </w:t>
      </w:r>
      <w:r>
        <w:rPr>
          <w:rStyle w:val="Style13ptBold"/>
          <w:b w:val="0"/>
          <w:bCs w:val="0"/>
          <w:sz w:val="22"/>
          <w:szCs w:val="18"/>
        </w:rPr>
        <w:t xml:space="preserve">(David </w:t>
      </w:r>
      <w:proofErr w:type="spellStart"/>
      <w:r>
        <w:rPr>
          <w:rStyle w:val="Style13ptBold"/>
          <w:b w:val="0"/>
          <w:bCs w:val="0"/>
          <w:sz w:val="22"/>
          <w:szCs w:val="18"/>
        </w:rPr>
        <w:t>Wolitz</w:t>
      </w:r>
      <w:proofErr w:type="spellEnd"/>
      <w:r>
        <w:rPr>
          <w:rStyle w:val="Style13ptBold"/>
          <w:b w:val="0"/>
          <w:bCs w:val="0"/>
          <w:sz w:val="22"/>
          <w:szCs w:val="18"/>
        </w:rPr>
        <w:t xml:space="preserve"> is an </w:t>
      </w:r>
      <w:r w:rsidRPr="0053725A">
        <w:t>Associate Professor</w:t>
      </w:r>
      <w:r>
        <w:t xml:space="preserve"> of</w:t>
      </w:r>
      <w:r w:rsidRPr="0053725A">
        <w:t xml:space="preserve"> Legal Research and Writing</w:t>
      </w:r>
      <w:r>
        <w:t xml:space="preserve"> at</w:t>
      </w:r>
      <w:r w:rsidRPr="0053725A">
        <w:t xml:space="preserve"> Georgetown University Law Center</w:t>
      </w:r>
      <w:r>
        <w:t xml:space="preserve"> and has a</w:t>
      </w:r>
      <w:r w:rsidRPr="0053725A">
        <w:t xml:space="preserve"> J.D.</w:t>
      </w:r>
      <w:r>
        <w:t xml:space="preserve"> from</w:t>
      </w:r>
      <w:r w:rsidRPr="0053725A">
        <w:t xml:space="preserve"> Yale Law School</w:t>
      </w:r>
      <w:r>
        <w:t>, 7/26/09, “</w:t>
      </w:r>
      <w:r w:rsidRPr="0053725A">
        <w:t>The Stigma of Conviction: Coram Nobis, Civil Disabilities, and the Right to Clear One's Name</w:t>
      </w:r>
      <w:r>
        <w:t>”, p.38-41)</w:t>
      </w:r>
      <w:proofErr w:type="spellStart"/>
      <w:r>
        <w:t>kiihnl</w:t>
      </w:r>
      <w:proofErr w:type="spellEnd"/>
    </w:p>
    <w:p w14:paraId="56FF580C" w14:textId="77777777" w:rsidR="00FF296C" w:rsidRPr="00031CCD" w:rsidRDefault="00FF296C" w:rsidP="00FF296C">
      <w:pPr>
        <w:rPr>
          <w:sz w:val="16"/>
          <w:szCs w:val="16"/>
        </w:rPr>
      </w:pPr>
      <w:r w:rsidRPr="00031CCD">
        <w:rPr>
          <w:sz w:val="16"/>
          <w:szCs w:val="16"/>
        </w:rPr>
        <w:t>B. Assessing the Finality Argument</w:t>
      </w:r>
    </w:p>
    <w:p w14:paraId="1CE1ADA3" w14:textId="77777777" w:rsidR="00FF296C" w:rsidRPr="00031CCD" w:rsidRDefault="00FF296C" w:rsidP="00FF296C">
      <w:pPr>
        <w:rPr>
          <w:sz w:val="16"/>
          <w:szCs w:val="16"/>
        </w:rPr>
      </w:pPr>
      <w:r w:rsidRPr="00031CCD">
        <w:rPr>
          <w:b/>
          <w:bCs/>
          <w:u w:val="single"/>
        </w:rPr>
        <w:t>Finality is the value most often cited in favor of the civil disabilities test</w:t>
      </w:r>
      <w:r w:rsidRPr="00031CCD">
        <w:rPr>
          <w:sz w:val="16"/>
          <w:szCs w:val="16"/>
        </w:rPr>
        <w:t xml:space="preserve">. Cases must come to an end; justice must be done </w:t>
      </w:r>
      <w:proofErr w:type="gramStart"/>
      <w:r w:rsidRPr="00031CCD">
        <w:rPr>
          <w:sz w:val="16"/>
          <w:szCs w:val="16"/>
        </w:rPr>
        <w:t>in order for</w:t>
      </w:r>
      <w:proofErr w:type="gramEnd"/>
      <w:r w:rsidRPr="00031CCD">
        <w:rPr>
          <w:sz w:val="16"/>
          <w:szCs w:val="16"/>
        </w:rPr>
        <w:t xml:space="preserve"> justice to be done. As Justice Harlan put it:</w:t>
      </w:r>
    </w:p>
    <w:p w14:paraId="18CF0190" w14:textId="77777777" w:rsidR="00FF296C" w:rsidRPr="00031CCD" w:rsidRDefault="00FF296C" w:rsidP="00FF296C">
      <w:pPr>
        <w:rPr>
          <w:sz w:val="16"/>
          <w:szCs w:val="16"/>
        </w:rPr>
      </w:pPr>
      <w:r w:rsidRPr="00031CCD">
        <w:rPr>
          <w:sz w:val="16"/>
          <w:szCs w:val="16"/>
        </w:rPr>
        <w:t xml:space="preserve">Both the individual criminal defendant and society have an interest in insuring that there will at some point be the certainty that comes with an end to litigation, and that attention will ultimately be focused not on whether a conviction was free from error but rather on whether the prisoner can be restored to a useful place in the community. </w:t>
      </w:r>
      <w:r w:rsidRPr="00031CCD">
        <w:rPr>
          <w:sz w:val="16"/>
          <w:szCs w:val="16"/>
        </w:rPr>
        <w:footnoteReference w:customMarkFollows="1" w:id="287"/>
        <w:t>260</w:t>
      </w:r>
    </w:p>
    <w:p w14:paraId="587B9F64" w14:textId="77777777" w:rsidR="00FF296C" w:rsidRPr="00031CCD" w:rsidRDefault="00FF296C" w:rsidP="00FF296C">
      <w:pPr>
        <w:rPr>
          <w:sz w:val="16"/>
          <w:szCs w:val="16"/>
        </w:rPr>
      </w:pPr>
      <w:r w:rsidRPr="00031CCD">
        <w:rPr>
          <w:sz w:val="16"/>
          <w:szCs w:val="16"/>
        </w:rPr>
        <w:t xml:space="preserve">A couple of points should be made at the outset of this discussion. First, </w:t>
      </w:r>
      <w:r w:rsidRPr="00031CCD">
        <w:rPr>
          <w:b/>
          <w:bCs/>
          <w:u w:val="single"/>
        </w:rPr>
        <w:t>the ability to reach a final decision is a desirable trait of a criminal justice system, but it loses much of its luster if we imagine it as a final, unalterable, and erroneous decision</w:t>
      </w:r>
      <w:r w:rsidRPr="00031CCD">
        <w:rPr>
          <w:sz w:val="16"/>
          <w:szCs w:val="16"/>
        </w:rPr>
        <w:t xml:space="preserve">. Any rule that prevents further review of a criminal case </w:t>
      </w:r>
      <w:proofErr w:type="gramStart"/>
      <w:r w:rsidRPr="00031CCD">
        <w:rPr>
          <w:sz w:val="16"/>
          <w:szCs w:val="16"/>
        </w:rPr>
        <w:t>by definition entrenches</w:t>
      </w:r>
      <w:proofErr w:type="gramEnd"/>
      <w:r w:rsidRPr="00031CCD">
        <w:rPr>
          <w:sz w:val="16"/>
          <w:szCs w:val="16"/>
        </w:rPr>
        <w:t xml:space="preserve"> erroneous decisions just as much as correct ones. Second, we should be clear about what finality or a lack of finality </w:t>
      </w:r>
      <w:proofErr w:type="gramStart"/>
      <w:r w:rsidRPr="00031CCD">
        <w:rPr>
          <w:sz w:val="16"/>
          <w:szCs w:val="16"/>
        </w:rPr>
        <w:t>actually implies</w:t>
      </w:r>
      <w:proofErr w:type="gramEnd"/>
      <w:r w:rsidRPr="00031CCD">
        <w:rPr>
          <w:sz w:val="16"/>
          <w:szCs w:val="16"/>
        </w:rPr>
        <w:t xml:space="preserve">. A person convicted and sentenced at trial will ordinarily be incarcerated immediately upon sentencing, or in some cases, after all direct appeals are exhausted. The existence of collateral review does not mean that the decision of the court and the imposition of punishment are delayed until all collateral review is completed. To the contrary, the state treats a defendant as guilty as soon as the court so declares. </w:t>
      </w:r>
      <w:r w:rsidRPr="00BE2F0E">
        <w:rPr>
          <w:b/>
          <w:bCs/>
          <w:u w:val="single"/>
        </w:rPr>
        <w:t>Collateral review</w:t>
      </w:r>
      <w:r w:rsidRPr="00031CCD">
        <w:rPr>
          <w:sz w:val="16"/>
          <w:szCs w:val="16"/>
        </w:rPr>
        <w:t xml:space="preserve">, thus, </w:t>
      </w:r>
      <w:r w:rsidRPr="00BE2F0E">
        <w:rPr>
          <w:b/>
          <w:bCs/>
          <w:u w:val="single"/>
        </w:rPr>
        <w:t>does not prevent "final" judgments of guilt and does not stand in the way of prescribed punishments</w:t>
      </w:r>
      <w:r w:rsidRPr="00031CCD">
        <w:rPr>
          <w:sz w:val="16"/>
          <w:szCs w:val="16"/>
        </w:rPr>
        <w:t xml:space="preserve">.  </w:t>
      </w:r>
      <w:r w:rsidRPr="00031CCD">
        <w:rPr>
          <w:sz w:val="16"/>
          <w:szCs w:val="16"/>
        </w:rPr>
        <w:footnoteReference w:customMarkFollows="1" w:id="288"/>
        <w:t xml:space="preserve">261 </w:t>
      </w:r>
      <w:r w:rsidRPr="00031CCD">
        <w:rPr>
          <w:b/>
          <w:bCs/>
          <w:u w:val="single"/>
        </w:rPr>
        <w:t xml:space="preserve">Collateral review provides a very narrow </w:t>
      </w:r>
      <w:proofErr w:type="gramStart"/>
      <w:r w:rsidRPr="00031CCD">
        <w:rPr>
          <w:b/>
          <w:bCs/>
          <w:u w:val="single"/>
        </w:rPr>
        <w:t>opportunity</w:t>
      </w:r>
      <w:r w:rsidRPr="00AE31F5">
        <w:t xml:space="preserve">  </w:t>
      </w:r>
      <w:r w:rsidRPr="00031CCD">
        <w:rPr>
          <w:sz w:val="16"/>
          <w:szCs w:val="16"/>
        </w:rPr>
        <w:t>[</w:t>
      </w:r>
      <w:proofErr w:type="gramEnd"/>
      <w:r w:rsidRPr="00031CCD">
        <w:rPr>
          <w:sz w:val="16"/>
          <w:szCs w:val="16"/>
        </w:rPr>
        <w:t xml:space="preserve">*1328]  </w:t>
      </w:r>
      <w:r w:rsidRPr="00031CCD">
        <w:rPr>
          <w:b/>
          <w:bCs/>
          <w:u w:val="single"/>
        </w:rPr>
        <w:t>to some convicted criminals to challenge their convictions after they have been found guilty</w:t>
      </w:r>
      <w:r w:rsidRPr="00031CCD">
        <w:rPr>
          <w:sz w:val="16"/>
          <w:szCs w:val="16"/>
        </w:rPr>
        <w:t xml:space="preserve">. The grounds for vacating a guilty verdict are narrow; the petitioner does not enjoy the presumption of innocence, and the chances of success are slim.  </w:t>
      </w:r>
      <w:r w:rsidRPr="00031CCD">
        <w:rPr>
          <w:sz w:val="16"/>
          <w:szCs w:val="16"/>
        </w:rPr>
        <w:footnoteReference w:customMarkFollows="1" w:id="289"/>
        <w:t xml:space="preserve">262 It is only in this limited sense, then, that post-conviction review procedures can be deemed an affront to finality. Collateral review leaves open the possibility of correction - that is, vacating an erroneous conviction - but it does not stop or even "pause" the functioning of the criminal justice system.  </w:t>
      </w:r>
      <w:r w:rsidRPr="00031CCD">
        <w:rPr>
          <w:sz w:val="16"/>
          <w:szCs w:val="16"/>
        </w:rPr>
        <w:footnoteReference w:customMarkFollows="1" w:id="290"/>
        <w:t>263</w:t>
      </w:r>
    </w:p>
    <w:p w14:paraId="199EB45E" w14:textId="77777777" w:rsidR="00FF296C" w:rsidRPr="00BE2F0E" w:rsidRDefault="00FF296C" w:rsidP="00FF296C">
      <w:pPr>
        <w:rPr>
          <w:b/>
          <w:bCs/>
          <w:u w:val="single"/>
        </w:rPr>
      </w:pPr>
      <w:r w:rsidRPr="00031CCD">
        <w:rPr>
          <w:sz w:val="16"/>
          <w:szCs w:val="16"/>
        </w:rPr>
        <w:t xml:space="preserve">But the main problem with the finality argument as it relates to the civil disabilities test is that it both proves too much and offers too little. </w:t>
      </w:r>
      <w:r w:rsidRPr="00BE2F0E">
        <w:rPr>
          <w:b/>
          <w:bCs/>
          <w:u w:val="single"/>
        </w:rPr>
        <w:t xml:space="preserve">It proves too much because the argument that the doctrines of finality "govern" the legal system would suggest a much earlier </w:t>
      </w:r>
      <w:proofErr w:type="gramStart"/>
      <w:r w:rsidRPr="00BE2F0E">
        <w:rPr>
          <w:b/>
          <w:bCs/>
          <w:u w:val="single"/>
        </w:rPr>
        <w:t>end-point</w:t>
      </w:r>
      <w:proofErr w:type="gramEnd"/>
      <w:r w:rsidRPr="00BE2F0E">
        <w:rPr>
          <w:b/>
          <w:bCs/>
          <w:u w:val="single"/>
        </w:rPr>
        <w:t xml:space="preserve"> to collateral review than current doctrine allows</w:t>
      </w:r>
      <w:r w:rsidRPr="00031CCD">
        <w:rPr>
          <w:sz w:val="16"/>
          <w:szCs w:val="16"/>
        </w:rPr>
        <w:t xml:space="preserve">. Under our current system, a criminal defendant may spend years and years exhausting his right of appeal upon criminal conviction, petitioning for Supreme Court review, and when that fails, petitioning for habeas and eventually </w:t>
      </w:r>
      <w:proofErr w:type="spellStart"/>
      <w:r w:rsidRPr="00031CCD">
        <w:rPr>
          <w:sz w:val="16"/>
          <w:szCs w:val="16"/>
        </w:rPr>
        <w:t>coram</w:t>
      </w:r>
      <w:proofErr w:type="spellEnd"/>
      <w:r w:rsidRPr="00031CCD">
        <w:rPr>
          <w:sz w:val="16"/>
          <w:szCs w:val="16"/>
        </w:rPr>
        <w:t xml:space="preserve"> nobis. </w:t>
      </w:r>
      <w:r w:rsidRPr="00BE2F0E">
        <w:rPr>
          <w:b/>
          <w:bCs/>
          <w:u w:val="single"/>
        </w:rPr>
        <w:t>Fealty to the value of finality would demand the evisceration of many appellate and collateral review procedures</w:t>
      </w:r>
      <w:r w:rsidRPr="00AE31F5">
        <w:t xml:space="preserve"> </w:t>
      </w:r>
      <w:r w:rsidRPr="00031CCD">
        <w:rPr>
          <w:sz w:val="16"/>
          <w:szCs w:val="16"/>
        </w:rPr>
        <w:t xml:space="preserve">that come long before </w:t>
      </w:r>
      <w:proofErr w:type="spellStart"/>
      <w:r w:rsidRPr="00031CCD">
        <w:rPr>
          <w:sz w:val="16"/>
          <w:szCs w:val="16"/>
        </w:rPr>
        <w:t>coram</w:t>
      </w:r>
      <w:proofErr w:type="spellEnd"/>
      <w:r w:rsidRPr="00031CCD">
        <w:rPr>
          <w:sz w:val="16"/>
          <w:szCs w:val="16"/>
        </w:rPr>
        <w:t xml:space="preserve"> nobis. Proponents of the civil disabilities test might argue that incarceration and the imposition of civil disabilities are the only factors that justify the existing exceptions to the rule of finality. But these appellate and collateral procedures cannot be understood solely as exceptions to the otherwise dominant norm of finality; they have become important procedures for the promotion of the systemic value of accuracy, no matter their origin. </w:t>
      </w:r>
      <w:r w:rsidRPr="00031CCD">
        <w:rPr>
          <w:b/>
          <w:bCs/>
          <w:u w:val="single"/>
        </w:rPr>
        <w:t xml:space="preserve">Systemic accuracy does not suddenly become unimportant at the point when civil </w:t>
      </w:r>
      <w:proofErr w:type="gramStart"/>
      <w:r w:rsidRPr="00031CCD">
        <w:rPr>
          <w:b/>
          <w:bCs/>
          <w:u w:val="single"/>
        </w:rPr>
        <w:t>disabilities</w:t>
      </w:r>
      <w:r w:rsidRPr="00AE31F5">
        <w:t xml:space="preserve">  </w:t>
      </w:r>
      <w:r w:rsidRPr="00031CCD">
        <w:rPr>
          <w:sz w:val="16"/>
          <w:szCs w:val="16"/>
        </w:rPr>
        <w:t>[</w:t>
      </w:r>
      <w:proofErr w:type="gramEnd"/>
      <w:r w:rsidRPr="00031CCD">
        <w:rPr>
          <w:sz w:val="16"/>
          <w:szCs w:val="16"/>
        </w:rPr>
        <w:t xml:space="preserve">*1329]  </w:t>
      </w:r>
      <w:r w:rsidRPr="00031CCD">
        <w:rPr>
          <w:b/>
          <w:bCs/>
          <w:u w:val="single"/>
        </w:rPr>
        <w:t>disappear</w:t>
      </w:r>
      <w:r w:rsidRPr="00BE2F0E">
        <w:rPr>
          <w:b/>
          <w:bCs/>
          <w:u w:val="single"/>
        </w:rPr>
        <w:t xml:space="preserve">. If </w:t>
      </w:r>
      <w:proofErr w:type="spellStart"/>
      <w:r w:rsidRPr="00BE2F0E">
        <w:rPr>
          <w:b/>
          <w:bCs/>
          <w:u w:val="single"/>
        </w:rPr>
        <w:t>coram</w:t>
      </w:r>
      <w:proofErr w:type="spellEnd"/>
      <w:r w:rsidRPr="00BE2F0E">
        <w:rPr>
          <w:b/>
          <w:bCs/>
          <w:u w:val="single"/>
        </w:rPr>
        <w:t xml:space="preserve"> nobis review is worthwhile for accuracy's sake while civil disabilities are imposed, then it is also worthwhile after civil disabilities have ended.</w:t>
      </w:r>
    </w:p>
    <w:p w14:paraId="787A4958" w14:textId="77777777" w:rsidR="00FF296C" w:rsidRPr="00031CCD" w:rsidRDefault="00FF296C" w:rsidP="00FF296C">
      <w:pPr>
        <w:rPr>
          <w:sz w:val="16"/>
          <w:szCs w:val="16"/>
        </w:rPr>
      </w:pPr>
      <w:r w:rsidRPr="00031CCD">
        <w:rPr>
          <w:sz w:val="16"/>
          <w:szCs w:val="16"/>
        </w:rPr>
        <w:t xml:space="preserve">At the same time, </w:t>
      </w:r>
      <w:r w:rsidRPr="00031CCD">
        <w:rPr>
          <w:b/>
          <w:bCs/>
          <w:u w:val="single"/>
        </w:rPr>
        <w:t>the civil disabilities test fails to deliver on its promise of promoting finality</w:t>
      </w:r>
      <w:r w:rsidRPr="00031CCD">
        <w:rPr>
          <w:sz w:val="16"/>
          <w:szCs w:val="16"/>
        </w:rPr>
        <w:t xml:space="preserve">. True, </w:t>
      </w:r>
      <w:r w:rsidRPr="00BE2F0E">
        <w:rPr>
          <w:b/>
          <w:bCs/>
          <w:u w:val="single"/>
        </w:rPr>
        <w:t>it picks out a point at which all collateral review must end. But it is a point over which the federal judiciary has no control and which</w:t>
      </w:r>
      <w:r w:rsidRPr="00031CCD">
        <w:rPr>
          <w:sz w:val="16"/>
          <w:szCs w:val="16"/>
        </w:rPr>
        <w:t xml:space="preserve">, in many instances, </w:t>
      </w:r>
      <w:r w:rsidRPr="00BE2F0E">
        <w:rPr>
          <w:b/>
          <w:bCs/>
          <w:u w:val="single"/>
        </w:rPr>
        <w:t>never comes</w:t>
      </w:r>
      <w:r w:rsidRPr="00031CCD">
        <w:rPr>
          <w:sz w:val="16"/>
          <w:szCs w:val="16"/>
        </w:rPr>
        <w:t xml:space="preserve">. Whether a petitioner faces lingering civil disabilities is dependent on the federal, state, and local law (including administrative rules) applicable to that petitioner and on the petitioner's own actions and intentions. The extent of civil disabilities differs significantly from state to state and frequently from locality to locality. For example, in some states, such as Alabama, a felony conviction for a crime of "moral turpitude" results in automatic disenfranchisement.  </w:t>
      </w:r>
      <w:r w:rsidRPr="00031CCD">
        <w:rPr>
          <w:sz w:val="16"/>
          <w:szCs w:val="16"/>
        </w:rPr>
        <w:footnoteReference w:customMarkFollows="1" w:id="291"/>
        <w:t xml:space="preserve">264 There is no doubt that such disenfranchisement constitutes a civil disability even under the Seventh Circuit approach; consequently, a convicted felon in Alabama would enjoy practically "life-long" access to </w:t>
      </w:r>
      <w:proofErr w:type="spellStart"/>
      <w:r w:rsidRPr="00031CCD">
        <w:rPr>
          <w:sz w:val="16"/>
          <w:szCs w:val="16"/>
        </w:rPr>
        <w:t>coram</w:t>
      </w:r>
      <w:proofErr w:type="spellEnd"/>
      <w:r w:rsidRPr="00031CCD">
        <w:rPr>
          <w:sz w:val="16"/>
          <w:szCs w:val="16"/>
        </w:rPr>
        <w:t xml:space="preserve"> nobis under the civil disabilities test. To cite another example, one of the Craig plaintiffs' claims to </w:t>
      </w:r>
      <w:proofErr w:type="spellStart"/>
      <w:r w:rsidRPr="00031CCD">
        <w:rPr>
          <w:sz w:val="16"/>
          <w:szCs w:val="16"/>
        </w:rPr>
        <w:t>coram</w:t>
      </w:r>
      <w:proofErr w:type="spellEnd"/>
      <w:r w:rsidRPr="00031CCD">
        <w:rPr>
          <w:sz w:val="16"/>
          <w:szCs w:val="16"/>
        </w:rPr>
        <w:t xml:space="preserve"> nobis was rejected, in part, because there was no proof that he had a "present desire" to re-apply for bar membership.  </w:t>
      </w:r>
      <w:r w:rsidRPr="00031CCD">
        <w:rPr>
          <w:sz w:val="16"/>
          <w:szCs w:val="16"/>
        </w:rPr>
        <w:footnoteReference w:customMarkFollows="1" w:id="292"/>
        <w:t>265 Had there been such proof, then perhaps he too would have had access to the writ.</w:t>
      </w:r>
    </w:p>
    <w:p w14:paraId="065CB4F3" w14:textId="77777777" w:rsidR="00FF296C" w:rsidRPr="00BE2F0E" w:rsidRDefault="00FF296C" w:rsidP="00FF296C">
      <w:pPr>
        <w:rPr>
          <w:b/>
          <w:bCs/>
          <w:u w:val="single"/>
        </w:rPr>
      </w:pPr>
      <w:r w:rsidRPr="00031CCD">
        <w:rPr>
          <w:sz w:val="16"/>
          <w:szCs w:val="16"/>
        </w:rPr>
        <w:t xml:space="preserve">Indeed, </w:t>
      </w:r>
      <w:r w:rsidRPr="00BE2F0E">
        <w:rPr>
          <w:b/>
          <w:bCs/>
          <w:u w:val="single"/>
        </w:rPr>
        <w:t>the civil disabilities test requires such a significant legal and factual investigation</w:t>
      </w:r>
      <w:r w:rsidRPr="00AE31F5">
        <w:t xml:space="preserve"> </w:t>
      </w:r>
      <w:r w:rsidRPr="00031CCD">
        <w:rPr>
          <w:sz w:val="16"/>
          <w:szCs w:val="16"/>
        </w:rPr>
        <w:t xml:space="preserve">- what civil disabilities are in </w:t>
      </w:r>
      <w:proofErr w:type="gramStart"/>
      <w:r w:rsidRPr="00031CCD">
        <w:rPr>
          <w:sz w:val="16"/>
          <w:szCs w:val="16"/>
        </w:rPr>
        <w:t>force, and</w:t>
      </w:r>
      <w:proofErr w:type="gramEnd"/>
      <w:r w:rsidRPr="00031CCD">
        <w:rPr>
          <w:sz w:val="16"/>
          <w:szCs w:val="16"/>
        </w:rPr>
        <w:t xml:space="preserve"> which did petitioner actually face? - that the putative benefits of finality are hard to come by. One could imagine a different rule that would better promote the value of finality uniformly across jurisdictions and with a much brighter line - for instance, a strict statute of limitations on post-custody collateral review of, say, four years. However harsh such a rule might be - and I would not support such a rule - it would at least have the virtue of providing a date certain for an end to collateral review, and it would be as easy to administer as counting days on a calendar. Moreover, it would allow the sentencing court to control the point at which all collateral review would end. In contrast, </w:t>
      </w:r>
      <w:r w:rsidRPr="00031CCD">
        <w:rPr>
          <w:b/>
          <w:bCs/>
          <w:u w:val="single"/>
        </w:rPr>
        <w:t xml:space="preserve">the searching legal and factual </w:t>
      </w:r>
      <w:proofErr w:type="gramStart"/>
      <w:r w:rsidRPr="00031CCD">
        <w:rPr>
          <w:b/>
          <w:bCs/>
          <w:u w:val="single"/>
        </w:rPr>
        <w:t>review</w:t>
      </w:r>
      <w:r w:rsidRPr="00AE31F5">
        <w:t xml:space="preserve">  </w:t>
      </w:r>
      <w:r w:rsidRPr="00031CCD">
        <w:rPr>
          <w:sz w:val="18"/>
          <w:szCs w:val="18"/>
        </w:rPr>
        <w:t>[</w:t>
      </w:r>
      <w:proofErr w:type="gramEnd"/>
      <w:r w:rsidRPr="00031CCD">
        <w:rPr>
          <w:sz w:val="18"/>
          <w:szCs w:val="18"/>
        </w:rPr>
        <w:t xml:space="preserve">*1330]  </w:t>
      </w:r>
      <w:r w:rsidRPr="00031CCD">
        <w:rPr>
          <w:b/>
          <w:bCs/>
          <w:u w:val="single"/>
        </w:rPr>
        <w:t>required by the civil disabilities test results in uncertainty about when any particular individual's access to collateral review expires.</w:t>
      </w:r>
    </w:p>
    <w:p w14:paraId="2D968B0C" w14:textId="77777777" w:rsidR="00FF296C" w:rsidRDefault="00FF296C" w:rsidP="00FF296C">
      <w:pPr>
        <w:rPr>
          <w:sz w:val="16"/>
          <w:szCs w:val="16"/>
        </w:rPr>
      </w:pPr>
      <w:r w:rsidRPr="00031CCD">
        <w:rPr>
          <w:sz w:val="16"/>
          <w:szCs w:val="16"/>
        </w:rPr>
        <w:t xml:space="preserve">Thus, </w:t>
      </w:r>
      <w:r w:rsidRPr="00BE2F0E">
        <w:rPr>
          <w:b/>
          <w:bCs/>
          <w:u w:val="single"/>
        </w:rPr>
        <w:t xml:space="preserve">while the civil disabilities test provides a theoretical </w:t>
      </w:r>
      <w:proofErr w:type="gramStart"/>
      <w:r w:rsidRPr="00BE2F0E">
        <w:rPr>
          <w:b/>
          <w:bCs/>
          <w:u w:val="single"/>
        </w:rPr>
        <w:t>end-point</w:t>
      </w:r>
      <w:proofErr w:type="gramEnd"/>
      <w:r w:rsidRPr="00BE2F0E">
        <w:rPr>
          <w:b/>
          <w:bCs/>
          <w:u w:val="single"/>
        </w:rPr>
        <w:t xml:space="preserve"> for all collateral review, its proponents cannot claim that the test accomplishes much for the norm of finality</w:t>
      </w:r>
      <w:r w:rsidRPr="00031CCD">
        <w:rPr>
          <w:sz w:val="16"/>
          <w:szCs w:val="16"/>
        </w:rPr>
        <w:t xml:space="preserve">. The test is difficult to administer, the federal judiciary has almost no control over the laws and circumstances upon which the test turns, and many petitioners will continue to enjoy "perpetual" access to </w:t>
      </w:r>
      <w:proofErr w:type="spellStart"/>
      <w:r w:rsidRPr="00031CCD">
        <w:rPr>
          <w:sz w:val="16"/>
          <w:szCs w:val="16"/>
        </w:rPr>
        <w:t>coram</w:t>
      </w:r>
      <w:proofErr w:type="spellEnd"/>
      <w:r w:rsidRPr="00031CCD">
        <w:rPr>
          <w:sz w:val="16"/>
          <w:szCs w:val="16"/>
        </w:rPr>
        <w:t xml:space="preserve"> nobis because they suffer perpetual civil disabilities. Thus, the argument from finality fails on its own terms to provide a cogent case for the civil disabilities test.</w:t>
      </w:r>
    </w:p>
    <w:p w14:paraId="4D2CC9A9" w14:textId="77777777" w:rsidR="00FF296C" w:rsidRPr="00FF296C" w:rsidRDefault="00FF296C" w:rsidP="00FF296C"/>
    <w:p w14:paraId="313E0AAD" w14:textId="13533C71" w:rsidR="0098144E" w:rsidRDefault="0021642E" w:rsidP="00DF1B44">
      <w:pPr>
        <w:pStyle w:val="Heading2"/>
      </w:pPr>
      <w:r>
        <w:t>AT: Executive CP</w:t>
      </w:r>
    </w:p>
    <w:p w14:paraId="7B42736D" w14:textId="0C3BE5FC" w:rsidR="0021642E" w:rsidRDefault="00DF1B44" w:rsidP="00DF1B44">
      <w:pPr>
        <w:pStyle w:val="Heading3"/>
      </w:pPr>
      <w:r>
        <w:t>Non-Enforcement Fails</w:t>
      </w:r>
    </w:p>
    <w:p w14:paraId="726FDF2C" w14:textId="48D19AF6" w:rsidR="0021642E" w:rsidRDefault="0021642E" w:rsidP="0021642E"/>
    <w:p w14:paraId="2C32B280" w14:textId="57972105" w:rsidR="0021642E" w:rsidRDefault="0021642E" w:rsidP="0021642E">
      <w:pPr>
        <w:pStyle w:val="Heading4"/>
      </w:pPr>
      <w:r>
        <w:t>CC’s Automatically attach --- there is nothing to change or not enforce</w:t>
      </w:r>
    </w:p>
    <w:p w14:paraId="5BDAA125" w14:textId="1F0EE805" w:rsidR="0021642E" w:rsidRDefault="0021642E" w:rsidP="0021642E"/>
    <w:p w14:paraId="19E7D525" w14:textId="12E6AE0B" w:rsidR="00425C6B" w:rsidRPr="00425C6B" w:rsidRDefault="00425C6B" w:rsidP="0021642E">
      <w:pPr>
        <w:rPr>
          <w:sz w:val="20"/>
          <w:szCs w:val="20"/>
        </w:rPr>
      </w:pPr>
      <w:proofErr w:type="spellStart"/>
      <w:r w:rsidRPr="00FD5DD1">
        <w:rPr>
          <w:b/>
          <w:bCs/>
          <w:sz w:val="24"/>
          <w:szCs w:val="24"/>
        </w:rPr>
        <w:t>Macdowell</w:t>
      </w:r>
      <w:proofErr w:type="spellEnd"/>
      <w:r w:rsidRPr="00FD5DD1">
        <w:rPr>
          <w:b/>
          <w:bCs/>
          <w:sz w:val="24"/>
          <w:szCs w:val="24"/>
        </w:rPr>
        <w:t>, 18</w:t>
      </w:r>
      <w:r w:rsidRPr="00FD5DD1">
        <w:rPr>
          <w:sz w:val="18"/>
          <w:szCs w:val="18"/>
        </w:rPr>
        <w:t xml:space="preserve">- </w:t>
      </w:r>
      <w:r w:rsidRPr="00FD5DD1">
        <w:rPr>
          <w:sz w:val="16"/>
          <w:szCs w:val="16"/>
        </w:rPr>
        <w:t xml:space="preserve">Writer for George Mason University, Antonin Scalia Law School, J.D. Candidate, May 2018; Research Editor, George Mason Law Review, 2017-2018. (“THINKING BEYOND BAN THE BOX: HOW TO ALLEVIATE DISPROPORTIONATE SENTENCING TO ASSIST EX-OFFENDERS IN REJOINING SOCIETY,” George Mason Law Review, Summer 2018, </w:t>
      </w:r>
      <w:hyperlink r:id="rId109" w:history="1">
        <w:r w:rsidRPr="00FD5DD1">
          <w:rPr>
            <w:rStyle w:val="Hyperlink"/>
            <w:sz w:val="16"/>
            <w:szCs w:val="16"/>
          </w:rPr>
          <w:t>http://georgemasonlawreview.org/wp-content/uploads/2019/09/6.-MacDowell_Final.pdf</w:t>
        </w:r>
      </w:hyperlink>
      <w:r w:rsidRPr="00FD5DD1">
        <w:rPr>
          <w:sz w:val="16"/>
          <w:szCs w:val="16"/>
        </w:rPr>
        <w:t xml:space="preserve">). DOA: 6/20/2020. HR. </w:t>
      </w:r>
    </w:p>
    <w:p w14:paraId="5388C779" w14:textId="359F0BD3" w:rsidR="0021642E" w:rsidRDefault="0021642E" w:rsidP="0021642E">
      <w:r w:rsidRPr="0021642E">
        <w:rPr>
          <w:rStyle w:val="StyleUnderline"/>
        </w:rPr>
        <w:t>Sentencing judges do not explicitly hand down collateral consequences to offenders.</w:t>
      </w:r>
      <w:r>
        <w:t xml:space="preserve">65 </w:t>
      </w:r>
      <w:r w:rsidRPr="0021642E">
        <w:rPr>
          <w:rStyle w:val="Emphasis"/>
        </w:rPr>
        <w:t>However, collateral consequences automatically attach with the sentence and can be both severe and serious</w:t>
      </w:r>
      <w:r>
        <w:t>. Collateral consequences include, but are not limited to, ineligibility for military service, employment restrictions, financial instability, restrictions on occupational licensure, termination of parental rights, decreased access to public benefits and housing, deportation, voter disenfranchisement,66 and civil commitments.67 Many of these collateral consequences continue to plague individuals convicted of crimes for the remainder of their lives.68</w:t>
      </w:r>
    </w:p>
    <w:p w14:paraId="707979BE" w14:textId="77777777" w:rsidR="00E2432B" w:rsidRDefault="00E2432B" w:rsidP="00E2432B"/>
    <w:p w14:paraId="27DD75B4" w14:textId="5EDFAFA6" w:rsidR="0021642E" w:rsidRDefault="00E2432B" w:rsidP="00E2432B">
      <w:r>
        <w:t>NOTE: Grab the confusion da from the congress cp answers</w:t>
      </w:r>
      <w:proofErr w:type="gramStart"/>
      <w:r>
        <w:t>….I</w:t>
      </w:r>
      <w:proofErr w:type="gramEnd"/>
      <w:r>
        <w:t xml:space="preserve"> didn’t want to paste another copy into this section….</w:t>
      </w:r>
    </w:p>
    <w:p w14:paraId="53A2BA72" w14:textId="24D796C2" w:rsidR="00E2432B" w:rsidRDefault="00E2432B" w:rsidP="0021642E"/>
    <w:p w14:paraId="7DBF672A" w14:textId="77777777" w:rsidR="00E2432B" w:rsidRPr="0021642E" w:rsidRDefault="00E2432B" w:rsidP="0021642E"/>
    <w:p w14:paraId="23EDCB7E" w14:textId="63A132E9" w:rsidR="00C86A7A" w:rsidRDefault="00C86A7A" w:rsidP="0098144E">
      <w:pPr>
        <w:pStyle w:val="Heading2"/>
      </w:pPr>
      <w:r>
        <w:t>AT: Word PIC</w:t>
      </w:r>
      <w:r w:rsidR="0098144E">
        <w:t xml:space="preserve"> (CC)</w:t>
      </w:r>
    </w:p>
    <w:p w14:paraId="3A2B03C4" w14:textId="0439D94E" w:rsidR="0098144E" w:rsidRPr="0098144E" w:rsidRDefault="0098144E" w:rsidP="0098144E">
      <w:pPr>
        <w:pStyle w:val="Heading3"/>
      </w:pPr>
      <w:r>
        <w:t>2AC CC = Term Art</w:t>
      </w:r>
    </w:p>
    <w:p w14:paraId="3580A76B" w14:textId="23A38073" w:rsidR="00C86A7A" w:rsidRDefault="00C86A7A" w:rsidP="00C86A7A"/>
    <w:p w14:paraId="528387AE" w14:textId="5E5E9BCF" w:rsidR="00C86A7A" w:rsidRDefault="00D15EAF" w:rsidP="000A7895">
      <w:pPr>
        <w:pStyle w:val="Heading4"/>
      </w:pPr>
      <w:r>
        <w:t>‘</w:t>
      </w:r>
      <w:r w:rsidR="00C86A7A">
        <w:t>Collateral consequences</w:t>
      </w:r>
      <w:r>
        <w:t>’</w:t>
      </w:r>
      <w:r w:rsidR="00C86A7A">
        <w:t xml:space="preserve"> </w:t>
      </w:r>
      <w:r>
        <w:t>is</w:t>
      </w:r>
      <w:r w:rsidR="00C86A7A">
        <w:t xml:space="preserve"> a </w:t>
      </w:r>
      <w:r w:rsidR="00C86A7A" w:rsidRPr="00D15EAF">
        <w:rPr>
          <w:i/>
          <w:iCs w:val="0"/>
        </w:rPr>
        <w:t>term of art</w:t>
      </w:r>
      <w:r w:rsidR="00C86A7A">
        <w:t xml:space="preserve"> in legal code --- the cp doesn’t end th</w:t>
      </w:r>
      <w:r>
        <w:t>em</w:t>
      </w:r>
      <w:r w:rsidR="00C86A7A">
        <w:t xml:space="preserve"> </w:t>
      </w:r>
      <w:r>
        <w:t>---</w:t>
      </w:r>
      <w:r w:rsidR="00C86A7A">
        <w:t xml:space="preserve"> doesn’t solve because it wouldn’t change the legal restrictions</w:t>
      </w:r>
    </w:p>
    <w:p w14:paraId="61AED833" w14:textId="63C51240" w:rsidR="00C86A7A" w:rsidRDefault="00C86A7A" w:rsidP="00C86A7A"/>
    <w:p w14:paraId="59F07D18" w14:textId="0F1AF463" w:rsidR="0001326F" w:rsidRPr="0001326F" w:rsidRDefault="0001326F" w:rsidP="00C86A7A">
      <w:pPr>
        <w:rPr>
          <w:rStyle w:val="Style13ptBold"/>
        </w:rPr>
      </w:pPr>
      <w:r>
        <w:rPr>
          <w:rStyle w:val="Style13ptBold"/>
        </w:rPr>
        <w:t>Singleton et al ‘17</w:t>
      </w:r>
    </w:p>
    <w:p w14:paraId="09DE71F2" w14:textId="7AE63B8F" w:rsidR="00393C5B" w:rsidRDefault="0001326F" w:rsidP="00C86A7A">
      <w:r>
        <w:t>(</w:t>
      </w:r>
      <w:r w:rsidR="00F011A4">
        <w:t>David Singleton</w:t>
      </w:r>
      <w:r>
        <w:t xml:space="preserve">, </w:t>
      </w:r>
      <w:r w:rsidR="00F011A4">
        <w:t>Ohio Justice &amp; Policy Center</w:t>
      </w:r>
      <w:r>
        <w:t xml:space="preserve">, “NACDL’s Race Matters Seminar ,” Model Penal Code, Article 6X - Final Draft for Consideration by the ALI Annual Meeting, May 2017, </w:t>
      </w:r>
      <w:proofErr w:type="spellStart"/>
      <w:r>
        <w:t>pg</w:t>
      </w:r>
      <w:proofErr w:type="spellEnd"/>
      <w:r>
        <w:t xml:space="preserve"> online @  </w:t>
      </w:r>
      <w:hyperlink r:id="rId110" w:history="1">
        <w:r w:rsidRPr="00E862E5">
          <w:rPr>
            <w:rStyle w:val="Hyperlink"/>
          </w:rPr>
          <w:t>https://www.nacdl.org/getattachment/0af8731a-06f9-4956-832c-4586ae3747b6/collateral-consequences-singleton-david.pdf</w:t>
        </w:r>
      </w:hyperlink>
      <w:r>
        <w:t xml:space="preserve"> //um-</w:t>
      </w:r>
      <w:proofErr w:type="spellStart"/>
      <w:r>
        <w:t>ef</w:t>
      </w:r>
      <w:proofErr w:type="spellEnd"/>
      <w:r>
        <w:t>)</w:t>
      </w:r>
    </w:p>
    <w:p w14:paraId="6CC3BD06" w14:textId="1E63A911" w:rsidR="00C86A7A" w:rsidRDefault="00C86A7A" w:rsidP="00C86A7A">
      <w:pPr>
        <w:rPr>
          <w:sz w:val="12"/>
        </w:rPr>
      </w:pPr>
      <w:r w:rsidRPr="0001326F">
        <w:rPr>
          <w:sz w:val="12"/>
        </w:rPr>
        <w:t>ARTICLE 6X. COLLATERAL CONSEQUENCES OF CRIMINAL</w:t>
      </w:r>
      <w:r w:rsidR="0001326F" w:rsidRPr="0001326F">
        <w:rPr>
          <w:sz w:val="12"/>
        </w:rPr>
        <w:t xml:space="preserve"> </w:t>
      </w:r>
      <w:r w:rsidRPr="0001326F">
        <w:rPr>
          <w:sz w:val="12"/>
        </w:rPr>
        <w:t>CONVICTION</w:t>
      </w:r>
      <w:r w:rsidR="0001326F" w:rsidRPr="0001326F">
        <w:rPr>
          <w:sz w:val="12"/>
        </w:rPr>
        <w:t xml:space="preserve"> </w:t>
      </w:r>
      <w:r w:rsidRPr="0001326F">
        <w:rPr>
          <w:sz w:val="12"/>
        </w:rPr>
        <w:t>§ 6x.01. Definitions.</w:t>
      </w:r>
      <w:r w:rsidR="0001326F" w:rsidRPr="0001326F">
        <w:rPr>
          <w:sz w:val="12"/>
        </w:rPr>
        <w:t xml:space="preserve"> </w:t>
      </w:r>
      <w:r w:rsidRPr="0001326F">
        <w:rPr>
          <w:sz w:val="12"/>
        </w:rPr>
        <w:t xml:space="preserve">(1) For purposes of this Article, </w:t>
      </w:r>
      <w:r w:rsidRPr="0001326F">
        <w:rPr>
          <w:rStyle w:val="StyleUnderline"/>
        </w:rPr>
        <w:t>collateral consequences are penalties, disabilities, or</w:t>
      </w:r>
      <w:r w:rsidR="0001326F">
        <w:rPr>
          <w:rStyle w:val="StyleUnderline"/>
        </w:rPr>
        <w:t xml:space="preserve"> </w:t>
      </w:r>
      <w:r w:rsidRPr="0001326F">
        <w:rPr>
          <w:rStyle w:val="StyleUnderline"/>
        </w:rPr>
        <w:t>disadvantages, however denominated, that are authorized or required by state or federal law as a</w:t>
      </w:r>
      <w:r w:rsidR="0001326F">
        <w:rPr>
          <w:rStyle w:val="StyleUnderline"/>
        </w:rPr>
        <w:t xml:space="preserve"> </w:t>
      </w:r>
      <w:r w:rsidRPr="0001326F">
        <w:rPr>
          <w:rStyle w:val="StyleUnderline"/>
        </w:rPr>
        <w:t>direct result of an individual’s conviction but are not part of the sentence ordered by the court</w:t>
      </w:r>
      <w:r w:rsidRPr="0001326F">
        <w:rPr>
          <w:sz w:val="12"/>
        </w:rPr>
        <w:t>.</w:t>
      </w:r>
      <w:r w:rsidR="0001326F" w:rsidRPr="0001326F">
        <w:rPr>
          <w:sz w:val="12"/>
        </w:rPr>
        <w:t xml:space="preserve"> </w:t>
      </w:r>
      <w:r w:rsidRPr="0001326F">
        <w:rPr>
          <w:sz w:val="12"/>
        </w:rPr>
        <w:t>(2) For purposes of this Article, a collateral consequence is mandatory if it applies automatically,</w:t>
      </w:r>
      <w:r w:rsidR="0001326F" w:rsidRPr="0001326F">
        <w:rPr>
          <w:sz w:val="12"/>
        </w:rPr>
        <w:t xml:space="preserve"> </w:t>
      </w:r>
      <w:r w:rsidRPr="0001326F">
        <w:rPr>
          <w:sz w:val="12"/>
        </w:rPr>
        <w:t>with no determination of its applicability and appropriateness in individual cases.</w:t>
      </w:r>
      <w:r w:rsidR="0001326F" w:rsidRPr="0001326F">
        <w:rPr>
          <w:sz w:val="12"/>
        </w:rPr>
        <w:t xml:space="preserve"> </w:t>
      </w:r>
      <w:r w:rsidRPr="0001326F">
        <w:rPr>
          <w:sz w:val="12"/>
        </w:rPr>
        <w:t>(3) For purposes of this Article, a collateral consequence is discretionary if a civil court, or</w:t>
      </w:r>
      <w:r w:rsidR="0001326F" w:rsidRPr="0001326F">
        <w:rPr>
          <w:sz w:val="12"/>
        </w:rPr>
        <w:t xml:space="preserve"> </w:t>
      </w:r>
      <w:r w:rsidRPr="0001326F">
        <w:rPr>
          <w:sz w:val="12"/>
        </w:rPr>
        <w:t>administrative agency or official is authorized, but not required, to impose the consequence on</w:t>
      </w:r>
      <w:r w:rsidR="0001326F" w:rsidRPr="0001326F">
        <w:rPr>
          <w:sz w:val="12"/>
        </w:rPr>
        <w:t xml:space="preserve"> </w:t>
      </w:r>
      <w:r w:rsidRPr="0001326F">
        <w:rPr>
          <w:sz w:val="12"/>
        </w:rPr>
        <w:t>grounds related to an individual’s conviction.</w:t>
      </w:r>
      <w:r w:rsidR="0001326F" w:rsidRPr="0001326F">
        <w:rPr>
          <w:sz w:val="12"/>
        </w:rPr>
        <w:t xml:space="preserve"> </w:t>
      </w:r>
      <w:r w:rsidRPr="0001326F">
        <w:rPr>
          <w:sz w:val="12"/>
        </w:rPr>
        <w:t>Comment:</w:t>
      </w:r>
      <w:r w:rsidR="0001326F" w:rsidRPr="0001326F">
        <w:rPr>
          <w:sz w:val="12"/>
        </w:rPr>
        <w:t xml:space="preserve"> </w:t>
      </w:r>
      <w:r w:rsidRPr="0001326F">
        <w:rPr>
          <w:sz w:val="12"/>
        </w:rPr>
        <w:t>a. Collateral consequences, generally. When the Model Penal Code was adopted by the American</w:t>
      </w:r>
      <w:r w:rsidR="0001326F" w:rsidRPr="0001326F">
        <w:rPr>
          <w:sz w:val="12"/>
        </w:rPr>
        <w:t xml:space="preserve"> </w:t>
      </w:r>
      <w:r w:rsidRPr="0001326F">
        <w:rPr>
          <w:sz w:val="12"/>
        </w:rPr>
        <w:t>Law Institute in 1962, the primary consequence of conviction was typically a fine, probation, or a period</w:t>
      </w:r>
      <w:r w:rsidR="0001326F" w:rsidRPr="0001326F">
        <w:rPr>
          <w:sz w:val="12"/>
        </w:rPr>
        <w:t xml:space="preserve"> </w:t>
      </w:r>
      <w:r w:rsidRPr="0001326F">
        <w:rPr>
          <w:sz w:val="12"/>
        </w:rPr>
        <w:t>of incarceration. Collateral consequences were limited in most cases to a temporary loss of the right to vote,</w:t>
      </w:r>
      <w:r w:rsidR="0001326F" w:rsidRPr="0001326F">
        <w:rPr>
          <w:sz w:val="12"/>
        </w:rPr>
        <w:t xml:space="preserve"> </w:t>
      </w:r>
      <w:r w:rsidRPr="0001326F">
        <w:rPr>
          <w:sz w:val="12"/>
        </w:rPr>
        <w:t>hold public office, serve on a jury, and testify in court. Since then collateral consequences have proliferated,</w:t>
      </w:r>
      <w:r w:rsidR="0001326F" w:rsidRPr="0001326F">
        <w:rPr>
          <w:sz w:val="12"/>
        </w:rPr>
        <w:t xml:space="preserve"> </w:t>
      </w:r>
      <w:r w:rsidRPr="0001326F">
        <w:rPr>
          <w:sz w:val="12"/>
        </w:rPr>
        <w:t>and now include mandatory deportation, inclusion on a public registry, loss of access to public housing and</w:t>
      </w:r>
      <w:r w:rsidR="0001326F" w:rsidRPr="0001326F">
        <w:rPr>
          <w:sz w:val="12"/>
        </w:rPr>
        <w:t xml:space="preserve"> </w:t>
      </w:r>
      <w:r w:rsidRPr="0001326F">
        <w:rPr>
          <w:sz w:val="12"/>
        </w:rPr>
        <w:t>benefits, financial aid ineligibility, and occupational licensing restrictions. Some of these consequences last</w:t>
      </w:r>
      <w:r w:rsidR="0001326F" w:rsidRPr="0001326F">
        <w:rPr>
          <w:sz w:val="12"/>
        </w:rPr>
        <w:t xml:space="preserve"> </w:t>
      </w:r>
      <w:r w:rsidRPr="0001326F">
        <w:rPr>
          <w:sz w:val="12"/>
        </w:rPr>
        <w:t>for the duration of the convicted individual’s life. This section, and those that follow</w:t>
      </w:r>
      <w:r w:rsidR="0001326F" w:rsidRPr="0001326F">
        <w:rPr>
          <w:sz w:val="12"/>
        </w:rPr>
        <w:t xml:space="preserve"> </w:t>
      </w:r>
      <w:r w:rsidRPr="0001326F">
        <w:rPr>
          <w:sz w:val="12"/>
        </w:rPr>
        <w:t>(§§ 6x.02-6x.06), address legal mechanisms by which convicted individuals may seek and obtain relief</w:t>
      </w:r>
      <w:r w:rsidR="0001326F" w:rsidRPr="0001326F">
        <w:rPr>
          <w:sz w:val="12"/>
        </w:rPr>
        <w:t xml:space="preserve"> </w:t>
      </w:r>
      <w:r w:rsidRPr="0001326F">
        <w:rPr>
          <w:sz w:val="12"/>
        </w:rPr>
        <w:t>from some types of collateral consequences.</w:t>
      </w:r>
      <w:r w:rsidR="0001326F" w:rsidRPr="0001326F">
        <w:rPr>
          <w:sz w:val="12"/>
        </w:rPr>
        <w:t xml:space="preserve"> </w:t>
      </w:r>
      <w:r w:rsidRPr="0001326F">
        <w:rPr>
          <w:sz w:val="12"/>
        </w:rPr>
        <w:t xml:space="preserve">b. Scope. </w:t>
      </w:r>
      <w:r w:rsidRPr="0001326F">
        <w:rPr>
          <w:rStyle w:val="StyleUnderline"/>
        </w:rPr>
        <w:t>The term-of-art “collateral consequences” has been defined to include a host of legally</w:t>
      </w:r>
      <w:r w:rsidR="0001326F">
        <w:rPr>
          <w:rStyle w:val="StyleUnderline"/>
        </w:rPr>
        <w:t xml:space="preserve"> </w:t>
      </w:r>
      <w:r w:rsidRPr="0001326F">
        <w:rPr>
          <w:rStyle w:val="StyleUnderline"/>
        </w:rPr>
        <w:t>imposed or authorized sanctions, usually denominated as civil or regulatory measures triggered by criminal</w:t>
      </w:r>
      <w:r w:rsidR="0001326F">
        <w:rPr>
          <w:rStyle w:val="StyleUnderline"/>
        </w:rPr>
        <w:t xml:space="preserve"> </w:t>
      </w:r>
      <w:r w:rsidRPr="0001326F">
        <w:rPr>
          <w:rStyle w:val="StyleUnderline"/>
        </w:rPr>
        <w:t>conviction</w:t>
      </w:r>
      <w:r w:rsidRPr="0001326F">
        <w:rPr>
          <w:sz w:val="12"/>
        </w:rPr>
        <w:t xml:space="preserve">. </w:t>
      </w:r>
      <w:r w:rsidRPr="0001326F">
        <w:rPr>
          <w:rStyle w:val="Emphasis"/>
        </w:rPr>
        <w:t>The Code uses the term to refer specifically to the negative consequences of conviction that are</w:t>
      </w:r>
      <w:r w:rsidR="0001326F">
        <w:rPr>
          <w:rStyle w:val="Emphasis"/>
        </w:rPr>
        <w:t xml:space="preserve"> </w:t>
      </w:r>
      <w:r w:rsidRPr="0001326F">
        <w:rPr>
          <w:rStyle w:val="Emphasis"/>
        </w:rPr>
        <w:t>authorized by state or federal law as a result of an individual’s conviction</w:t>
      </w:r>
      <w:r w:rsidRPr="0001326F">
        <w:rPr>
          <w:sz w:val="12"/>
        </w:rPr>
        <w:t>. It excludes from the definition</w:t>
      </w:r>
      <w:r w:rsidR="0001326F" w:rsidRPr="0001326F">
        <w:rPr>
          <w:sz w:val="12"/>
        </w:rPr>
        <w:t xml:space="preserve"> </w:t>
      </w:r>
      <w:r w:rsidRPr="0001326F">
        <w:rPr>
          <w:sz w:val="12"/>
        </w:rPr>
        <w:t>of collateral consequences all informal, locally imposed, private, and extralegal consequences of</w:t>
      </w:r>
      <w:r w:rsidR="0001326F" w:rsidRPr="0001326F">
        <w:rPr>
          <w:sz w:val="12"/>
        </w:rPr>
        <w:t xml:space="preserve"> </w:t>
      </w:r>
      <w:r w:rsidRPr="0001326F">
        <w:rPr>
          <w:sz w:val="12"/>
        </w:rPr>
        <w:t>conviction. It also excludes all direct consequences of conviction; that is, those consequences that are</w:t>
      </w:r>
      <w:r w:rsidR="0001326F" w:rsidRPr="0001326F">
        <w:rPr>
          <w:sz w:val="12"/>
        </w:rPr>
        <w:t xml:space="preserve"> </w:t>
      </w:r>
      <w:r w:rsidRPr="0001326F">
        <w:rPr>
          <w:sz w:val="12"/>
        </w:rPr>
        <w:t>authorized by a sentencing court as part of an offender’s criminal sentence. (Those direct consequences</w:t>
      </w:r>
      <w:r w:rsidR="0001326F" w:rsidRPr="0001326F">
        <w:rPr>
          <w:sz w:val="12"/>
        </w:rPr>
        <w:t xml:space="preserve"> </w:t>
      </w:r>
      <w:r w:rsidRPr="0001326F">
        <w:rPr>
          <w:sz w:val="12"/>
        </w:rPr>
        <w:t>may include not only fines and terms of community supervision or custody imposed as a penalty for a</w:t>
      </w:r>
      <w:r w:rsidR="0001326F" w:rsidRPr="0001326F">
        <w:rPr>
          <w:sz w:val="12"/>
        </w:rPr>
        <w:t xml:space="preserve"> </w:t>
      </w:r>
      <w:r w:rsidRPr="0001326F">
        <w:rPr>
          <w:sz w:val="12"/>
        </w:rPr>
        <w:t>criminal offense, but also the conditions of supervision and/or institutional restrictions, such as security</w:t>
      </w:r>
      <w:r w:rsidR="0001326F" w:rsidRPr="0001326F">
        <w:rPr>
          <w:sz w:val="12"/>
        </w:rPr>
        <w:t xml:space="preserve"> </w:t>
      </w:r>
      <w:r w:rsidRPr="0001326F">
        <w:rPr>
          <w:sz w:val="12"/>
        </w:rPr>
        <w:t>classification, imposed in connection with the service of the criminal sentence.)</w:t>
      </w:r>
    </w:p>
    <w:p w14:paraId="7059B402" w14:textId="3C5BB1D4" w:rsidR="0001326F" w:rsidRDefault="0001326F" w:rsidP="0001326F"/>
    <w:p w14:paraId="24C1EAA8" w14:textId="45662E03" w:rsidR="0001326F" w:rsidRDefault="00486FF0" w:rsidP="00560D3D">
      <w:pPr>
        <w:pStyle w:val="Heading2"/>
      </w:pPr>
      <w:r>
        <w:t xml:space="preserve">AT: COR CP </w:t>
      </w:r>
    </w:p>
    <w:p w14:paraId="7C0012E3" w14:textId="29E17A97" w:rsidR="00486FF0" w:rsidRDefault="00486FF0" w:rsidP="00486FF0"/>
    <w:p w14:paraId="4A28AA87" w14:textId="15028E66" w:rsidR="00486FF0" w:rsidRDefault="0098144E" w:rsidP="0098144E">
      <w:pPr>
        <w:pStyle w:val="Heading3"/>
      </w:pPr>
      <w:r>
        <w:t xml:space="preserve">2AC </w:t>
      </w:r>
      <w:proofErr w:type="gramStart"/>
      <w:r>
        <w:t>Doesn’t</w:t>
      </w:r>
      <w:proofErr w:type="gramEnd"/>
      <w:r>
        <w:t xml:space="preserve"> Solve – Minorities</w:t>
      </w:r>
    </w:p>
    <w:p w14:paraId="57AB6E9D" w14:textId="77777777" w:rsidR="00486FF0" w:rsidRDefault="00486FF0" w:rsidP="00486FF0">
      <w:pPr>
        <w:pStyle w:val="Heading4"/>
      </w:pPr>
      <w:proofErr w:type="gramStart"/>
      <w:r>
        <w:t>Doesn’t</w:t>
      </w:r>
      <w:proofErr w:type="gramEnd"/>
      <w:r>
        <w:t xml:space="preserve"> solve – minority offenders</w:t>
      </w:r>
    </w:p>
    <w:p w14:paraId="66BF69C1" w14:textId="77777777" w:rsidR="00486FF0" w:rsidRDefault="00486FF0" w:rsidP="00486FF0"/>
    <w:p w14:paraId="58490075" w14:textId="77777777" w:rsidR="00486FF0" w:rsidRDefault="00486FF0" w:rsidP="00486FF0">
      <w:pPr>
        <w:rPr>
          <w:rStyle w:val="Style13ptBold"/>
        </w:rPr>
      </w:pPr>
      <w:proofErr w:type="spellStart"/>
      <w:r>
        <w:rPr>
          <w:rStyle w:val="Style13ptBold"/>
        </w:rPr>
        <w:t>Leasure</w:t>
      </w:r>
      <w:proofErr w:type="spellEnd"/>
      <w:r>
        <w:rPr>
          <w:rStyle w:val="Style13ptBold"/>
        </w:rPr>
        <w:t xml:space="preserve"> ‘16</w:t>
      </w:r>
    </w:p>
    <w:p w14:paraId="03A35F33" w14:textId="77777777" w:rsidR="00486FF0" w:rsidRDefault="00486FF0" w:rsidP="00486FF0">
      <w:r w:rsidRPr="008C7BC9">
        <w:t xml:space="preserve">(Peter, Peter </w:t>
      </w:r>
      <w:proofErr w:type="spellStart"/>
      <w:r w:rsidRPr="008C7BC9">
        <w:t>Leasure</w:t>
      </w:r>
      <w:proofErr w:type="spellEnd"/>
      <w:r w:rsidRPr="008C7BC9">
        <w:t xml:space="preserve">: Ph.D. candidate, Department of Criminology and Criminal Justice, University of South Carolina. Tia Stevens Andersen: Assistant Professor, Department of Criminology and Criminal Justice, University of South Carolina., “The Effectiveness of Certificates of Relief as Collateral Consequence Relief Mechanisms: An Experimental Study,” </w:t>
      </w:r>
      <w:proofErr w:type="spellStart"/>
      <w:r w:rsidRPr="008C7BC9">
        <w:t>pg</w:t>
      </w:r>
      <w:proofErr w:type="spellEnd"/>
      <w:r w:rsidRPr="008C7BC9">
        <w:t xml:space="preserve"> online @ </w:t>
      </w:r>
      <w:hyperlink r:id="rId111" w:history="1">
        <w:r w:rsidRPr="008C7BC9">
          <w:rPr>
            <w:rStyle w:val="Hyperlink"/>
          </w:rPr>
          <w:t>https://ylpr.yale.edu/inter_alia/effectiveness-certificates-relief-collateral-consequence-relief-mechanisms-experimental</w:t>
        </w:r>
      </w:hyperlink>
      <w:r w:rsidRPr="008C7BC9">
        <w:t xml:space="preserve"> //um-</w:t>
      </w:r>
      <w:proofErr w:type="spellStart"/>
      <w:r w:rsidRPr="008C7BC9">
        <w:t>ef</w:t>
      </w:r>
      <w:proofErr w:type="spellEnd"/>
      <w:r w:rsidRPr="008C7BC9">
        <w:t>)</w:t>
      </w:r>
    </w:p>
    <w:p w14:paraId="2D87E113" w14:textId="77777777" w:rsidR="00486FF0" w:rsidRPr="0021642E" w:rsidRDefault="00486FF0" w:rsidP="00486FF0">
      <w:pPr>
        <w:rPr>
          <w:sz w:val="14"/>
        </w:rPr>
      </w:pPr>
      <w:r w:rsidRPr="0021642E">
        <w:rPr>
          <w:sz w:val="14"/>
        </w:rPr>
        <w:t xml:space="preserve">Second, there is a considerable body of research documenting </w:t>
      </w:r>
      <w:r w:rsidRPr="0021642E">
        <w:rPr>
          <w:rStyle w:val="StyleUnderline"/>
        </w:rPr>
        <w:t>that minority job seekers with criminal records face an added disadvantage compared to white job seekers possessing a criminal record</w:t>
      </w:r>
      <w:r w:rsidRPr="0021642E">
        <w:rPr>
          <w:sz w:val="14"/>
        </w:rPr>
        <w:t xml:space="preserve">.[49] </w:t>
      </w:r>
      <w:r w:rsidRPr="0021642E">
        <w:rPr>
          <w:rStyle w:val="StyleUnderline"/>
        </w:rPr>
        <w:t>This means that the certificates discussed here may not be as effective for minority ex-offenders</w:t>
      </w:r>
      <w:r w:rsidRPr="0021642E">
        <w:rPr>
          <w:sz w:val="14"/>
        </w:rPr>
        <w:t xml:space="preserve">. Third, </w:t>
      </w:r>
      <w:r w:rsidRPr="0021642E">
        <w:rPr>
          <w:rStyle w:val="StyleUnderline"/>
        </w:rPr>
        <w:t>research in the private housing context demonstrates that ex-offenders possessing felony convictions for sex offenses fare worse in securing private housing than do ex-offenders possessing drug convictions</w:t>
      </w:r>
      <w:r w:rsidRPr="0021642E">
        <w:rPr>
          <w:sz w:val="14"/>
        </w:rPr>
        <w:t xml:space="preserve">.[50] </w:t>
      </w:r>
      <w:r w:rsidRPr="0021642E">
        <w:rPr>
          <w:rStyle w:val="StyleUnderline"/>
        </w:rPr>
        <w:t>This could mean that certificates of relief may not be as effective for those possessing convictions for certain categories of violent offenses</w:t>
      </w:r>
      <w:r w:rsidRPr="0021642E">
        <w:rPr>
          <w:sz w:val="14"/>
        </w:rPr>
        <w:t>. Therefore, future research should also include race and different types of offenses to further test the effectiveness of certificates of relief.[51]</w:t>
      </w:r>
    </w:p>
    <w:p w14:paraId="50D25C8F" w14:textId="66426DA9" w:rsidR="00486FF0" w:rsidRDefault="0098144E" w:rsidP="0098144E">
      <w:pPr>
        <w:pStyle w:val="Heading3"/>
      </w:pPr>
      <w:r>
        <w:t xml:space="preserve">2AC </w:t>
      </w:r>
      <w:proofErr w:type="gramStart"/>
      <w:r>
        <w:t>Doesn’t</w:t>
      </w:r>
      <w:proofErr w:type="gramEnd"/>
      <w:r>
        <w:t xml:space="preserve"> Solve – Follow through</w:t>
      </w:r>
    </w:p>
    <w:p w14:paraId="1D75CCAE" w14:textId="77777777" w:rsidR="0098144E" w:rsidRPr="0098144E" w:rsidRDefault="0098144E" w:rsidP="0098144E"/>
    <w:p w14:paraId="3135BECE" w14:textId="77777777" w:rsidR="00486FF0" w:rsidRDefault="00486FF0" w:rsidP="00486FF0">
      <w:pPr>
        <w:pStyle w:val="Heading4"/>
      </w:pPr>
      <w:r>
        <w:t xml:space="preserve">Need automatic policies or people </w:t>
      </w:r>
      <w:proofErr w:type="spellStart"/>
      <w:proofErr w:type="gramStart"/>
      <w:r>
        <w:t>wont</w:t>
      </w:r>
      <w:proofErr w:type="spellEnd"/>
      <w:proofErr w:type="gramEnd"/>
      <w:r>
        <w:t xml:space="preserve"> know or be able to follow-through</w:t>
      </w:r>
    </w:p>
    <w:p w14:paraId="75E5AB0A" w14:textId="77777777" w:rsidR="00486FF0" w:rsidRDefault="00486FF0" w:rsidP="00486FF0"/>
    <w:p w14:paraId="06DFA668" w14:textId="77777777" w:rsidR="00486FF0" w:rsidRDefault="00486FF0" w:rsidP="00486FF0">
      <w:pPr>
        <w:rPr>
          <w:rStyle w:val="Style13ptBold"/>
        </w:rPr>
      </w:pPr>
      <w:proofErr w:type="spellStart"/>
      <w:r>
        <w:rPr>
          <w:rStyle w:val="Style13ptBold"/>
        </w:rPr>
        <w:t>Leasure</w:t>
      </w:r>
      <w:proofErr w:type="spellEnd"/>
      <w:r>
        <w:rPr>
          <w:rStyle w:val="Style13ptBold"/>
        </w:rPr>
        <w:t xml:space="preserve"> ‘16</w:t>
      </w:r>
    </w:p>
    <w:p w14:paraId="4CFF9C5A" w14:textId="77777777" w:rsidR="00486FF0" w:rsidRDefault="00486FF0" w:rsidP="00486FF0">
      <w:r w:rsidRPr="008C7BC9">
        <w:t xml:space="preserve">(Peter, Peter </w:t>
      </w:r>
      <w:proofErr w:type="spellStart"/>
      <w:r w:rsidRPr="008C7BC9">
        <w:t>Leasure</w:t>
      </w:r>
      <w:proofErr w:type="spellEnd"/>
      <w:r w:rsidRPr="008C7BC9">
        <w:t xml:space="preserve">: Ph.D. candidate, Department of Criminology and Criminal Justice, University of South Carolina. Tia Stevens Andersen: Assistant Professor, Department of Criminology and Criminal Justice, University of South Carolina., “The Effectiveness of Certificates of Relief as Collateral Consequence Relief Mechanisms: An Experimental Study,” </w:t>
      </w:r>
      <w:proofErr w:type="spellStart"/>
      <w:r w:rsidRPr="008C7BC9">
        <w:t>pg</w:t>
      </w:r>
      <w:proofErr w:type="spellEnd"/>
      <w:r w:rsidRPr="008C7BC9">
        <w:t xml:space="preserve"> online @ </w:t>
      </w:r>
      <w:hyperlink r:id="rId112" w:history="1">
        <w:r w:rsidRPr="008C7BC9">
          <w:rPr>
            <w:rStyle w:val="Hyperlink"/>
          </w:rPr>
          <w:t>https://ylpr.yale.edu/inter_alia/effectiveness-certificates-relief-collateral-consequence-relief-mechanisms-experimental</w:t>
        </w:r>
      </w:hyperlink>
      <w:r w:rsidRPr="008C7BC9">
        <w:t xml:space="preserve"> //um-</w:t>
      </w:r>
      <w:proofErr w:type="spellStart"/>
      <w:r w:rsidRPr="008C7BC9">
        <w:t>ef</w:t>
      </w:r>
      <w:proofErr w:type="spellEnd"/>
      <w:r w:rsidRPr="008C7BC9">
        <w:t>)</w:t>
      </w:r>
    </w:p>
    <w:p w14:paraId="051E07DC" w14:textId="7F7D7AEB" w:rsidR="00486FF0" w:rsidRDefault="00486FF0" w:rsidP="00486FF0">
      <w:r>
        <w:t xml:space="preserve">Finally, research is needed to determine the practical availability of such mechanisms. For instance, </w:t>
      </w:r>
      <w:r w:rsidRPr="00CB2E72">
        <w:rPr>
          <w:rStyle w:val="StyleUnderline"/>
        </w:rPr>
        <w:t>do eligible ex-offenders know that such mechanisms exist in their jurisdictions?</w:t>
      </w:r>
      <w:r>
        <w:t xml:space="preserve"> </w:t>
      </w:r>
      <w:r w:rsidRPr="00CB2E72">
        <w:rPr>
          <w:rStyle w:val="StyleUnderline"/>
        </w:rPr>
        <w:t>Are ex-offenders able to navigate the legal process in order to be granted certificates?</w:t>
      </w:r>
      <w:r>
        <w:t xml:space="preserve"> </w:t>
      </w:r>
      <w:r w:rsidRPr="00CB2E72">
        <w:rPr>
          <w:rStyle w:val="StyleUnderline"/>
        </w:rPr>
        <w:t>Can ex-offenders afford the fees associated with such a legal process?</w:t>
      </w:r>
      <w:r>
        <w:t xml:space="preserve"> These questions must be answered before such mechanisms can truly </w:t>
      </w:r>
      <w:proofErr w:type="gramStart"/>
      <w:r>
        <w:t>be seen as</w:t>
      </w:r>
      <w:proofErr w:type="gramEnd"/>
      <w:r>
        <w:t xml:space="preserve"> practical tools to reduce employment discrimination and increase the civil rights of ex-offenders. </w:t>
      </w:r>
      <w:r w:rsidRPr="00CB2E72">
        <w:rPr>
          <w:rStyle w:val="StyleUnderline"/>
        </w:rPr>
        <w:t>In the end, such tools are only likely to reduce discrimination based upon criminal records, not to eliminate it entirely</w:t>
      </w:r>
      <w:r>
        <w:t>. Perhaps the only way to eliminate such discrimination would be to implement “ban-the-box” policies and prohibit employment decisions based on criminal records unless related to the job position.[52]</w:t>
      </w:r>
    </w:p>
    <w:p w14:paraId="0BE181DC" w14:textId="0DC10489" w:rsidR="00BB1049" w:rsidRDefault="00BB1049" w:rsidP="00BB1049">
      <w:pPr>
        <w:pStyle w:val="Heading4"/>
      </w:pPr>
      <w:r>
        <w:t xml:space="preserve">People wont file --- means cp </w:t>
      </w:r>
      <w:proofErr w:type="gramStart"/>
      <w:r>
        <w:t>doesn’t</w:t>
      </w:r>
      <w:proofErr w:type="gramEnd"/>
      <w:r>
        <w:t xml:space="preserve"> do anything</w:t>
      </w:r>
    </w:p>
    <w:p w14:paraId="40D7A608" w14:textId="6C43F513" w:rsidR="00BB1049" w:rsidRDefault="00BB1049" w:rsidP="00BB1049"/>
    <w:p w14:paraId="3E45BD99" w14:textId="77777777" w:rsidR="00BB1049" w:rsidRDefault="00BB1049" w:rsidP="00BB1049">
      <w:pPr>
        <w:rPr>
          <w:rStyle w:val="Style13ptBold"/>
        </w:rPr>
      </w:pPr>
      <w:proofErr w:type="spellStart"/>
      <w:r>
        <w:rPr>
          <w:rStyle w:val="Style13ptBold"/>
        </w:rPr>
        <w:t>Radice</w:t>
      </w:r>
      <w:proofErr w:type="spellEnd"/>
      <w:r>
        <w:rPr>
          <w:rStyle w:val="Style13ptBold"/>
        </w:rPr>
        <w:t xml:space="preserve"> ‘12</w:t>
      </w:r>
    </w:p>
    <w:p w14:paraId="061DBF6F" w14:textId="278F77D6" w:rsidR="00BB1049" w:rsidRDefault="00BB1049" w:rsidP="00BB1049">
      <w:r w:rsidRPr="00AA6276">
        <w:t xml:space="preserve">(Joy, </w:t>
      </w:r>
      <w:r>
        <w:t xml:space="preserve">Acting Assistant Professor, New York University School of Law.  J.D., Harvard Law School.  A.B.,  Princeton  University, </w:t>
      </w:r>
      <w:r w:rsidRPr="00AA6276">
        <w:t xml:space="preserve">“ADMINISTERING JUSTICE:REMOVING STATUTORY BARRIERS TO REENTRY,” </w:t>
      </w:r>
      <w:proofErr w:type="spellStart"/>
      <w:r w:rsidRPr="00AA6276">
        <w:t>pg</w:t>
      </w:r>
      <w:proofErr w:type="spellEnd"/>
      <w:r w:rsidRPr="00AA6276">
        <w:t xml:space="preserve"> online @ </w:t>
      </w:r>
      <w:hyperlink r:id="rId113" w:history="1">
        <w:r w:rsidRPr="00AA6276">
          <w:rPr>
            <w:rStyle w:val="Hyperlink"/>
          </w:rPr>
          <w:t>https://silo.tips/download/administering-justice-removing-statutory-barriers-to-reentry</w:t>
        </w:r>
      </w:hyperlink>
      <w:r w:rsidRPr="00AA6276">
        <w:t xml:space="preserve"> //um-</w:t>
      </w:r>
      <w:proofErr w:type="spellStart"/>
      <w:r w:rsidRPr="00AA6276">
        <w:t>ef</w:t>
      </w:r>
      <w:proofErr w:type="spellEnd"/>
      <w:r w:rsidRPr="00AA6276">
        <w:t>)</w:t>
      </w:r>
    </w:p>
    <w:p w14:paraId="51D37D8D" w14:textId="73DEBA86" w:rsidR="00BB1049" w:rsidRPr="00560D3D" w:rsidRDefault="00BB1049" w:rsidP="00486FF0">
      <w:pPr>
        <w:rPr>
          <w:sz w:val="14"/>
        </w:rPr>
      </w:pPr>
      <w:r w:rsidRPr="00BB1049">
        <w:rPr>
          <w:rStyle w:val="Emphasis"/>
        </w:rPr>
        <w:t>Few  people  file  certificate  applications  each  year  because potential</w:t>
      </w:r>
      <w:r>
        <w:rPr>
          <w:rStyle w:val="Emphasis"/>
        </w:rPr>
        <w:t xml:space="preserve"> </w:t>
      </w:r>
      <w:r w:rsidRPr="00BB1049">
        <w:rPr>
          <w:rStyle w:val="Emphasis"/>
        </w:rPr>
        <w:t>applicants</w:t>
      </w:r>
      <w:r>
        <w:rPr>
          <w:rStyle w:val="Emphasis"/>
        </w:rPr>
        <w:t xml:space="preserve"> </w:t>
      </w:r>
      <w:r w:rsidRPr="00BB1049">
        <w:rPr>
          <w:rStyle w:val="Emphasis"/>
        </w:rPr>
        <w:t>either</w:t>
      </w:r>
      <w:r>
        <w:rPr>
          <w:rStyle w:val="Emphasis"/>
        </w:rPr>
        <w:t xml:space="preserve"> </w:t>
      </w:r>
      <w:r w:rsidRPr="00BB1049">
        <w:rPr>
          <w:rStyle w:val="Emphasis"/>
        </w:rPr>
        <w:t>do</w:t>
      </w:r>
      <w:r>
        <w:rPr>
          <w:rStyle w:val="Emphasis"/>
        </w:rPr>
        <w:t xml:space="preserve"> </w:t>
      </w:r>
      <w:r w:rsidRPr="00BB1049">
        <w:rPr>
          <w:rStyle w:val="Emphasis"/>
        </w:rPr>
        <w:t>not</w:t>
      </w:r>
      <w:r>
        <w:rPr>
          <w:rStyle w:val="Emphasis"/>
        </w:rPr>
        <w:t xml:space="preserve"> </w:t>
      </w:r>
      <w:r w:rsidRPr="00BB1049">
        <w:rPr>
          <w:rStyle w:val="Emphasis"/>
        </w:rPr>
        <w:t>know</w:t>
      </w:r>
      <w:r>
        <w:rPr>
          <w:rStyle w:val="Emphasis"/>
        </w:rPr>
        <w:t xml:space="preserve"> </w:t>
      </w:r>
      <w:r w:rsidRPr="00BB1049">
        <w:rPr>
          <w:rStyle w:val="Emphasis"/>
        </w:rPr>
        <w:t>about</w:t>
      </w:r>
      <w:r>
        <w:rPr>
          <w:rStyle w:val="Emphasis"/>
        </w:rPr>
        <w:t xml:space="preserve"> </w:t>
      </w:r>
      <w:r w:rsidRPr="00BB1049">
        <w:rPr>
          <w:rStyle w:val="Emphasis"/>
        </w:rPr>
        <w:t>certificates</w:t>
      </w:r>
      <w:r>
        <w:rPr>
          <w:rStyle w:val="Emphasis"/>
        </w:rPr>
        <w:t xml:space="preserve"> </w:t>
      </w:r>
      <w:r w:rsidRPr="00BB1049">
        <w:rPr>
          <w:rStyle w:val="Emphasis"/>
        </w:rPr>
        <w:t>or they find the process too daunting</w:t>
      </w:r>
      <w:r w:rsidRPr="00BB1049">
        <w:rPr>
          <w:sz w:val="14"/>
        </w:rPr>
        <w:t xml:space="preserve">.305A number of institutional actors within the criminal justice system can educate people about certificates—judges, prosecutors, and defense attorneys, as well as parole and probation officers. </w:t>
      </w:r>
      <w:proofErr w:type="gramStart"/>
      <w:r w:rsidRPr="00BB1049">
        <w:rPr>
          <w:sz w:val="14"/>
        </w:rPr>
        <w:t>All of</w:t>
      </w:r>
      <w:proofErr w:type="gramEnd"/>
      <w:r w:rsidRPr="00BB1049">
        <w:rPr>
          <w:sz w:val="14"/>
        </w:rPr>
        <w:t xml:space="preserve"> these individuals interact with potential applicants at some stage in the criminal justice system, from arraignment through conviction and during the reintegration process. Yet </w:t>
      </w:r>
      <w:r w:rsidRPr="00BB1049">
        <w:rPr>
          <w:rStyle w:val="StyleUnderline"/>
        </w:rPr>
        <w:t>few</w:t>
      </w:r>
      <w:r w:rsidRPr="00BB1049">
        <w:rPr>
          <w:sz w:val="14"/>
        </w:rPr>
        <w:t xml:space="preserve"> of these </w:t>
      </w:r>
      <w:r w:rsidRPr="00BB1049">
        <w:rPr>
          <w:rStyle w:val="StyleUnderline"/>
        </w:rPr>
        <w:t>actors actually know that Certificates of Rehabilitation exist</w:t>
      </w:r>
      <w:r w:rsidRPr="00BB1049">
        <w:rPr>
          <w:sz w:val="14"/>
        </w:rPr>
        <w:t xml:space="preserve">.30 </w:t>
      </w:r>
      <w:r w:rsidRPr="00BB1049">
        <w:rPr>
          <w:rStyle w:val="StyleUnderline"/>
        </w:rPr>
        <w:t>By</w:t>
      </w:r>
      <w:r>
        <w:rPr>
          <w:rStyle w:val="StyleUnderline"/>
        </w:rPr>
        <w:t xml:space="preserve"> </w:t>
      </w:r>
      <w:r w:rsidRPr="00BB1049">
        <w:rPr>
          <w:rStyle w:val="StyleUnderline"/>
        </w:rPr>
        <w:t>law, judges</w:t>
      </w:r>
      <w:r>
        <w:rPr>
          <w:rStyle w:val="StyleUnderline"/>
        </w:rPr>
        <w:t xml:space="preserve"> </w:t>
      </w:r>
      <w:r w:rsidRPr="00BB1049">
        <w:rPr>
          <w:rStyle w:val="StyleUnderline"/>
        </w:rPr>
        <w:t>are</w:t>
      </w:r>
      <w:r>
        <w:rPr>
          <w:rStyle w:val="StyleUnderline"/>
        </w:rPr>
        <w:t xml:space="preserve"> </w:t>
      </w:r>
      <w:r w:rsidRPr="00BB1049">
        <w:rPr>
          <w:rStyle w:val="StyleUnderline"/>
        </w:rPr>
        <w:t>required</w:t>
      </w:r>
      <w:r>
        <w:rPr>
          <w:rStyle w:val="StyleUnderline"/>
        </w:rPr>
        <w:t xml:space="preserve"> </w:t>
      </w:r>
      <w:r w:rsidRPr="00BB1049">
        <w:rPr>
          <w:rStyle w:val="StyleUnderline"/>
        </w:rPr>
        <w:t>to</w:t>
      </w:r>
      <w:r>
        <w:rPr>
          <w:rStyle w:val="StyleUnderline"/>
        </w:rPr>
        <w:t xml:space="preserve"> </w:t>
      </w:r>
      <w:r w:rsidRPr="00BB1049">
        <w:rPr>
          <w:rStyle w:val="StyleUnderline"/>
        </w:rPr>
        <w:t>inform</w:t>
      </w:r>
      <w:r>
        <w:rPr>
          <w:rStyle w:val="StyleUnderline"/>
        </w:rPr>
        <w:t xml:space="preserve"> </w:t>
      </w:r>
      <w:r w:rsidRPr="00BB1049">
        <w:rPr>
          <w:rStyle w:val="StyleUnderline"/>
        </w:rPr>
        <w:t>defendants</w:t>
      </w:r>
      <w:r>
        <w:rPr>
          <w:rStyle w:val="StyleUnderline"/>
        </w:rPr>
        <w:t xml:space="preserve"> </w:t>
      </w:r>
      <w:r w:rsidRPr="00BB1049">
        <w:rPr>
          <w:rStyle w:val="StyleUnderline"/>
        </w:rPr>
        <w:t>at sentencing</w:t>
      </w:r>
      <w:r>
        <w:rPr>
          <w:rStyle w:val="StyleUnderline"/>
        </w:rPr>
        <w:t xml:space="preserve"> </w:t>
      </w:r>
      <w:r w:rsidRPr="00BB1049">
        <w:rPr>
          <w:rStyle w:val="StyleUnderline"/>
        </w:rPr>
        <w:t>about</w:t>
      </w:r>
      <w:r>
        <w:rPr>
          <w:rStyle w:val="StyleUnderline"/>
        </w:rPr>
        <w:t xml:space="preserve"> </w:t>
      </w:r>
      <w:r w:rsidRPr="00BB1049">
        <w:rPr>
          <w:rStyle w:val="StyleUnderline"/>
        </w:rPr>
        <w:t>the</w:t>
      </w:r>
      <w:r>
        <w:rPr>
          <w:rStyle w:val="StyleUnderline"/>
        </w:rPr>
        <w:t xml:space="preserve"> </w:t>
      </w:r>
      <w:r w:rsidRPr="00BB1049">
        <w:rPr>
          <w:rStyle w:val="StyleUnderline"/>
        </w:rPr>
        <w:t>existence</w:t>
      </w:r>
      <w:r>
        <w:rPr>
          <w:rStyle w:val="StyleUnderline"/>
        </w:rPr>
        <w:t xml:space="preserve"> </w:t>
      </w:r>
      <w:r w:rsidRPr="00BB1049">
        <w:rPr>
          <w:rStyle w:val="StyleUnderline"/>
        </w:rPr>
        <w:t>of</w:t>
      </w:r>
      <w:r>
        <w:rPr>
          <w:rStyle w:val="StyleUnderline"/>
        </w:rPr>
        <w:t xml:space="preserve"> </w:t>
      </w:r>
      <w:r w:rsidRPr="00BB1049">
        <w:rPr>
          <w:rStyle w:val="StyleUnderline"/>
        </w:rPr>
        <w:t>Certificates</w:t>
      </w:r>
      <w:r>
        <w:rPr>
          <w:rStyle w:val="StyleUnderline"/>
        </w:rPr>
        <w:t xml:space="preserve"> </w:t>
      </w:r>
      <w:r w:rsidRPr="00BB1049">
        <w:rPr>
          <w:rStyle w:val="StyleUnderline"/>
        </w:rPr>
        <w:t>of</w:t>
      </w:r>
      <w:r>
        <w:rPr>
          <w:rStyle w:val="StyleUnderline"/>
        </w:rPr>
        <w:t xml:space="preserve"> </w:t>
      </w:r>
      <w:r w:rsidRPr="00BB1049">
        <w:rPr>
          <w:rStyle w:val="StyleUnderline"/>
        </w:rPr>
        <w:t>Relief</w:t>
      </w:r>
      <w:r>
        <w:rPr>
          <w:rStyle w:val="StyleUnderline"/>
        </w:rPr>
        <w:t xml:space="preserve"> </w:t>
      </w:r>
      <w:r w:rsidRPr="00BB1049">
        <w:rPr>
          <w:rStyle w:val="StyleUnderline"/>
        </w:rPr>
        <w:t>from Disabilities</w:t>
      </w:r>
      <w:r w:rsidRPr="00BB1049">
        <w:rPr>
          <w:sz w:val="14"/>
        </w:rPr>
        <w:t xml:space="preserve">.307The sentencing colloquy could easily and routinely include a discussion about preventing forfeiture of benefits and restoring civil rights. But </w:t>
      </w:r>
      <w:r w:rsidRPr="00BB1049">
        <w:rPr>
          <w:rStyle w:val="StyleUnderline"/>
        </w:rPr>
        <w:t>many</w:t>
      </w:r>
      <w:r>
        <w:rPr>
          <w:rStyle w:val="StyleUnderline"/>
        </w:rPr>
        <w:t xml:space="preserve"> </w:t>
      </w:r>
      <w:r w:rsidRPr="00BB1049">
        <w:rPr>
          <w:rStyle w:val="StyleUnderline"/>
        </w:rPr>
        <w:t>criminal</w:t>
      </w:r>
      <w:r>
        <w:rPr>
          <w:rStyle w:val="StyleUnderline"/>
        </w:rPr>
        <w:t xml:space="preserve"> </w:t>
      </w:r>
      <w:r w:rsidRPr="00BB1049">
        <w:rPr>
          <w:rStyle w:val="StyleUnderline"/>
        </w:rPr>
        <w:t>court judges do not know about this rule or choose not to follow it</w:t>
      </w:r>
      <w:r w:rsidRPr="00BB1049">
        <w:rPr>
          <w:sz w:val="14"/>
        </w:rPr>
        <w:t xml:space="preserve">. A recent study surveyed people with convictions about whether they knew about the existence of </w:t>
      </w:r>
      <w:proofErr w:type="spellStart"/>
      <w:r w:rsidRPr="00BB1049">
        <w:rPr>
          <w:sz w:val="14"/>
        </w:rPr>
        <w:t>Certificatesof</w:t>
      </w:r>
      <w:proofErr w:type="spellEnd"/>
      <w:r w:rsidRPr="00BB1049">
        <w:rPr>
          <w:sz w:val="14"/>
        </w:rPr>
        <w:t xml:space="preserve"> Rehabilitation.308Of the participants who did, </w:t>
      </w:r>
      <w:r w:rsidRPr="00BB1049">
        <w:rPr>
          <w:rStyle w:val="StyleUnderline"/>
        </w:rPr>
        <w:t>ninety</w:t>
      </w:r>
      <w:r>
        <w:rPr>
          <w:rStyle w:val="StyleUnderline"/>
        </w:rPr>
        <w:t xml:space="preserve"> </w:t>
      </w:r>
      <w:r w:rsidRPr="00BB1049">
        <w:rPr>
          <w:rStyle w:val="StyleUnderline"/>
        </w:rPr>
        <w:t>percent learned about them through postconviction reentry organizations,309revealing</w:t>
      </w:r>
      <w:r>
        <w:rPr>
          <w:rStyle w:val="StyleUnderline"/>
        </w:rPr>
        <w:t xml:space="preserve"> </w:t>
      </w:r>
      <w:r w:rsidRPr="00BB1049">
        <w:rPr>
          <w:rStyle w:val="StyleUnderline"/>
        </w:rPr>
        <w:t>that</w:t>
      </w:r>
      <w:r>
        <w:rPr>
          <w:rStyle w:val="StyleUnderline"/>
        </w:rPr>
        <w:t xml:space="preserve"> </w:t>
      </w:r>
      <w:r w:rsidRPr="00BB1049">
        <w:rPr>
          <w:rStyle w:val="StyleUnderline"/>
        </w:rPr>
        <w:t>there</w:t>
      </w:r>
      <w:r>
        <w:rPr>
          <w:rStyle w:val="StyleUnderline"/>
        </w:rPr>
        <w:t xml:space="preserve"> </w:t>
      </w:r>
      <w:r w:rsidRPr="00BB1049">
        <w:rPr>
          <w:rStyle w:val="StyleUnderline"/>
        </w:rPr>
        <w:t>were</w:t>
      </w:r>
      <w:r>
        <w:rPr>
          <w:rStyle w:val="StyleUnderline"/>
        </w:rPr>
        <w:t xml:space="preserve"> </w:t>
      </w:r>
      <w:r w:rsidRPr="00BB1049">
        <w:rPr>
          <w:rStyle w:val="StyleUnderline"/>
        </w:rPr>
        <w:t>many</w:t>
      </w:r>
      <w:r>
        <w:rPr>
          <w:rStyle w:val="StyleUnderline"/>
        </w:rPr>
        <w:t xml:space="preserve"> </w:t>
      </w:r>
      <w:r w:rsidRPr="00BB1049">
        <w:rPr>
          <w:rStyle w:val="StyleUnderline"/>
        </w:rPr>
        <w:t>missed opportunities</w:t>
      </w:r>
      <w:r>
        <w:rPr>
          <w:rStyle w:val="StyleUnderline"/>
        </w:rPr>
        <w:t xml:space="preserve"> </w:t>
      </w:r>
      <w:r w:rsidRPr="00BB1049">
        <w:rPr>
          <w:rStyle w:val="StyleUnderline"/>
        </w:rPr>
        <w:t>throughout</w:t>
      </w:r>
      <w:r>
        <w:rPr>
          <w:rStyle w:val="StyleUnderline"/>
        </w:rPr>
        <w:t xml:space="preserve"> </w:t>
      </w:r>
      <w:r w:rsidRPr="00BB1049">
        <w:rPr>
          <w:rStyle w:val="StyleUnderline"/>
        </w:rPr>
        <w:t>the</w:t>
      </w:r>
      <w:r>
        <w:rPr>
          <w:rStyle w:val="StyleUnderline"/>
        </w:rPr>
        <w:t xml:space="preserve"> </w:t>
      </w:r>
      <w:r w:rsidRPr="00BB1049">
        <w:rPr>
          <w:rStyle w:val="StyleUnderline"/>
        </w:rPr>
        <w:t>criminal</w:t>
      </w:r>
      <w:r>
        <w:rPr>
          <w:rStyle w:val="StyleUnderline"/>
        </w:rPr>
        <w:t xml:space="preserve"> </w:t>
      </w:r>
      <w:r w:rsidRPr="00BB1049">
        <w:rPr>
          <w:rStyle w:val="StyleUnderline"/>
        </w:rPr>
        <w:t>justice</w:t>
      </w:r>
      <w:r>
        <w:rPr>
          <w:rStyle w:val="StyleUnderline"/>
        </w:rPr>
        <w:t xml:space="preserve"> </w:t>
      </w:r>
      <w:r w:rsidRPr="00BB1049">
        <w:rPr>
          <w:rStyle w:val="StyleUnderline"/>
        </w:rPr>
        <w:t>process</w:t>
      </w:r>
      <w:r>
        <w:rPr>
          <w:rStyle w:val="StyleUnderline"/>
        </w:rPr>
        <w:t xml:space="preserve"> </w:t>
      </w:r>
      <w:r w:rsidRPr="00BB1049">
        <w:rPr>
          <w:rStyle w:val="StyleUnderline"/>
        </w:rPr>
        <w:t>to educate people about certificates</w:t>
      </w:r>
      <w:r w:rsidRPr="00BB1049">
        <w:rPr>
          <w:sz w:val="14"/>
        </w:rPr>
        <w:t xml:space="preserve">. The </w:t>
      </w:r>
      <w:r w:rsidRPr="00BB1049">
        <w:rPr>
          <w:rStyle w:val="Emphasis"/>
        </w:rPr>
        <w:t>two</w:t>
      </w:r>
      <w:r>
        <w:rPr>
          <w:rStyle w:val="Emphasis"/>
        </w:rPr>
        <w:t xml:space="preserve"> </w:t>
      </w:r>
      <w:r w:rsidRPr="00BB1049">
        <w:rPr>
          <w:rStyle w:val="Emphasis"/>
        </w:rPr>
        <w:t>types</w:t>
      </w:r>
      <w:r>
        <w:rPr>
          <w:rStyle w:val="Emphasis"/>
        </w:rPr>
        <w:t xml:space="preserve"> </w:t>
      </w:r>
      <w:r w:rsidRPr="00BB1049">
        <w:rPr>
          <w:rStyle w:val="Emphasis"/>
        </w:rPr>
        <w:t>of</w:t>
      </w:r>
      <w:r>
        <w:rPr>
          <w:rStyle w:val="Emphasis"/>
        </w:rPr>
        <w:t xml:space="preserve"> </w:t>
      </w:r>
      <w:r w:rsidRPr="00BB1049">
        <w:rPr>
          <w:rStyle w:val="Emphasis"/>
        </w:rPr>
        <w:t>certificates</w:t>
      </w:r>
      <w:r>
        <w:rPr>
          <w:rStyle w:val="Emphasis"/>
        </w:rPr>
        <w:t xml:space="preserve"> </w:t>
      </w:r>
      <w:r w:rsidRPr="00BB1049">
        <w:rPr>
          <w:rStyle w:val="Emphasis"/>
        </w:rPr>
        <w:t>create</w:t>
      </w:r>
      <w:r>
        <w:rPr>
          <w:rStyle w:val="Emphasis"/>
        </w:rPr>
        <w:t xml:space="preserve"> </w:t>
      </w:r>
      <w:r w:rsidRPr="00BB1049">
        <w:rPr>
          <w:rStyle w:val="Emphasis"/>
        </w:rPr>
        <w:t>great</w:t>
      </w:r>
      <w:r>
        <w:rPr>
          <w:rStyle w:val="Emphasis"/>
        </w:rPr>
        <w:t xml:space="preserve"> </w:t>
      </w:r>
      <w:r w:rsidRPr="00BB1049">
        <w:rPr>
          <w:rStyle w:val="Emphasis"/>
        </w:rPr>
        <w:t>confusion</w:t>
      </w:r>
      <w:r>
        <w:rPr>
          <w:rStyle w:val="Emphasis"/>
        </w:rPr>
        <w:t xml:space="preserve"> </w:t>
      </w:r>
      <w:r w:rsidRPr="00BB1049">
        <w:rPr>
          <w:rStyle w:val="Emphasis"/>
        </w:rPr>
        <w:t>for applicants</w:t>
      </w:r>
      <w:r w:rsidRPr="00BB1049">
        <w:rPr>
          <w:sz w:val="14"/>
        </w:rPr>
        <w:t xml:space="preserve">.310Although they differ only in who is eligible for them, </w:t>
      </w:r>
      <w:r w:rsidRPr="00BB1049">
        <w:rPr>
          <w:rStyle w:val="StyleUnderline"/>
        </w:rPr>
        <w:t>the two certificates have different application forms and procedures</w:t>
      </w:r>
      <w:r w:rsidRPr="00BB1049">
        <w:rPr>
          <w:sz w:val="14"/>
        </w:rPr>
        <w:t xml:space="preserve">.311Potential applicants find it difficult to locate the applications using the easiest source, the Internet, and even more applicants find it difficult to understand which one they qualify for.312Additionally, </w:t>
      </w:r>
      <w:r w:rsidRPr="00BB1049">
        <w:rPr>
          <w:rStyle w:val="StyleUnderline"/>
        </w:rPr>
        <w:t>both</w:t>
      </w:r>
      <w:r>
        <w:rPr>
          <w:rStyle w:val="StyleUnderline"/>
        </w:rPr>
        <w:t xml:space="preserve"> </w:t>
      </w:r>
      <w:r w:rsidRPr="00BB1049">
        <w:rPr>
          <w:rStyle w:val="StyleUnderline"/>
        </w:rPr>
        <w:t>applications</w:t>
      </w:r>
      <w:r>
        <w:rPr>
          <w:rStyle w:val="StyleUnderline"/>
        </w:rPr>
        <w:t xml:space="preserve"> </w:t>
      </w:r>
      <w:r w:rsidRPr="00BB1049">
        <w:rPr>
          <w:rStyle w:val="StyleUnderline"/>
        </w:rPr>
        <w:t>are</w:t>
      </w:r>
      <w:r>
        <w:rPr>
          <w:rStyle w:val="StyleUnderline"/>
        </w:rPr>
        <w:t xml:space="preserve"> </w:t>
      </w:r>
      <w:r w:rsidRPr="00BB1049">
        <w:rPr>
          <w:rStyle w:val="StyleUnderline"/>
        </w:rPr>
        <w:t>difficult</w:t>
      </w:r>
      <w:r>
        <w:rPr>
          <w:rStyle w:val="StyleUnderline"/>
        </w:rPr>
        <w:t xml:space="preserve"> </w:t>
      </w:r>
      <w:r w:rsidRPr="00BB1049">
        <w:rPr>
          <w:rStyle w:val="StyleUnderline"/>
        </w:rPr>
        <w:t>to</w:t>
      </w:r>
      <w:r>
        <w:rPr>
          <w:rStyle w:val="StyleUnderline"/>
        </w:rPr>
        <w:t xml:space="preserve"> </w:t>
      </w:r>
      <w:r w:rsidRPr="00BB1049">
        <w:rPr>
          <w:rStyle w:val="StyleUnderline"/>
        </w:rPr>
        <w:t>read.</w:t>
      </w:r>
      <w:r w:rsidRPr="00BB1049">
        <w:rPr>
          <w:sz w:val="14"/>
        </w:rPr>
        <w:t xml:space="preserve"> Researchers have found that the applications are written at a “13th grade” (beyond high school) reading level.313The average adult reading level in the country is eighth grade, </w:t>
      </w:r>
      <w:proofErr w:type="spellStart"/>
      <w:r w:rsidRPr="00BB1049">
        <w:rPr>
          <w:sz w:val="14"/>
        </w:rPr>
        <w:t>andseventy</w:t>
      </w:r>
      <w:proofErr w:type="spellEnd"/>
      <w:r w:rsidRPr="00BB1049">
        <w:rPr>
          <w:sz w:val="14"/>
        </w:rPr>
        <w:t xml:space="preserve"> percent of people with convictions function below a sixth grade level.314</w:t>
      </w:r>
    </w:p>
    <w:p w14:paraId="36EE8FDB" w14:textId="4F6945C6" w:rsidR="00560D3D" w:rsidRDefault="00560D3D" w:rsidP="00560D3D">
      <w:pPr>
        <w:pStyle w:val="Heading4"/>
      </w:pPr>
      <w:r>
        <w:t xml:space="preserve">People </w:t>
      </w:r>
      <w:proofErr w:type="gramStart"/>
      <w:r>
        <w:t>wont</w:t>
      </w:r>
      <w:proofErr w:type="gramEnd"/>
      <w:r>
        <w:t xml:space="preserve"> apply --- perceive it as not helpful and </w:t>
      </w:r>
      <w:proofErr w:type="spellStart"/>
      <w:r>
        <w:t>wont</w:t>
      </w:r>
      <w:proofErr w:type="spellEnd"/>
      <w:r>
        <w:t xml:space="preserve"> work anyway</w:t>
      </w:r>
    </w:p>
    <w:p w14:paraId="14A692A7" w14:textId="77777777" w:rsidR="00FE2A88" w:rsidRPr="00FE2A88" w:rsidRDefault="00FE2A88" w:rsidP="00FE2A88"/>
    <w:p w14:paraId="7066D0B0" w14:textId="77777777" w:rsidR="008B1405" w:rsidRDefault="008B1405" w:rsidP="008B1405">
      <w:pPr>
        <w:rPr>
          <w:rStyle w:val="Style13ptBold"/>
        </w:rPr>
      </w:pPr>
      <w:proofErr w:type="spellStart"/>
      <w:r>
        <w:rPr>
          <w:rStyle w:val="Style13ptBold"/>
        </w:rPr>
        <w:t>Radice</w:t>
      </w:r>
      <w:proofErr w:type="spellEnd"/>
      <w:r>
        <w:rPr>
          <w:rStyle w:val="Style13ptBold"/>
        </w:rPr>
        <w:t xml:space="preserve"> ‘12</w:t>
      </w:r>
    </w:p>
    <w:p w14:paraId="3ECA4285" w14:textId="290EC512" w:rsidR="008B1405" w:rsidRDefault="008B1405" w:rsidP="00486FF0">
      <w:r w:rsidRPr="00AA6276">
        <w:t xml:space="preserve">(Joy, </w:t>
      </w:r>
      <w:r>
        <w:t xml:space="preserve">Acting Assistant Professor, New York University School of Law.  J.D., Harvard Law School.  A.B.,  Princeton  University, </w:t>
      </w:r>
      <w:r w:rsidRPr="00AA6276">
        <w:t xml:space="preserve">“ADMINISTERING JUSTICE:REMOVING STATUTORY BARRIERS TO REENTRY,” </w:t>
      </w:r>
      <w:proofErr w:type="spellStart"/>
      <w:r w:rsidRPr="00AA6276">
        <w:t>pg</w:t>
      </w:r>
      <w:proofErr w:type="spellEnd"/>
      <w:r w:rsidRPr="00AA6276">
        <w:t xml:space="preserve"> online @ </w:t>
      </w:r>
      <w:hyperlink r:id="rId114" w:history="1">
        <w:r w:rsidRPr="00AA6276">
          <w:rPr>
            <w:rStyle w:val="Hyperlink"/>
          </w:rPr>
          <w:t>https://silo.tips/download/administering-justice-removing-statutory-barriers-to-reentry</w:t>
        </w:r>
      </w:hyperlink>
      <w:r w:rsidRPr="00AA6276">
        <w:t xml:space="preserve"> //um-</w:t>
      </w:r>
      <w:proofErr w:type="spellStart"/>
      <w:r w:rsidRPr="00AA6276">
        <w:t>ef</w:t>
      </w:r>
      <w:proofErr w:type="spellEnd"/>
      <w:r w:rsidRPr="00AA6276">
        <w:t>)</w:t>
      </w:r>
    </w:p>
    <w:p w14:paraId="3AC1DA5B" w14:textId="1408AA6C" w:rsidR="008B1405" w:rsidRDefault="008B1405" w:rsidP="00486FF0">
      <w:r w:rsidRPr="00560D3D">
        <w:rPr>
          <w:rStyle w:val="StyleUnderline"/>
        </w:rPr>
        <w:t>People with convictions have no incentive to apply for a certificate if they perceive it as offering them nothing more than a piece of paper</w:t>
      </w:r>
      <w:r>
        <w:t xml:space="preserve">. </w:t>
      </w:r>
      <w:r w:rsidRPr="00560D3D">
        <w:rPr>
          <w:rStyle w:val="StyleUnderline"/>
        </w:rPr>
        <w:t xml:space="preserve">Many unanswered questions exist about how employers </w:t>
      </w:r>
      <w:proofErr w:type="gramStart"/>
      <w:r w:rsidRPr="00560D3D">
        <w:rPr>
          <w:rStyle w:val="StyleUnderline"/>
        </w:rPr>
        <w:t>actually use</w:t>
      </w:r>
      <w:proofErr w:type="gramEnd"/>
      <w:r w:rsidRPr="00560D3D">
        <w:rPr>
          <w:rStyle w:val="StyleUnderline"/>
        </w:rPr>
        <w:t xml:space="preserve"> certificates in their decision making. If the court decisions described above are any indication, </w:t>
      </w:r>
      <w:r w:rsidRPr="00560D3D">
        <w:rPr>
          <w:rStyle w:val="Emphasis"/>
        </w:rPr>
        <w:t>the consideration may be minimal at best</w:t>
      </w:r>
      <w:r>
        <w:t xml:space="preserve">. </w:t>
      </w:r>
      <w:r w:rsidRPr="00560D3D">
        <w:rPr>
          <w:rStyle w:val="StyleUnderline"/>
        </w:rPr>
        <w:t>Fighting a job or license denial is a time and resource intensive struggle</w:t>
      </w:r>
      <w:r>
        <w:t xml:space="preserve">. </w:t>
      </w:r>
      <w:r w:rsidRPr="00560D3D">
        <w:rPr>
          <w:rStyle w:val="StyleUnderline"/>
        </w:rPr>
        <w:t xml:space="preserve">Having these statutes on the books does nothing to restore rights if the certificates are not issued, </w:t>
      </w:r>
      <w:proofErr w:type="gramStart"/>
      <w:r w:rsidRPr="00560D3D">
        <w:rPr>
          <w:rStyle w:val="StyleUnderline"/>
        </w:rPr>
        <w:t>publicly recognized</w:t>
      </w:r>
      <w:proofErr w:type="gramEnd"/>
      <w:r w:rsidRPr="00560D3D">
        <w:rPr>
          <w:rStyle w:val="StyleUnderline"/>
        </w:rPr>
        <w:t>, and enforced</w:t>
      </w:r>
      <w:r>
        <w:t>.</w:t>
      </w:r>
    </w:p>
    <w:p w14:paraId="0B3E2985" w14:textId="6388B163" w:rsidR="005C065A" w:rsidRDefault="0098144E" w:rsidP="005C065A">
      <w:pPr>
        <w:pStyle w:val="Heading3"/>
      </w:pPr>
      <w:r>
        <w:t>2AC</w:t>
      </w:r>
      <w:r w:rsidR="005C065A">
        <w:t xml:space="preserve"> Delay DA</w:t>
      </w:r>
    </w:p>
    <w:p w14:paraId="6ACB87B0" w14:textId="77777777" w:rsidR="005C065A" w:rsidRDefault="005C065A" w:rsidP="005C065A"/>
    <w:p w14:paraId="1D2169DE" w14:textId="77777777" w:rsidR="005C065A" w:rsidRDefault="005C065A" w:rsidP="005C065A">
      <w:pPr>
        <w:pStyle w:val="Heading4"/>
      </w:pPr>
      <w:r>
        <w:t xml:space="preserve">The cp takes YEARS to solve due to delays </w:t>
      </w:r>
    </w:p>
    <w:p w14:paraId="25E7381A" w14:textId="77777777" w:rsidR="005C065A" w:rsidRPr="00754DCD" w:rsidRDefault="005C065A" w:rsidP="005C065A"/>
    <w:p w14:paraId="325FF7BE" w14:textId="77777777" w:rsidR="005C065A" w:rsidRDefault="005C065A" w:rsidP="005C065A">
      <w:pPr>
        <w:rPr>
          <w:rStyle w:val="Style13ptBold"/>
        </w:rPr>
      </w:pPr>
      <w:proofErr w:type="spellStart"/>
      <w:r>
        <w:rPr>
          <w:rStyle w:val="Style13ptBold"/>
        </w:rPr>
        <w:t>Radice</w:t>
      </w:r>
      <w:proofErr w:type="spellEnd"/>
      <w:r>
        <w:rPr>
          <w:rStyle w:val="Style13ptBold"/>
        </w:rPr>
        <w:t xml:space="preserve"> ‘12</w:t>
      </w:r>
    </w:p>
    <w:p w14:paraId="26AFF3A4" w14:textId="77777777" w:rsidR="005C065A" w:rsidRDefault="005C065A" w:rsidP="005C065A">
      <w:r w:rsidRPr="00AA6276">
        <w:t xml:space="preserve">(Joy, </w:t>
      </w:r>
      <w:r>
        <w:t xml:space="preserve">Acting Assistant Professor, New York University School of Law.  J.D., Harvard Law School.  A.B.,  Princeton  University, </w:t>
      </w:r>
      <w:r w:rsidRPr="00AA6276">
        <w:t xml:space="preserve">“ADMINISTERING JUSTICE:REMOVING STATUTORY BARRIERS TO REENTRY,” </w:t>
      </w:r>
      <w:proofErr w:type="spellStart"/>
      <w:r w:rsidRPr="00AA6276">
        <w:t>pg</w:t>
      </w:r>
      <w:proofErr w:type="spellEnd"/>
      <w:r w:rsidRPr="00AA6276">
        <w:t xml:space="preserve"> online @ </w:t>
      </w:r>
      <w:hyperlink r:id="rId115" w:history="1">
        <w:r w:rsidRPr="00AA6276">
          <w:rPr>
            <w:rStyle w:val="Hyperlink"/>
          </w:rPr>
          <w:t>https://silo.tips/download/administering-justice-removing-statutory-barriers-to-reentry</w:t>
        </w:r>
      </w:hyperlink>
      <w:r w:rsidRPr="00AA6276">
        <w:t xml:space="preserve"> //um-</w:t>
      </w:r>
      <w:proofErr w:type="spellStart"/>
      <w:r w:rsidRPr="00AA6276">
        <w:t>ef</w:t>
      </w:r>
      <w:proofErr w:type="spellEnd"/>
      <w:r w:rsidRPr="00AA6276">
        <w:t>)</w:t>
      </w:r>
    </w:p>
    <w:p w14:paraId="47229639" w14:textId="4743F1DD" w:rsidR="005C065A" w:rsidRPr="004B0F00" w:rsidRDefault="005C065A" w:rsidP="005C065A">
      <w:pPr>
        <w:rPr>
          <w:sz w:val="16"/>
        </w:rPr>
      </w:pPr>
      <w:r w:rsidRPr="00754DCD">
        <w:rPr>
          <w:rStyle w:val="StyleUnderline"/>
        </w:rPr>
        <w:t>The   most   fundamental   administrative   hurdle   facing certificate applicants is the</w:t>
      </w:r>
      <w:r w:rsidRPr="004B0F00">
        <w:rPr>
          <w:sz w:val="16"/>
        </w:rPr>
        <w:t xml:space="preserve"> </w:t>
      </w:r>
      <w:r w:rsidRPr="00754DCD">
        <w:rPr>
          <w:rStyle w:val="Emphasis"/>
        </w:rPr>
        <w:t>excessive delay</w:t>
      </w:r>
      <w:r w:rsidRPr="004B0F00">
        <w:rPr>
          <w:sz w:val="16"/>
        </w:rPr>
        <w:t xml:space="preserve"> </w:t>
      </w:r>
      <w:r w:rsidRPr="00754DCD">
        <w:rPr>
          <w:rStyle w:val="StyleUnderline"/>
        </w:rPr>
        <w:t>in making certificate determinations</w:t>
      </w:r>
      <w:r w:rsidRPr="004B0F00">
        <w:rPr>
          <w:sz w:val="16"/>
        </w:rPr>
        <w:t xml:space="preserve">. </w:t>
      </w:r>
      <w:r w:rsidRPr="00754DCD">
        <w:rPr>
          <w:rStyle w:val="StyleUnderline"/>
        </w:rPr>
        <w:t>The certificate statutes give the DCCS expansive discretion with no review procedure and no requirement to collect data on itsdecisions</w:t>
      </w:r>
      <w:r w:rsidRPr="004B0F00">
        <w:rPr>
          <w:sz w:val="16"/>
        </w:rPr>
        <w:t>.</w:t>
      </w:r>
      <w:r w:rsidRPr="00754DCD">
        <w:rPr>
          <w:rStyle w:val="StyleUnderline"/>
        </w:rPr>
        <w:t>283The sentencing courts often cede investigative authority over certificate applications to probation</w:t>
      </w:r>
      <w:r w:rsidRPr="004B0F00">
        <w:rPr>
          <w:sz w:val="16"/>
        </w:rPr>
        <w:t xml:space="preserve">, as permitted by statute.284 </w:t>
      </w:r>
      <w:r w:rsidRPr="00754DCD">
        <w:rPr>
          <w:rStyle w:val="StyleUnderline"/>
        </w:rPr>
        <w:t>Probation officers who write sentencing</w:t>
      </w:r>
      <w:r w:rsidR="00BB1049">
        <w:rPr>
          <w:rStyle w:val="StyleUnderline"/>
        </w:rPr>
        <w:t xml:space="preserve"> </w:t>
      </w:r>
      <w:r w:rsidRPr="00754DCD">
        <w:rPr>
          <w:rStyle w:val="StyleUnderline"/>
        </w:rPr>
        <w:t>reports</w:t>
      </w:r>
      <w:r w:rsidR="00BB1049">
        <w:rPr>
          <w:rStyle w:val="StyleUnderline"/>
        </w:rPr>
        <w:t xml:space="preserve"> </w:t>
      </w:r>
      <w:r w:rsidRPr="00754DCD">
        <w:rPr>
          <w:rStyle w:val="StyleUnderline"/>
        </w:rPr>
        <w:t>offer</w:t>
      </w:r>
      <w:r w:rsidR="00BB1049">
        <w:rPr>
          <w:rStyle w:val="StyleUnderline"/>
        </w:rPr>
        <w:t xml:space="preserve"> </w:t>
      </w:r>
      <w:r w:rsidRPr="00754DCD">
        <w:rPr>
          <w:rStyle w:val="StyleUnderline"/>
        </w:rPr>
        <w:t>an</w:t>
      </w:r>
      <w:r w:rsidR="00BB1049">
        <w:rPr>
          <w:rStyle w:val="StyleUnderline"/>
        </w:rPr>
        <w:t xml:space="preserve"> </w:t>
      </w:r>
      <w:r w:rsidRPr="00754DCD">
        <w:rPr>
          <w:rStyle w:val="StyleUnderline"/>
        </w:rPr>
        <w:t>initial recommendation</w:t>
      </w:r>
      <w:r w:rsidR="00BB1049">
        <w:rPr>
          <w:rStyle w:val="StyleUnderline"/>
        </w:rPr>
        <w:t xml:space="preserve"> </w:t>
      </w:r>
      <w:r w:rsidRPr="00754DCD">
        <w:rPr>
          <w:rStyle w:val="StyleUnderline"/>
        </w:rPr>
        <w:t>with</w:t>
      </w:r>
      <w:r w:rsidR="00BB1049">
        <w:rPr>
          <w:rStyle w:val="StyleUnderline"/>
        </w:rPr>
        <w:t xml:space="preserve"> </w:t>
      </w:r>
      <w:r w:rsidRPr="00754DCD">
        <w:rPr>
          <w:rStyle w:val="StyleUnderline"/>
        </w:rPr>
        <w:t>the</w:t>
      </w:r>
      <w:r w:rsidR="00BB1049">
        <w:rPr>
          <w:rStyle w:val="StyleUnderline"/>
        </w:rPr>
        <w:t xml:space="preserve"> </w:t>
      </w:r>
      <w:r w:rsidRPr="00754DCD">
        <w:rPr>
          <w:rStyle w:val="StyleUnderline"/>
        </w:rPr>
        <w:t>submission</w:t>
      </w:r>
      <w:r w:rsidR="00BB1049">
        <w:rPr>
          <w:rStyle w:val="StyleUnderline"/>
        </w:rPr>
        <w:t xml:space="preserve"> </w:t>
      </w:r>
      <w:r w:rsidRPr="00754DCD">
        <w:rPr>
          <w:rStyle w:val="StyleUnderline"/>
        </w:rPr>
        <w:t>of</w:t>
      </w:r>
      <w:r w:rsidR="00BB1049">
        <w:rPr>
          <w:rStyle w:val="StyleUnderline"/>
        </w:rPr>
        <w:t xml:space="preserve"> </w:t>
      </w:r>
      <w:r w:rsidRPr="00754DCD">
        <w:rPr>
          <w:rStyle w:val="StyleUnderline"/>
        </w:rPr>
        <w:t xml:space="preserve">the </w:t>
      </w:r>
      <w:proofErr w:type="spellStart"/>
      <w:r w:rsidRPr="00754DCD">
        <w:rPr>
          <w:rStyle w:val="StyleUnderline"/>
        </w:rPr>
        <w:t>irinvestigation</w:t>
      </w:r>
      <w:proofErr w:type="spellEnd"/>
      <w:r w:rsidR="00BB1049">
        <w:rPr>
          <w:rStyle w:val="StyleUnderline"/>
        </w:rPr>
        <w:t xml:space="preserve"> </w:t>
      </w:r>
      <w:r w:rsidRPr="00754DCD">
        <w:rPr>
          <w:rStyle w:val="StyleUnderline"/>
        </w:rPr>
        <w:t>to the</w:t>
      </w:r>
      <w:r w:rsidR="00BB1049">
        <w:rPr>
          <w:rStyle w:val="StyleUnderline"/>
        </w:rPr>
        <w:t xml:space="preserve"> </w:t>
      </w:r>
      <w:r w:rsidRPr="00754DCD">
        <w:rPr>
          <w:rStyle w:val="StyleUnderline"/>
        </w:rPr>
        <w:t>court</w:t>
      </w:r>
      <w:r w:rsidRPr="004B0F00">
        <w:rPr>
          <w:sz w:val="16"/>
        </w:rPr>
        <w:t>.285For</w:t>
      </w:r>
      <w:r w:rsidR="00BB1049">
        <w:rPr>
          <w:sz w:val="16"/>
        </w:rPr>
        <w:t xml:space="preserve"> </w:t>
      </w:r>
      <w:r w:rsidRPr="004B0F00">
        <w:rPr>
          <w:sz w:val="16"/>
        </w:rPr>
        <w:t>either</w:t>
      </w:r>
      <w:r w:rsidR="00BB1049">
        <w:rPr>
          <w:sz w:val="16"/>
        </w:rPr>
        <w:t xml:space="preserve"> </w:t>
      </w:r>
      <w:r w:rsidRPr="004B0F00">
        <w:rPr>
          <w:sz w:val="16"/>
        </w:rPr>
        <w:t>certificate,</w:t>
      </w:r>
      <w:r w:rsidR="00BB1049">
        <w:rPr>
          <w:sz w:val="16"/>
        </w:rPr>
        <w:t xml:space="preserve"> </w:t>
      </w:r>
      <w:r w:rsidRPr="00754DCD">
        <w:rPr>
          <w:rStyle w:val="StyleUnderline"/>
        </w:rPr>
        <w:t>the</w:t>
      </w:r>
      <w:r w:rsidR="00BB1049">
        <w:rPr>
          <w:rStyle w:val="StyleUnderline"/>
        </w:rPr>
        <w:t xml:space="preserve"> </w:t>
      </w:r>
      <w:r w:rsidRPr="00754DCD">
        <w:rPr>
          <w:rStyle w:val="StyleUnderline"/>
        </w:rPr>
        <w:t>administrating</w:t>
      </w:r>
      <w:r w:rsidR="00BB1049">
        <w:rPr>
          <w:rStyle w:val="StyleUnderline"/>
        </w:rPr>
        <w:t xml:space="preserve"> </w:t>
      </w:r>
      <w:r w:rsidRPr="00754DCD">
        <w:rPr>
          <w:rStyle w:val="StyleUnderline"/>
        </w:rPr>
        <w:t>body schedules</w:t>
      </w:r>
      <w:r w:rsidR="00BB1049">
        <w:rPr>
          <w:rStyle w:val="StyleUnderline"/>
        </w:rPr>
        <w:t xml:space="preserve"> </w:t>
      </w:r>
      <w:r w:rsidRPr="00754DCD">
        <w:rPr>
          <w:rStyle w:val="StyleUnderline"/>
        </w:rPr>
        <w:t>interviews</w:t>
      </w:r>
      <w:r w:rsidR="00BB1049">
        <w:rPr>
          <w:rStyle w:val="StyleUnderline"/>
        </w:rPr>
        <w:t xml:space="preserve"> </w:t>
      </w:r>
      <w:r w:rsidRPr="00754DCD">
        <w:rPr>
          <w:rStyle w:val="StyleUnderline"/>
        </w:rPr>
        <w:t>with</w:t>
      </w:r>
      <w:r w:rsidR="00BB1049">
        <w:rPr>
          <w:rStyle w:val="StyleUnderline"/>
        </w:rPr>
        <w:t xml:space="preserve"> </w:t>
      </w:r>
      <w:r w:rsidRPr="00754DCD">
        <w:rPr>
          <w:rStyle w:val="StyleUnderline"/>
        </w:rPr>
        <w:t>applicants</w:t>
      </w:r>
      <w:r w:rsidR="00BB1049">
        <w:rPr>
          <w:rStyle w:val="StyleUnderline"/>
        </w:rPr>
        <w:t xml:space="preserve"> </w:t>
      </w:r>
      <w:r w:rsidRPr="00754DCD">
        <w:rPr>
          <w:rStyle w:val="StyleUnderline"/>
        </w:rPr>
        <w:t>to</w:t>
      </w:r>
      <w:r w:rsidR="00BB1049">
        <w:rPr>
          <w:rStyle w:val="StyleUnderline"/>
        </w:rPr>
        <w:t xml:space="preserve"> </w:t>
      </w:r>
      <w:r w:rsidRPr="00754DCD">
        <w:rPr>
          <w:rStyle w:val="StyleUnderline"/>
        </w:rPr>
        <w:t>review</w:t>
      </w:r>
      <w:r w:rsidR="00BB1049">
        <w:rPr>
          <w:rStyle w:val="StyleUnderline"/>
        </w:rPr>
        <w:t xml:space="preserve"> </w:t>
      </w:r>
      <w:r w:rsidRPr="00754DCD">
        <w:rPr>
          <w:rStyle w:val="StyleUnderline"/>
        </w:rPr>
        <w:t>their applications and</w:t>
      </w:r>
      <w:r w:rsidR="00BB1049">
        <w:rPr>
          <w:rStyle w:val="StyleUnderline"/>
        </w:rPr>
        <w:t xml:space="preserve"> </w:t>
      </w:r>
      <w:r w:rsidRPr="00754DCD">
        <w:rPr>
          <w:rStyle w:val="StyleUnderline"/>
        </w:rPr>
        <w:t>also</w:t>
      </w:r>
      <w:r w:rsidR="00BB1049">
        <w:rPr>
          <w:rStyle w:val="StyleUnderline"/>
        </w:rPr>
        <w:t xml:space="preserve"> </w:t>
      </w:r>
      <w:r w:rsidRPr="00754DCD">
        <w:rPr>
          <w:rStyle w:val="StyleUnderline"/>
        </w:rPr>
        <w:t>investigates</w:t>
      </w:r>
      <w:r w:rsidR="00BB1049">
        <w:rPr>
          <w:rStyle w:val="StyleUnderline"/>
        </w:rPr>
        <w:t xml:space="preserve"> </w:t>
      </w:r>
      <w:r w:rsidRPr="00754DCD">
        <w:rPr>
          <w:rStyle w:val="StyleUnderline"/>
        </w:rPr>
        <w:t>their</w:t>
      </w:r>
      <w:r w:rsidR="00BB1049">
        <w:rPr>
          <w:rStyle w:val="StyleUnderline"/>
        </w:rPr>
        <w:t xml:space="preserve"> </w:t>
      </w:r>
      <w:r w:rsidRPr="00754DCD">
        <w:rPr>
          <w:rStyle w:val="StyleUnderline"/>
        </w:rPr>
        <w:t>cases</w:t>
      </w:r>
      <w:r w:rsidRPr="004B0F00">
        <w:rPr>
          <w:sz w:val="16"/>
        </w:rPr>
        <w:t>.</w:t>
      </w:r>
      <w:r w:rsidRPr="00754DCD">
        <w:rPr>
          <w:rStyle w:val="Emphasis"/>
        </w:rPr>
        <w:t>286The</w:t>
      </w:r>
      <w:r w:rsidR="00BB1049">
        <w:rPr>
          <w:rStyle w:val="Emphasis"/>
        </w:rPr>
        <w:t xml:space="preserve"> </w:t>
      </w:r>
      <w:r w:rsidRPr="00754DCD">
        <w:rPr>
          <w:rStyle w:val="Emphasis"/>
        </w:rPr>
        <w:t>waiting time</w:t>
      </w:r>
      <w:r w:rsidR="00BB1049">
        <w:rPr>
          <w:rStyle w:val="Emphasis"/>
        </w:rPr>
        <w:t xml:space="preserve"> </w:t>
      </w:r>
      <w:r w:rsidRPr="00754DCD">
        <w:rPr>
          <w:rStyle w:val="Emphasis"/>
        </w:rPr>
        <w:t>for</w:t>
      </w:r>
      <w:r w:rsidR="00BB1049">
        <w:rPr>
          <w:rStyle w:val="Emphasis"/>
        </w:rPr>
        <w:t xml:space="preserve"> </w:t>
      </w:r>
      <w:r w:rsidRPr="00754DCD">
        <w:rPr>
          <w:rStyle w:val="Emphasis"/>
        </w:rPr>
        <w:t>decisions</w:t>
      </w:r>
      <w:r w:rsidR="00BB1049">
        <w:rPr>
          <w:rStyle w:val="Emphasis"/>
        </w:rPr>
        <w:t xml:space="preserve"> </w:t>
      </w:r>
      <w:r w:rsidRPr="00754DCD">
        <w:rPr>
          <w:rStyle w:val="Emphasis"/>
        </w:rPr>
        <w:t>from</w:t>
      </w:r>
      <w:r w:rsidR="00BB1049">
        <w:rPr>
          <w:rStyle w:val="Emphasis"/>
        </w:rPr>
        <w:t xml:space="preserve"> </w:t>
      </w:r>
      <w:r w:rsidRPr="00754DCD">
        <w:rPr>
          <w:rStyle w:val="Emphasis"/>
        </w:rPr>
        <w:t>the</w:t>
      </w:r>
      <w:r w:rsidR="00BB1049">
        <w:rPr>
          <w:rStyle w:val="Emphasis"/>
        </w:rPr>
        <w:t xml:space="preserve"> </w:t>
      </w:r>
      <w:r w:rsidRPr="00754DCD">
        <w:rPr>
          <w:rStyle w:val="Emphasis"/>
        </w:rPr>
        <w:t>DCCS is</w:t>
      </w:r>
      <w:r w:rsidR="00BB1049">
        <w:rPr>
          <w:rStyle w:val="Emphasis"/>
        </w:rPr>
        <w:t xml:space="preserve"> </w:t>
      </w:r>
      <w:r w:rsidRPr="00754DCD">
        <w:rPr>
          <w:rStyle w:val="Emphasis"/>
        </w:rPr>
        <w:t>over</w:t>
      </w:r>
      <w:r w:rsidR="00BB1049">
        <w:rPr>
          <w:rStyle w:val="Emphasis"/>
        </w:rPr>
        <w:t xml:space="preserve"> </w:t>
      </w:r>
      <w:r w:rsidRPr="00754DCD">
        <w:rPr>
          <w:rStyle w:val="Emphasis"/>
        </w:rPr>
        <w:t>eighteen</w:t>
      </w:r>
      <w:r w:rsidR="00BB1049">
        <w:rPr>
          <w:rStyle w:val="Emphasis"/>
        </w:rPr>
        <w:t xml:space="preserve"> </w:t>
      </w:r>
      <w:r w:rsidRPr="00754DCD">
        <w:rPr>
          <w:rStyle w:val="Emphasis"/>
        </w:rPr>
        <w:t>months</w:t>
      </w:r>
      <w:r w:rsidRPr="004B0F00">
        <w:rPr>
          <w:sz w:val="16"/>
        </w:rPr>
        <w:t xml:space="preserve">.287 </w:t>
      </w:r>
      <w:r w:rsidRPr="00754DCD">
        <w:rPr>
          <w:rStyle w:val="Emphasis"/>
        </w:rPr>
        <w:t>For</w:t>
      </w:r>
      <w:r w:rsidR="00BB1049">
        <w:rPr>
          <w:rStyle w:val="Emphasis"/>
        </w:rPr>
        <w:t xml:space="preserve"> </w:t>
      </w:r>
      <w:r w:rsidRPr="00754DCD">
        <w:rPr>
          <w:rStyle w:val="Emphasis"/>
        </w:rPr>
        <w:t>Certificates</w:t>
      </w:r>
      <w:r w:rsidR="00BB1049">
        <w:rPr>
          <w:rStyle w:val="Emphasis"/>
        </w:rPr>
        <w:t xml:space="preserve"> </w:t>
      </w:r>
      <w:r w:rsidRPr="00754DCD">
        <w:rPr>
          <w:rStyle w:val="Emphasis"/>
        </w:rPr>
        <w:t>of</w:t>
      </w:r>
      <w:r w:rsidR="00BB1049">
        <w:rPr>
          <w:rStyle w:val="Emphasis"/>
        </w:rPr>
        <w:t xml:space="preserve"> </w:t>
      </w:r>
      <w:r w:rsidRPr="00754DCD">
        <w:rPr>
          <w:rStyle w:val="Emphasis"/>
        </w:rPr>
        <w:t>Good</w:t>
      </w:r>
      <w:r w:rsidR="00BB1049">
        <w:rPr>
          <w:rStyle w:val="Emphasis"/>
        </w:rPr>
        <w:t xml:space="preserve"> </w:t>
      </w:r>
      <w:r w:rsidRPr="00754DCD">
        <w:rPr>
          <w:rStyle w:val="Emphasis"/>
        </w:rPr>
        <w:t>Conduct,</w:t>
      </w:r>
      <w:r w:rsidR="00BB1049">
        <w:rPr>
          <w:rStyle w:val="Emphasis"/>
        </w:rPr>
        <w:t xml:space="preserve"> </w:t>
      </w:r>
      <w:r w:rsidRPr="00754DCD">
        <w:rPr>
          <w:rStyle w:val="Emphasis"/>
        </w:rPr>
        <w:t>applicants</w:t>
      </w:r>
      <w:r w:rsidR="00BB1049">
        <w:rPr>
          <w:rStyle w:val="Emphasis"/>
        </w:rPr>
        <w:t xml:space="preserve"> </w:t>
      </w:r>
      <w:r w:rsidRPr="00754DCD">
        <w:rPr>
          <w:rStyle w:val="Emphasis"/>
        </w:rPr>
        <w:t>add</w:t>
      </w:r>
      <w:r w:rsidR="00BB1049">
        <w:rPr>
          <w:rStyle w:val="Emphasis"/>
        </w:rPr>
        <w:t xml:space="preserve"> </w:t>
      </w:r>
      <w:r w:rsidRPr="00754DCD">
        <w:rPr>
          <w:rStyle w:val="Emphasis"/>
        </w:rPr>
        <w:t>this</w:t>
      </w:r>
      <w:r w:rsidR="00BB1049">
        <w:rPr>
          <w:rStyle w:val="Emphasis"/>
        </w:rPr>
        <w:t xml:space="preserve"> </w:t>
      </w:r>
      <w:r w:rsidRPr="00754DCD">
        <w:rPr>
          <w:rStyle w:val="Emphasis"/>
        </w:rPr>
        <w:t>waiting period</w:t>
      </w:r>
      <w:r w:rsidR="00BB1049">
        <w:rPr>
          <w:rStyle w:val="Emphasis"/>
        </w:rPr>
        <w:t xml:space="preserve"> </w:t>
      </w:r>
      <w:r w:rsidRPr="00754DCD">
        <w:rPr>
          <w:rStyle w:val="Emphasis"/>
        </w:rPr>
        <w:t>onto</w:t>
      </w:r>
      <w:r w:rsidR="00BB1049">
        <w:rPr>
          <w:rStyle w:val="Emphasis"/>
        </w:rPr>
        <w:t xml:space="preserve"> </w:t>
      </w:r>
      <w:r w:rsidRPr="00754DCD">
        <w:rPr>
          <w:rStyle w:val="Emphasis"/>
        </w:rPr>
        <w:t>the</w:t>
      </w:r>
      <w:r w:rsidR="00BB1049">
        <w:rPr>
          <w:rStyle w:val="Emphasis"/>
        </w:rPr>
        <w:t xml:space="preserve"> </w:t>
      </w:r>
      <w:r w:rsidRPr="00754DCD">
        <w:rPr>
          <w:rStyle w:val="Emphasis"/>
        </w:rPr>
        <w:t>current</w:t>
      </w:r>
      <w:r w:rsidR="00BB1049">
        <w:rPr>
          <w:rStyle w:val="Emphasis"/>
        </w:rPr>
        <w:t xml:space="preserve"> </w:t>
      </w:r>
      <w:r w:rsidRPr="00754DCD">
        <w:rPr>
          <w:rStyle w:val="Emphasis"/>
        </w:rPr>
        <w:t>good</w:t>
      </w:r>
      <w:r w:rsidR="00BB1049">
        <w:rPr>
          <w:rStyle w:val="Emphasis"/>
        </w:rPr>
        <w:t xml:space="preserve"> </w:t>
      </w:r>
      <w:r w:rsidRPr="00754DCD">
        <w:rPr>
          <w:rStyle w:val="Emphasis"/>
        </w:rPr>
        <w:t>conduct</w:t>
      </w:r>
      <w:r w:rsidR="00BB1049">
        <w:rPr>
          <w:rStyle w:val="Emphasis"/>
        </w:rPr>
        <w:t xml:space="preserve"> </w:t>
      </w:r>
      <w:r w:rsidRPr="00754DCD">
        <w:rPr>
          <w:rStyle w:val="Emphasis"/>
        </w:rPr>
        <w:t>waiting</w:t>
      </w:r>
      <w:r w:rsidR="00BB1049">
        <w:rPr>
          <w:rStyle w:val="Emphasis"/>
        </w:rPr>
        <w:t xml:space="preserve"> </w:t>
      </w:r>
      <w:r w:rsidRPr="00754DCD">
        <w:rPr>
          <w:rStyle w:val="Emphasis"/>
        </w:rPr>
        <w:t>periods</w:t>
      </w:r>
      <w:r w:rsidR="00BB1049">
        <w:rPr>
          <w:rStyle w:val="Emphasis"/>
        </w:rPr>
        <w:t xml:space="preserve"> </w:t>
      </w:r>
      <w:r w:rsidRPr="00754DCD">
        <w:rPr>
          <w:rStyle w:val="Emphasis"/>
        </w:rPr>
        <w:t>ranging from</w:t>
      </w:r>
      <w:r w:rsidR="00BB1049">
        <w:rPr>
          <w:rStyle w:val="Emphasis"/>
        </w:rPr>
        <w:t xml:space="preserve"> </w:t>
      </w:r>
      <w:r w:rsidRPr="00754DCD">
        <w:rPr>
          <w:rStyle w:val="Emphasis"/>
        </w:rPr>
        <w:t>one</w:t>
      </w:r>
      <w:r w:rsidR="00BB1049">
        <w:rPr>
          <w:rStyle w:val="Emphasis"/>
        </w:rPr>
        <w:t xml:space="preserve"> </w:t>
      </w:r>
      <w:r w:rsidRPr="00754DCD">
        <w:rPr>
          <w:rStyle w:val="Emphasis"/>
        </w:rPr>
        <w:t>to</w:t>
      </w:r>
      <w:r w:rsidR="00BB1049">
        <w:rPr>
          <w:rStyle w:val="Emphasis"/>
        </w:rPr>
        <w:t xml:space="preserve"> </w:t>
      </w:r>
      <w:r w:rsidRPr="00754DCD">
        <w:rPr>
          <w:rStyle w:val="Emphasis"/>
        </w:rPr>
        <w:t>five</w:t>
      </w:r>
      <w:r w:rsidR="00BB1049">
        <w:rPr>
          <w:rStyle w:val="Emphasis"/>
        </w:rPr>
        <w:t xml:space="preserve"> </w:t>
      </w:r>
      <w:r w:rsidRPr="00754DCD">
        <w:rPr>
          <w:rStyle w:val="Emphasis"/>
        </w:rPr>
        <w:t>years</w:t>
      </w:r>
      <w:r w:rsidRPr="004B0F00">
        <w:rPr>
          <w:sz w:val="16"/>
        </w:rPr>
        <w:t>.288Because</w:t>
      </w:r>
      <w:r w:rsidR="00BB1049">
        <w:rPr>
          <w:sz w:val="16"/>
        </w:rPr>
        <w:t xml:space="preserve"> </w:t>
      </w:r>
      <w:r w:rsidRPr="004B0F00">
        <w:rPr>
          <w:sz w:val="16"/>
        </w:rPr>
        <w:t>sentencing</w:t>
      </w:r>
      <w:r w:rsidR="00BB1049">
        <w:rPr>
          <w:sz w:val="16"/>
        </w:rPr>
        <w:t xml:space="preserve"> </w:t>
      </w:r>
      <w:r w:rsidRPr="004B0F00">
        <w:rPr>
          <w:sz w:val="16"/>
        </w:rPr>
        <w:t>courts</w:t>
      </w:r>
      <w:r w:rsidR="00BB1049">
        <w:rPr>
          <w:sz w:val="16"/>
        </w:rPr>
        <w:t xml:space="preserve"> </w:t>
      </w:r>
      <w:r w:rsidRPr="004B0F00">
        <w:rPr>
          <w:sz w:val="16"/>
        </w:rPr>
        <w:t>do</w:t>
      </w:r>
      <w:r w:rsidR="00BB1049">
        <w:rPr>
          <w:sz w:val="16"/>
        </w:rPr>
        <w:t xml:space="preserve"> </w:t>
      </w:r>
      <w:r w:rsidRPr="004B0F00">
        <w:rPr>
          <w:sz w:val="16"/>
        </w:rPr>
        <w:t>not collect</w:t>
      </w:r>
      <w:r w:rsidR="00BB1049">
        <w:rPr>
          <w:sz w:val="16"/>
        </w:rPr>
        <w:t xml:space="preserve"> </w:t>
      </w:r>
      <w:r w:rsidRPr="004B0F00">
        <w:rPr>
          <w:sz w:val="16"/>
        </w:rPr>
        <w:t>data</w:t>
      </w:r>
      <w:r w:rsidR="00BB1049">
        <w:rPr>
          <w:sz w:val="16"/>
        </w:rPr>
        <w:t xml:space="preserve"> </w:t>
      </w:r>
      <w:r w:rsidRPr="004B0F00">
        <w:rPr>
          <w:sz w:val="16"/>
        </w:rPr>
        <w:t>on</w:t>
      </w:r>
      <w:r w:rsidR="00BB1049">
        <w:rPr>
          <w:sz w:val="16"/>
        </w:rPr>
        <w:t xml:space="preserve"> </w:t>
      </w:r>
      <w:r w:rsidRPr="004B0F00">
        <w:rPr>
          <w:sz w:val="16"/>
        </w:rPr>
        <w:t>certificates,</w:t>
      </w:r>
      <w:r w:rsidR="00BB1049">
        <w:rPr>
          <w:sz w:val="16"/>
        </w:rPr>
        <w:t xml:space="preserve"> </w:t>
      </w:r>
      <w:r w:rsidRPr="004B0F00">
        <w:rPr>
          <w:sz w:val="16"/>
        </w:rPr>
        <w:t>it</w:t>
      </w:r>
      <w:r w:rsidR="00BB1049">
        <w:rPr>
          <w:sz w:val="16"/>
        </w:rPr>
        <w:t xml:space="preserve"> </w:t>
      </w:r>
      <w:r w:rsidRPr="004B0F00">
        <w:rPr>
          <w:sz w:val="16"/>
        </w:rPr>
        <w:t>is</w:t>
      </w:r>
      <w:r w:rsidR="00BB1049">
        <w:rPr>
          <w:sz w:val="16"/>
        </w:rPr>
        <w:t xml:space="preserve"> </w:t>
      </w:r>
      <w:r w:rsidRPr="004B0F00">
        <w:rPr>
          <w:sz w:val="16"/>
        </w:rPr>
        <w:t>difficult</w:t>
      </w:r>
      <w:r w:rsidR="00BB1049">
        <w:rPr>
          <w:sz w:val="16"/>
        </w:rPr>
        <w:t xml:space="preserve"> </w:t>
      </w:r>
      <w:r w:rsidRPr="004B0F00">
        <w:rPr>
          <w:sz w:val="16"/>
        </w:rPr>
        <w:t>to</w:t>
      </w:r>
      <w:r w:rsidR="00BB1049">
        <w:rPr>
          <w:sz w:val="16"/>
        </w:rPr>
        <w:t xml:space="preserve"> </w:t>
      </w:r>
      <w:r w:rsidRPr="004B0F00">
        <w:rPr>
          <w:sz w:val="16"/>
        </w:rPr>
        <w:t>evaluate</w:t>
      </w:r>
      <w:r w:rsidR="00BB1049">
        <w:rPr>
          <w:sz w:val="16"/>
        </w:rPr>
        <w:t xml:space="preserve"> </w:t>
      </w:r>
      <w:r w:rsidRPr="004B0F00">
        <w:rPr>
          <w:sz w:val="16"/>
        </w:rPr>
        <w:t>the</w:t>
      </w:r>
      <w:r w:rsidR="00BB1049">
        <w:rPr>
          <w:sz w:val="16"/>
        </w:rPr>
        <w:t xml:space="preserve"> </w:t>
      </w:r>
      <w:r w:rsidRPr="004B0F00">
        <w:rPr>
          <w:sz w:val="16"/>
        </w:rPr>
        <w:t>delay, although anecdotal evidence suggests that the process can take months.289</w:t>
      </w:r>
      <w:r w:rsidRPr="00754DCD">
        <w:rPr>
          <w:rStyle w:val="Emphasis"/>
        </w:rPr>
        <w:t>The</w:t>
      </w:r>
      <w:r w:rsidR="00BB1049">
        <w:rPr>
          <w:rStyle w:val="Emphasis"/>
        </w:rPr>
        <w:t xml:space="preserve"> </w:t>
      </w:r>
      <w:r w:rsidRPr="00754DCD">
        <w:rPr>
          <w:rStyle w:val="Emphasis"/>
        </w:rPr>
        <w:t>lengthy</w:t>
      </w:r>
      <w:r w:rsidR="00BB1049">
        <w:rPr>
          <w:rStyle w:val="Emphasis"/>
        </w:rPr>
        <w:t xml:space="preserve"> </w:t>
      </w:r>
      <w:r w:rsidRPr="00754DCD">
        <w:rPr>
          <w:rStyle w:val="Emphasis"/>
        </w:rPr>
        <w:t>waiting</w:t>
      </w:r>
      <w:r w:rsidR="00BB1049">
        <w:rPr>
          <w:rStyle w:val="Emphasis"/>
        </w:rPr>
        <w:t xml:space="preserve"> </w:t>
      </w:r>
      <w:r w:rsidRPr="00754DCD">
        <w:rPr>
          <w:rStyle w:val="Emphasis"/>
        </w:rPr>
        <w:t>period</w:t>
      </w:r>
      <w:r w:rsidR="00BB1049">
        <w:rPr>
          <w:rStyle w:val="Emphasis"/>
        </w:rPr>
        <w:t xml:space="preserve"> </w:t>
      </w:r>
      <w:r w:rsidRPr="00754DCD">
        <w:rPr>
          <w:rStyle w:val="Emphasis"/>
        </w:rPr>
        <w:t>may</w:t>
      </w:r>
      <w:r w:rsidR="00BB1049">
        <w:rPr>
          <w:rStyle w:val="Emphasis"/>
        </w:rPr>
        <w:t xml:space="preserve"> </w:t>
      </w:r>
      <w:r w:rsidRPr="00754DCD">
        <w:rPr>
          <w:rStyle w:val="Emphasis"/>
        </w:rPr>
        <w:t>indicate</w:t>
      </w:r>
      <w:r w:rsidR="00BB1049">
        <w:rPr>
          <w:rStyle w:val="Emphasis"/>
        </w:rPr>
        <w:t xml:space="preserve"> </w:t>
      </w:r>
      <w:r w:rsidRPr="00754DCD">
        <w:rPr>
          <w:rStyle w:val="Emphasis"/>
        </w:rPr>
        <w:t>that insufficient resources are devoted to certificate determinations.</w:t>
      </w:r>
    </w:p>
    <w:p w14:paraId="745E107D" w14:textId="77777777" w:rsidR="00486FF0" w:rsidRPr="00486FF0" w:rsidRDefault="00486FF0" w:rsidP="00486FF0"/>
    <w:p w14:paraId="1606CECF" w14:textId="483152B6" w:rsidR="008550B5" w:rsidRDefault="008550B5" w:rsidP="00657D6E">
      <w:pPr>
        <w:pStyle w:val="Heading1"/>
      </w:pPr>
      <w:r>
        <w:t xml:space="preserve">T </w:t>
      </w:r>
      <w:r w:rsidR="00DF1B44">
        <w:t>Answers</w:t>
      </w:r>
    </w:p>
    <w:p w14:paraId="62505689" w14:textId="77777777" w:rsidR="008550B5" w:rsidRDefault="008550B5" w:rsidP="008550B5">
      <w:pPr>
        <w:pStyle w:val="Heading3"/>
      </w:pPr>
      <w:r>
        <w:t xml:space="preserve">AT: T – Sentencing </w:t>
      </w:r>
    </w:p>
    <w:p w14:paraId="3F14A202" w14:textId="77777777" w:rsidR="008550B5" w:rsidRDefault="008550B5" w:rsidP="008550B5"/>
    <w:p w14:paraId="1597F135" w14:textId="77777777" w:rsidR="008550B5" w:rsidRPr="00E57D52" w:rsidRDefault="008550B5" w:rsidP="008550B5"/>
    <w:p w14:paraId="010D46DD" w14:textId="77777777" w:rsidR="008550B5" w:rsidRDefault="008550B5" w:rsidP="008550B5">
      <w:pPr>
        <w:pStyle w:val="Heading4"/>
      </w:pPr>
      <w:r>
        <w:t>And, we meet the counter-</w:t>
      </w:r>
      <w:proofErr w:type="spellStart"/>
      <w:r>
        <w:t>interp</w:t>
      </w:r>
      <w:proofErr w:type="spellEnd"/>
      <w:r>
        <w:t xml:space="preserve"> – regulating as civil oversight REMOVES CC’s from the sentencing process</w:t>
      </w:r>
    </w:p>
    <w:p w14:paraId="75644022" w14:textId="77777777" w:rsidR="008550B5" w:rsidRDefault="008550B5" w:rsidP="008550B5"/>
    <w:p w14:paraId="21FD4CDE" w14:textId="77777777" w:rsidR="008550B5" w:rsidRDefault="008550B5" w:rsidP="008550B5">
      <w:pPr>
        <w:rPr>
          <w:rStyle w:val="Style13ptBold"/>
        </w:rPr>
      </w:pPr>
      <w:r>
        <w:rPr>
          <w:rStyle w:val="Style13ptBold"/>
        </w:rPr>
        <w:t>Reznik ‘19</w:t>
      </w:r>
    </w:p>
    <w:p w14:paraId="0D7AB10D" w14:textId="77777777" w:rsidR="008550B5" w:rsidRPr="00E57D52" w:rsidRDefault="008550B5" w:rsidP="008550B5">
      <w:r w:rsidRPr="00E57D52">
        <w:t xml:space="preserve">( S.J.D. candidate, Georgetown University Law Center, “Retributive Abolitionism,” </w:t>
      </w:r>
      <w:proofErr w:type="spellStart"/>
      <w:r w:rsidRPr="00E57D52">
        <w:t>pg</w:t>
      </w:r>
      <w:proofErr w:type="spellEnd"/>
      <w:r w:rsidRPr="00E57D52">
        <w:t xml:space="preserve"> online @ </w:t>
      </w:r>
      <w:hyperlink r:id="rId116" w:history="1">
        <w:r w:rsidRPr="00E57D52">
          <w:rPr>
            <w:rStyle w:val="Hyperlink"/>
          </w:rPr>
          <w:t>https://www.bjcl.org/assets/files/24.2-Reznik.pdf</w:t>
        </w:r>
      </w:hyperlink>
      <w:r w:rsidRPr="00E57D52">
        <w:t xml:space="preserve"> //um-</w:t>
      </w:r>
      <w:proofErr w:type="spellStart"/>
      <w:r w:rsidRPr="00E57D52">
        <w:t>ef</w:t>
      </w:r>
      <w:proofErr w:type="spellEnd"/>
      <w:r w:rsidRPr="00E57D52">
        <w:t>)</w:t>
      </w:r>
    </w:p>
    <w:p w14:paraId="017C2708" w14:textId="62633795" w:rsidR="00B16B78" w:rsidRDefault="008550B5" w:rsidP="008550B5">
      <w:pPr>
        <w:rPr>
          <w:sz w:val="16"/>
        </w:rPr>
      </w:pPr>
      <w:r w:rsidRPr="00F1357E">
        <w:rPr>
          <w:rStyle w:val="StyleUnderline"/>
        </w:rPr>
        <w:t xml:space="preserve">Mayson's analytical insights have strategic implications: "[T]o categorize CCs as punishment is to bestow a presumption of </w:t>
      </w:r>
      <w:r w:rsidRPr="00E57D52">
        <w:rPr>
          <w:rStyle w:val="Emphasis"/>
        </w:rPr>
        <w:t>permissibility</w:t>
      </w:r>
      <w:r w:rsidRPr="008550B5">
        <w:rPr>
          <w:sz w:val="16"/>
        </w:rPr>
        <w:t>." 276</w:t>
      </w:r>
      <w:r w:rsidRPr="00F1357E">
        <w:rPr>
          <w:rStyle w:val="StyleUnderline"/>
        </w:rPr>
        <w:t>A post-sentencing civil measure that is found to be punitive would be ruled unconstitutional</w:t>
      </w:r>
      <w:r w:rsidRPr="008550B5">
        <w:rPr>
          <w:sz w:val="16"/>
        </w:rPr>
        <w:t xml:space="preserve">, </w:t>
      </w:r>
      <w:r w:rsidRPr="00F1357E">
        <w:rPr>
          <w:rStyle w:val="StyleUnderline"/>
        </w:rPr>
        <w:t>but courts typically accept a defense of a given statute as regulatory</w:t>
      </w:r>
      <w:r w:rsidRPr="008550B5">
        <w:rPr>
          <w:sz w:val="16"/>
        </w:rPr>
        <w:t xml:space="preserve">. The measure only faces, and likely passes, rational basis review. 277Hence, </w:t>
      </w:r>
      <w:r w:rsidRPr="00F1357E">
        <w:rPr>
          <w:rStyle w:val="Emphasis"/>
        </w:rPr>
        <w:t>Mayson defines CCs as "constitutionally immune,"</w:t>
      </w:r>
      <w:r w:rsidRPr="008550B5">
        <w:rPr>
          <w:sz w:val="16"/>
        </w:rPr>
        <w:t xml:space="preserve"> </w:t>
      </w:r>
      <w:r w:rsidRPr="00F1357E">
        <w:rPr>
          <w:rStyle w:val="Emphasis"/>
        </w:rPr>
        <w:t>278</w:t>
      </w:r>
      <w:r>
        <w:rPr>
          <w:rStyle w:val="Emphasis"/>
        </w:rPr>
        <w:t xml:space="preserve"> </w:t>
      </w:r>
      <w:r w:rsidRPr="00F1357E">
        <w:rPr>
          <w:rStyle w:val="Emphasis"/>
        </w:rPr>
        <w:t>and advocates instead taking a civil route</w:t>
      </w:r>
      <w:r w:rsidRPr="008550B5">
        <w:rPr>
          <w:sz w:val="16"/>
        </w:rPr>
        <w:t xml:space="preserve">. </w:t>
      </w:r>
      <w:r w:rsidRPr="00F1357E">
        <w:rPr>
          <w:rStyle w:val="Emphasis"/>
        </w:rPr>
        <w:t>Predictive, regulatory CCs should be subjected to rigorous civil oversight</w:t>
      </w:r>
      <w:r w:rsidRPr="008550B5">
        <w:rPr>
          <w:sz w:val="16"/>
        </w:rPr>
        <w:t xml:space="preserve">, [*180] </w:t>
      </w:r>
      <w:r w:rsidRPr="00F1357E">
        <w:rPr>
          <w:rStyle w:val="StyleUnderline"/>
        </w:rPr>
        <w:t>once ex-offenders are recognized as a discrete minority--a caste--which warrants strict scrutiny of offending legislation</w:t>
      </w:r>
      <w:r w:rsidRPr="008550B5">
        <w:rPr>
          <w:sz w:val="16"/>
        </w:rPr>
        <w:t xml:space="preserve">. 279 </w:t>
      </w:r>
      <w:r w:rsidRPr="00F1357E">
        <w:rPr>
          <w:rStyle w:val="Emphasis"/>
        </w:rPr>
        <w:t>Mayson's proposal runs the risk of legitimating the felonry by fortifying how it is conceptualized as a caste</w:t>
      </w:r>
      <w:r w:rsidRPr="008550B5">
        <w:rPr>
          <w:sz w:val="16"/>
        </w:rPr>
        <w:t xml:space="preserve">. </w:t>
      </w:r>
      <w:r w:rsidRPr="00F1357E">
        <w:rPr>
          <w:rStyle w:val="Emphasis"/>
        </w:rPr>
        <w:t>Can courts otherwise take stock of CCs, within the sentencing process?</w:t>
      </w:r>
      <w:r w:rsidRPr="008550B5">
        <w:rPr>
          <w:sz w:val="16"/>
        </w:rPr>
        <w:t xml:space="preserve"> Ostensibly, </w:t>
      </w:r>
      <w:r w:rsidRPr="00F1357E">
        <w:rPr>
          <w:rStyle w:val="StyleUnderline"/>
        </w:rPr>
        <w:t>a determination that a CC is only a civil liability would mean that it has</w:t>
      </w:r>
      <w:r w:rsidRPr="00E57D52">
        <w:rPr>
          <w:rStyle w:val="Emphasis"/>
        </w:rPr>
        <w:t xml:space="preserve"> "no place in the punishment calculus."</w:t>
      </w:r>
      <w:r w:rsidRPr="008550B5">
        <w:rPr>
          <w:sz w:val="16"/>
        </w:rPr>
        <w:t xml:space="preserve">           280Nevertheless</w:t>
      </w:r>
      <w:r w:rsidRPr="00F1357E">
        <w:rPr>
          <w:rStyle w:val="Emphasis"/>
        </w:rPr>
        <w:t>, that a conviction opens the floodgates of CCs has not gone unnoticed</w:t>
      </w:r>
      <w:r w:rsidRPr="008550B5">
        <w:rPr>
          <w:sz w:val="16"/>
        </w:rPr>
        <w:t xml:space="preserve">. </w:t>
      </w:r>
      <w:r w:rsidRPr="00F1357E">
        <w:rPr>
          <w:rStyle w:val="StyleUnderline"/>
        </w:rPr>
        <w:t xml:space="preserve">There is currently a </w:t>
      </w:r>
      <w:r w:rsidRPr="00E57D52">
        <w:rPr>
          <w:rStyle w:val="Emphasis"/>
        </w:rPr>
        <w:t>circuit split</w:t>
      </w:r>
      <w:r w:rsidRPr="00F1357E">
        <w:rPr>
          <w:rStyle w:val="StyleUnderline"/>
        </w:rPr>
        <w:t xml:space="preserve"> on the question</w:t>
      </w:r>
      <w:r w:rsidRPr="008550B5">
        <w:rPr>
          <w:sz w:val="16"/>
        </w:rPr>
        <w:t xml:space="preserve"> </w:t>
      </w:r>
      <w:r w:rsidRPr="00E57D52">
        <w:rPr>
          <w:rStyle w:val="StyleUnderline"/>
        </w:rPr>
        <w:t>of whether a sentencing court should consider CCs when determining the proper sentence</w:t>
      </w:r>
      <w:r w:rsidRPr="008550B5">
        <w:rPr>
          <w:sz w:val="16"/>
        </w:rPr>
        <w:t xml:space="preserve">.           281Some Federal Courts of Appeals provide a negative answer. They have ruled that CCs are impermissible factors because they are external to a just and proportional relation between offense and punishment, topped by a concern for the formation of a "middle class sentencing discount," since taking CCs into account would alleviate hardships for those who have "more to lose."           282Other Courts answer affirmatively. </w:t>
      </w:r>
      <w:r w:rsidRPr="00E57D52">
        <w:rPr>
          <w:rStyle w:val="StyleUnderline"/>
        </w:rPr>
        <w:t>They thus</w:t>
      </w:r>
      <w:r w:rsidRPr="008550B5">
        <w:rPr>
          <w:sz w:val="16"/>
        </w:rPr>
        <w:t xml:space="preserve"> </w:t>
      </w:r>
      <w:r w:rsidRPr="00E57D52">
        <w:rPr>
          <w:rStyle w:val="StyleUnderline"/>
        </w:rPr>
        <w:t>facilitate sentence mitigation</w:t>
      </w:r>
      <w:r w:rsidRPr="008550B5">
        <w:rPr>
          <w:sz w:val="16"/>
        </w:rPr>
        <w:t xml:space="preserve"> because CCs "</w:t>
      </w:r>
      <w:proofErr w:type="gramStart"/>
      <w:r w:rsidRPr="008550B5">
        <w:rPr>
          <w:sz w:val="16"/>
        </w:rPr>
        <w:t>bear[</w:t>
      </w:r>
      <w:proofErr w:type="gramEnd"/>
      <w:r w:rsidRPr="008550B5">
        <w:rPr>
          <w:sz w:val="16"/>
        </w:rPr>
        <w:t xml:space="preserve">] upon the concept of 'just punishment,'"           283particularly when applied to "poor, underprivileged defendant[s]."           284      </w:t>
      </w:r>
    </w:p>
    <w:p w14:paraId="13583D0D" w14:textId="3B2AE11B" w:rsidR="00AD1B56" w:rsidRDefault="00AD1B56" w:rsidP="008550B5">
      <w:pPr>
        <w:rPr>
          <w:sz w:val="16"/>
        </w:rPr>
      </w:pPr>
    </w:p>
    <w:p w14:paraId="111F164D" w14:textId="77777777" w:rsidR="00D4362A" w:rsidRPr="0088203F" w:rsidRDefault="00D4362A" w:rsidP="00D4362A">
      <w:pPr>
        <w:pStyle w:val="Heading4"/>
      </w:pPr>
      <w:r w:rsidRPr="0088203F">
        <w:t xml:space="preserve">We meet --- CC’s are criminal and part of sentencing --- regardless of </w:t>
      </w:r>
      <w:proofErr w:type="gramStart"/>
      <w:r w:rsidRPr="0088203F">
        <w:t>whether or not</w:t>
      </w:r>
      <w:proofErr w:type="gramEnd"/>
      <w:r w:rsidRPr="0088203F">
        <w:t xml:space="preserve"> the plan regulates them </w:t>
      </w:r>
    </w:p>
    <w:p w14:paraId="70A74FD4" w14:textId="77777777" w:rsidR="00D4362A" w:rsidRPr="0088203F" w:rsidRDefault="00D4362A" w:rsidP="00D4362A"/>
    <w:p w14:paraId="5DAE5945" w14:textId="77777777" w:rsidR="00D4362A" w:rsidRPr="0088203F" w:rsidRDefault="00D4362A" w:rsidP="00D4362A">
      <w:pPr>
        <w:rPr>
          <w:rStyle w:val="Style13ptBold"/>
        </w:rPr>
      </w:pPr>
      <w:r>
        <w:rPr>
          <w:rStyle w:val="Style13ptBold"/>
        </w:rPr>
        <w:t>Murray ‘16</w:t>
      </w:r>
    </w:p>
    <w:p w14:paraId="04A3A395" w14:textId="77777777" w:rsidR="00D4362A" w:rsidRDefault="00D4362A" w:rsidP="00D4362A">
      <w:r>
        <w:t xml:space="preserve">(Abraham Freedman Fellow and Lecturer-in-Law, Temple University, Beasley School of Law; J.D., 2011, magna cum laude, Notre Dame Law School; B.A., 2008, Philosophy and Political Science, summa cum laude, Villanova University, “Prosecutorial Responsibility and Collateral Consequences,” 12 Stan. J.C.R. &amp; C.L. 213, </w:t>
      </w:r>
      <w:proofErr w:type="spellStart"/>
      <w:r>
        <w:t>pg</w:t>
      </w:r>
      <w:proofErr w:type="spellEnd"/>
      <w:r>
        <w:t xml:space="preserve"> lexis//um-</w:t>
      </w:r>
      <w:proofErr w:type="spellStart"/>
      <w:r>
        <w:t>ef</w:t>
      </w:r>
      <w:proofErr w:type="spellEnd"/>
      <w:r>
        <w:t>)</w:t>
      </w:r>
    </w:p>
    <w:p w14:paraId="421128C9" w14:textId="0DED7CEB" w:rsidR="00D85797" w:rsidRPr="00D85797" w:rsidRDefault="00D4362A" w:rsidP="00D85797">
      <w:pPr>
        <w:rPr>
          <w:sz w:val="12"/>
        </w:rPr>
      </w:pPr>
      <w:r w:rsidRPr="00CC2F9D">
        <w:rPr>
          <w:rStyle w:val="StyleUnderline"/>
        </w:rPr>
        <w:t>Collateral Consequences</w:t>
      </w:r>
      <w:r w:rsidRPr="0088203F">
        <w:rPr>
          <w:sz w:val="12"/>
        </w:rPr>
        <w:t xml:space="preserve"> as Punishment The consequences </w:t>
      </w:r>
      <w:r w:rsidRPr="00CC2F9D">
        <w:rPr>
          <w:rStyle w:val="StyleUnderline"/>
        </w:rPr>
        <w:t>that result from conviction are "part and parcel of the criminal case."</w:t>
      </w:r>
      <w:r w:rsidRPr="0088203F">
        <w:rPr>
          <w:sz w:val="12"/>
        </w:rPr>
        <w:t xml:space="preserve"> 61 They can include the loss of civil rights related to citizenship, property, and family law, as well as the loss of occupational licenses, public benefits, and other opportunities. 62 Employment barriers to reentry are perhaps the most significant on an individual and societal level. Many states maintain statutes containing lifetime bans from certain positions as a result of certain convictions, 63 as well as regulations that allow licensing boards to reject ex- [*224] offenders automatically without considering whether the individual has been rehabilitated. 64 As mentioned elsewhere, the existence of federal and state statutes that mandate background checks can turn conviction of the wrong charge into a crippling scarlet letter. 65 Convictions can also have drastic effects on ex-</w:t>
      </w:r>
      <w:proofErr w:type="gramStart"/>
      <w:r w:rsidRPr="0088203F">
        <w:rPr>
          <w:sz w:val="12"/>
        </w:rPr>
        <w:t>offenders'</w:t>
      </w:r>
      <w:proofErr w:type="gramEnd"/>
      <w:r w:rsidRPr="0088203F">
        <w:rPr>
          <w:sz w:val="12"/>
        </w:rPr>
        <w:t xml:space="preserve"> access to public benefits and privileges. Many find themselves ineligible for unemployment benefits, 66 disqualified from welfare, 67 cash assistance, 68 and medical benefits. 69 Eviction can result from a conviction 70 and other custodial privileges can be adversely affected, thereby negatively impacting families and other relationships. Even eligibility for one's children could be at risk. 71 Coupling employment barriers with lost opportunities for public assistance means that many ex-offenders struggle to land on their feet. These consequences, and many more, have been mentioned and detailed in a host of other locations, 72 including as a result of the Uniform Collateral Consequences of Conviction Act, 73 which led to the ABA's project of cataloguing consequences for each state jurisdiction. 74 As such, this Article does not dwell on their existence, other than to recognize that they have increased significantly since the penal goals of the criminal justice system [*225] shifted in the 1980s, that they are a creature of the ebb and flow of political will, 75 and that the current law contains several inconsistencies about whether they are criminal or civil 76 and direct or indirect. 77 Hence, it concedes that legislative redress regarding the volume of consequences is unlikely and that definitional lines are largely going to remain arbitrary. 78 As a result, this section argues that </w:t>
      </w:r>
      <w:r w:rsidRPr="00CC2F9D">
        <w:rPr>
          <w:rStyle w:val="StyleUnderline"/>
        </w:rPr>
        <w:t>such consequences should be properly understood as a mode of punishment given that they incapacitate in effect</w:t>
      </w:r>
      <w:r w:rsidRPr="0088203F">
        <w:rPr>
          <w:sz w:val="12"/>
        </w:rPr>
        <w:t xml:space="preserve">, 79 </w:t>
      </w:r>
      <w:r w:rsidRPr="00CC2F9D">
        <w:rPr>
          <w:rStyle w:val="StyleUnderline"/>
        </w:rPr>
        <w:t>and therefore should be</w:t>
      </w:r>
      <w:r w:rsidRPr="0088203F">
        <w:rPr>
          <w:sz w:val="12"/>
        </w:rPr>
        <w:t xml:space="preserve"> [*226] </w:t>
      </w:r>
      <w:r w:rsidRPr="00CC2F9D">
        <w:rPr>
          <w:rStyle w:val="Emphasis"/>
        </w:rPr>
        <w:t>considered part of the criminal sentence that a defendant receives from a guilty plea</w:t>
      </w:r>
      <w:r w:rsidRPr="0088203F">
        <w:rPr>
          <w:sz w:val="12"/>
        </w:rPr>
        <w:t xml:space="preserve">. ***Footnote 79 Begins 79 </w:t>
      </w:r>
      <w:r w:rsidRPr="0088203F">
        <w:rPr>
          <w:rStyle w:val="StyleUnderline"/>
        </w:rPr>
        <w:t>I am mindful that while most scholars recognize collateral consequences as a form of punishment, not all agree with this understanding. See generally Mayson</w:t>
      </w:r>
      <w:r w:rsidRPr="0088203F">
        <w:rPr>
          <w:sz w:val="12"/>
        </w:rPr>
        <w:t xml:space="preserve">, supra note 17 (arguing for understanding collateral consequences as regulatory measures assessing future risk rather than penal measures involving judgments of culpability). Mayson's argument is compelling, especially given that many collateral consequences restrict the future behavior of ex-offenders. Id. at 303 ("Most CCs purport to control and restrain people not for what they have done, but for what they might do."). Collateral consequences engage in "targeted incapacitation." Id. at 321 (emphasis omitted). </w:t>
      </w:r>
      <w:r w:rsidRPr="0088203F">
        <w:rPr>
          <w:rStyle w:val="StyleUnderline"/>
        </w:rPr>
        <w:t>But, as Mayson concedes, regardless of whether collateral consequences are understood as punitive or preventive, they result in social exclusion, both in terms of stigma and opportunities</w:t>
      </w:r>
      <w:r w:rsidRPr="0088203F">
        <w:rPr>
          <w:sz w:val="12"/>
        </w:rPr>
        <w:t>. Id. ("Other preventive measures operate through direct physical control, without regard to a person's power to choose… …</w:t>
      </w:r>
      <w:proofErr w:type="gramStart"/>
      <w:r w:rsidRPr="0088203F">
        <w:rPr>
          <w:sz w:val="12"/>
        </w:rPr>
        <w:t xml:space="preserve"> ..</w:t>
      </w:r>
      <w:proofErr w:type="gramEnd"/>
      <w:r w:rsidRPr="0088203F">
        <w:rPr>
          <w:sz w:val="12"/>
        </w:rPr>
        <w:t xml:space="preserve">These are </w:t>
      </w:r>
      <w:proofErr w:type="spellStart"/>
      <w:r w:rsidRPr="0088203F">
        <w:rPr>
          <w:sz w:val="12"/>
        </w:rPr>
        <w:t>incapacitative</w:t>
      </w:r>
      <w:proofErr w:type="spellEnd"/>
      <w:r w:rsidRPr="0088203F">
        <w:rPr>
          <w:sz w:val="12"/>
        </w:rPr>
        <w:t xml:space="preserve">."). </w:t>
      </w:r>
      <w:r w:rsidRPr="0088203F">
        <w:rPr>
          <w:rStyle w:val="Emphasis"/>
        </w:rPr>
        <w:t>In this sense, they inherently incapacitate, retaining a punitive</w:t>
      </w:r>
      <w:r w:rsidRPr="0088203F">
        <w:rPr>
          <w:sz w:val="12"/>
        </w:rPr>
        <w:t xml:space="preserve"> (and arguably retributive) </w:t>
      </w:r>
      <w:r w:rsidRPr="0088203F">
        <w:rPr>
          <w:rStyle w:val="Emphasis"/>
        </w:rPr>
        <w:t>component and justifying consideration as part of the sentence</w:t>
      </w:r>
      <w:r w:rsidRPr="0088203F">
        <w:rPr>
          <w:sz w:val="12"/>
        </w:rPr>
        <w:t xml:space="preserve">. </w:t>
      </w:r>
      <w:r w:rsidRPr="00CC2F9D">
        <w:rPr>
          <w:rStyle w:val="StyleUnderline"/>
        </w:rPr>
        <w:t xml:space="preserve">Legal history supports associating long-term collateral consequences with the </w:t>
      </w:r>
      <w:r w:rsidRPr="0088203F">
        <w:rPr>
          <w:rStyle w:val="Emphasis"/>
        </w:rPr>
        <w:t>criminal sentence</w:t>
      </w:r>
      <w:r w:rsidRPr="0088203F">
        <w:rPr>
          <w:sz w:val="12"/>
        </w:rPr>
        <w:t xml:space="preserve"> that immediately alters liberty. </w:t>
      </w:r>
      <w:r w:rsidRPr="00CC2F9D">
        <w:rPr>
          <w:rStyle w:val="Emphasis"/>
        </w:rPr>
        <w:t>Such penalties historically have been associated with criminal conviction</w:t>
      </w:r>
      <w:r w:rsidRPr="0088203F">
        <w:rPr>
          <w:sz w:val="12"/>
        </w:rPr>
        <w:t xml:space="preserve">, whether it was Greek infamy, outlawry, or the Anglo-American "civil death." 80 Courts formally recognized civil death as punishment in the first century after the Constitution: "disabilities … imposed upon the convict" are "part of the punishment … ." 81 A New York court referred to the panoply of penalties following a felony conviction as allowing the offender to be "regarded as dead in law." 82 </w:t>
      </w:r>
      <w:r w:rsidRPr="00CC2F9D">
        <w:rPr>
          <w:rStyle w:val="StyleUnderline"/>
        </w:rPr>
        <w:t>And the Supreme Court referenced becoming "infamous, and disenfranchised" as "part of the punishment" following a felony conviction</w:t>
      </w:r>
      <w:r w:rsidRPr="0088203F">
        <w:rPr>
          <w:sz w:val="12"/>
        </w:rPr>
        <w:t xml:space="preserve">. 83 That line of reasoning followed common law methods of punishment in England and in the early American colonies and states. 84 In short, </w:t>
      </w:r>
      <w:r w:rsidRPr="00CC2F9D">
        <w:rPr>
          <w:rStyle w:val="StyleUnderline"/>
        </w:rPr>
        <w:t>early American courts recognized how convictions resulted in the loss of status, and how that loss was properly understood as extended punishment for the crime committed</w:t>
      </w:r>
      <w:r w:rsidRPr="0088203F">
        <w:rPr>
          <w:sz w:val="12"/>
        </w:rPr>
        <w:t>. 85 In 1960, Associate Justice Clark revived this understanding, albeit as part of a dissenting opinion, when he referred to the law as treating convicted defendants as having a ""shattered character'</w:t>
      </w:r>
      <w:proofErr w:type="gramStart"/>
      <w:r w:rsidRPr="0088203F">
        <w:rPr>
          <w:sz w:val="12"/>
        </w:rPr>
        <w:t>… .</w:t>
      </w:r>
      <w:proofErr w:type="gramEnd"/>
      <w:r w:rsidRPr="0088203F">
        <w:rPr>
          <w:sz w:val="12"/>
        </w:rPr>
        <w:t xml:space="preserve"> For the rest of your life, the United States and any State or locality where you travel or reside may impose, at any time, additional restrictions and limitations they deem warranted." 86 Although formal civil death, namely being "dead in the law," is less overt today, it arguably has returned in the form of the collateral consequences that automatically result from conviction or that are imposed as a matter of discretion. 87 As Professor Gabriel J. Chin has argued, "a new civil death is [*227] meted out to persons convicted of crimes in the form of a substantial and permanent change in legal status, operationalized by a network of collateral consequences." 88 That permanent change in status, like the process used to be, is a form of punishment because it operates to exclude the defendant from basic aspects of citizenship, including exercising some significant constitutional and civil rights. 89 In short, it incapacitates offenders, altering their ability to exercise otherwise available rights or to simply participate as a citizen. The punitive effect of such penalties is apparent. The loss of status stemming from conviction is magnified due to pervasive government regulation of many aspects of one's livelihood, ranging from family relations to employment opportunities, not to mention social capabilities such as the ability to travel. These impairments disproportionately fall on those convicted of minor crimes, often erasing or requiring years of training or monetary savings invested to return to the social baseline. 90 All of this leads to an incapacitation-like result: offenders are excluded from certain aspects of the community because their convictions render them less than whole citizens. Judicial recognition of such consequences as punishment has existed for the last century. Courts have recognized the effects of this new form of punishment, 91 although perhaps not with full understanding of the effect of such a classification. The Supreme Court has acknowledged the range of consequences associated with a conviction since the mid-twentieth century and suggested that imposition of such consequences is a state interest. 92 The Court also suggested that the Constitution's reference to attainder comprehends collateral consequences as punishment. 93 In Turner v. </w:t>
      </w:r>
      <w:proofErr w:type="spellStart"/>
      <w:r w:rsidRPr="0088203F">
        <w:rPr>
          <w:sz w:val="12"/>
        </w:rPr>
        <w:t>Safley</w:t>
      </w:r>
      <w:proofErr w:type="spellEnd"/>
      <w:r w:rsidRPr="0088203F">
        <w:rPr>
          <w:sz w:val="12"/>
        </w:rPr>
        <w:t xml:space="preserve">, the Court referred to denying marital rights to inmates as a "punishment for crime." 94 This judicial recognition occurred long before the Court's statements in Padilla, and includes the basic statement that convictions result in "opprobrium and [*228] stigma." 95 Such recognition also came in some of the Court's statements in major criminal procedure cases involving expansion of the right to counsel and jury trials for misdemeanor charges. 96 This judicial recognition of collateral consequences as punishment has led some commentators to lean heavily on the judicial branch when attempting to alleviate their effect. These commendable efforts have led to developments in the ABA Collateral Sanctions Standards, which call for judicial notice of consequences and consideration of such consequences when judges determine the sentence. 97 And the same standards call for relief mechanisms post-sentence. 98 These standards recognize the connection between the judicial and sentencing function, thereby implicitly recognizing that collateral consequences are a form of punishment exacted by the state. Incorporation of these goals and objectives into daily courtroom practice is jurisdiction-specific to date. 99 Recent proposals for the Model Penal Code following some state enactments suggest that collateral consequences need to be managed as part of the overall criminal case. 100 The proposals include indexing consequences for easier judicial accessibility, notice "on the record" of automatic consequences, the ability of judges to grant relief from specific, mandatory consequences at [*229] and after sentencing, and certificates that restore rights after a period of law-abiding conduct. 101 But the MPC proposals also place the burden on the defendant attempting to prove necessity for relief </w:t>
      </w:r>
      <w:proofErr w:type="gramStart"/>
      <w:r w:rsidRPr="0088203F">
        <w:rPr>
          <w:sz w:val="12"/>
        </w:rPr>
        <w:t>pretty high</w:t>
      </w:r>
      <w:proofErr w:type="gramEnd"/>
      <w:r w:rsidRPr="0088203F">
        <w:rPr>
          <w:sz w:val="12"/>
        </w:rPr>
        <w:t xml:space="preserve">: "clear and convincing" evidence is required. 102 The above discussion only touches the surface of the expansive array of literature that demonstrates that </w:t>
      </w:r>
      <w:r w:rsidRPr="0088203F">
        <w:rPr>
          <w:rStyle w:val="StyleUnderline"/>
        </w:rPr>
        <w:t xml:space="preserve">classifying collateral consequences as outside the four corners of the sentence is inaccurate from a </w:t>
      </w:r>
      <w:proofErr w:type="spellStart"/>
      <w:r w:rsidRPr="0088203F">
        <w:rPr>
          <w:rStyle w:val="StyleUnderline"/>
        </w:rPr>
        <w:t>penalogical</w:t>
      </w:r>
      <w:proofErr w:type="spellEnd"/>
      <w:r w:rsidRPr="0088203F">
        <w:rPr>
          <w:rStyle w:val="StyleUnderline"/>
        </w:rPr>
        <w:t xml:space="preserve"> perspective</w:t>
      </w:r>
      <w:r w:rsidRPr="0088203F">
        <w:rPr>
          <w:sz w:val="12"/>
        </w:rPr>
        <w:t xml:space="preserve">. 103 </w:t>
      </w:r>
      <w:r w:rsidRPr="0088203F">
        <w:rPr>
          <w:rStyle w:val="StyleUnderline"/>
        </w:rPr>
        <w:t>The legal history relating to "civil death" measures is repeating itself with modern day collateral sanctions; courts, including the Supreme Court have recognized the punishment-like nature of such consequences</w:t>
      </w:r>
      <w:r w:rsidRPr="0088203F">
        <w:rPr>
          <w:sz w:val="12"/>
        </w:rPr>
        <w:t xml:space="preserve">, and the actual effect of such consequences is incapacitation-like. </w:t>
      </w:r>
      <w:r w:rsidRPr="0088203F">
        <w:rPr>
          <w:rStyle w:val="StyleUnderline"/>
        </w:rPr>
        <w:t>Because these collateral consequences resemble punishment, they should be considered part of the sentence offered as part of a plea deal and orchestrated by the prosecution</w:t>
      </w:r>
      <w:r w:rsidRPr="0088203F">
        <w:rPr>
          <w:sz w:val="12"/>
        </w:rPr>
        <w:t xml:space="preserve">. And just as the exculpatory evidence that prosecutors possess is relevant to the defendant's actions during trial, notice of all aspects of the sentence, which the prosecution seeks to enforce as a representative of the state, might inform a defendant's actions with respect to plea-bargaining. The next part will therefore discuss current constitutional jurisprudence surrounding disclosure obligations for the prosecution and defense in a variety of legal contexts, with </w:t>
      </w:r>
      <w:proofErr w:type="gramStart"/>
      <w:r w:rsidRPr="0088203F">
        <w:rPr>
          <w:sz w:val="12"/>
        </w:rPr>
        <w:t>particular attention</w:t>
      </w:r>
      <w:proofErr w:type="gramEnd"/>
      <w:r w:rsidRPr="0088203F">
        <w:rPr>
          <w:sz w:val="12"/>
        </w:rPr>
        <w:t xml:space="preserve"> to constitutional obligations and the rules of professional responsibility.</w:t>
      </w:r>
    </w:p>
    <w:p w14:paraId="770AAA4A" w14:textId="1FAE0D9A" w:rsidR="00AD1B56" w:rsidRDefault="00AD1B56" w:rsidP="008550B5">
      <w:pPr>
        <w:rPr>
          <w:sz w:val="16"/>
        </w:rPr>
      </w:pPr>
    </w:p>
    <w:p w14:paraId="734C91BA" w14:textId="4ADAB0B7" w:rsidR="00AD1B56" w:rsidRDefault="00AD1B56" w:rsidP="00AD1B56">
      <w:pPr>
        <w:pStyle w:val="Heading3"/>
      </w:pPr>
      <w:r>
        <w:t>AT: T Civil =/= Criminal</w:t>
      </w:r>
    </w:p>
    <w:p w14:paraId="42BA3CD7" w14:textId="1E95E328" w:rsidR="00AD1B56" w:rsidRDefault="00AD1B56" w:rsidP="00AD1B56"/>
    <w:p w14:paraId="7738421B" w14:textId="7A7D8D26" w:rsidR="00AD1B56" w:rsidRDefault="00AD1B56" w:rsidP="00AD1B56">
      <w:pPr>
        <w:pStyle w:val="Heading4"/>
      </w:pPr>
      <w:r>
        <w:t xml:space="preserve">The courts treat them as a hybrid, and literature base treats them as criminal --- no ground or predictability </w:t>
      </w:r>
      <w:proofErr w:type="spellStart"/>
      <w:r>
        <w:t>disads</w:t>
      </w:r>
      <w:proofErr w:type="spellEnd"/>
    </w:p>
    <w:p w14:paraId="3D9CF785" w14:textId="77777777" w:rsidR="00AD1B56" w:rsidRPr="00AD1B56" w:rsidRDefault="00AD1B56" w:rsidP="00AD1B56"/>
    <w:p w14:paraId="37CE473C" w14:textId="77777777" w:rsidR="00AD1B56" w:rsidRDefault="00AD1B56" w:rsidP="00AD1B56">
      <w:pPr>
        <w:rPr>
          <w:rStyle w:val="Style13ptBold"/>
        </w:rPr>
      </w:pPr>
      <w:r>
        <w:rPr>
          <w:rStyle w:val="Style13ptBold"/>
        </w:rPr>
        <w:t>Ewald ‘12</w:t>
      </w:r>
    </w:p>
    <w:p w14:paraId="4F3FB9BE" w14:textId="45872B91" w:rsidR="00AD1B56" w:rsidRDefault="00AD1B56" w:rsidP="00AD1B56">
      <w:r w:rsidRPr="0012468B">
        <w:t>(Alec,</w:t>
      </w:r>
      <w:r>
        <w:t xml:space="preserve"> Associate Professor American Politics and Constitutional Law. </w:t>
      </w:r>
      <w:r w:rsidRPr="0012468B">
        <w:t>University of Vermont,</w:t>
      </w:r>
      <w:r>
        <w:t xml:space="preserve"> Current research is on the “collateral consequences” of criminal convictions </w:t>
      </w:r>
      <w:r w:rsidRPr="0012468B">
        <w:t>“Collateral Consequences</w:t>
      </w:r>
      <w:r>
        <w:t xml:space="preserve"> </w:t>
      </w:r>
      <w:r w:rsidRPr="0012468B">
        <w:t xml:space="preserve">in the American States,” </w:t>
      </w:r>
      <w:r>
        <w:t xml:space="preserve">SOCIAL SCIENCE QUARTERLY, </w:t>
      </w:r>
      <w:proofErr w:type="spellStart"/>
      <w:r w:rsidRPr="0012468B">
        <w:t>pg</w:t>
      </w:r>
      <w:proofErr w:type="spellEnd"/>
      <w:r w:rsidRPr="0012468B">
        <w:t xml:space="preserve"> online @ SSRN //um-</w:t>
      </w:r>
      <w:proofErr w:type="spellStart"/>
      <w:r w:rsidRPr="0012468B">
        <w:t>ef</w:t>
      </w:r>
      <w:proofErr w:type="spellEnd"/>
      <w:r w:rsidRPr="0012468B">
        <w:t>)</w:t>
      </w:r>
    </w:p>
    <w:p w14:paraId="2F2B000F" w14:textId="5241D111" w:rsidR="00AD1B56" w:rsidRPr="00FB3C0F" w:rsidRDefault="00AD1B56" w:rsidP="008550B5">
      <w:pPr>
        <w:rPr>
          <w:sz w:val="8"/>
        </w:rPr>
      </w:pPr>
      <w:r w:rsidRPr="00655BD0">
        <w:rPr>
          <w:sz w:val="8"/>
        </w:rPr>
        <w:t xml:space="preserve">As noted above, most collateral sanctions are formally not “punishments” at all. Critics have assailed the legal distinction between collateral and “direct” (i.e., explicitly punitive) sanctions (Roberts, 2008), and </w:t>
      </w:r>
      <w:r w:rsidRPr="00AD1B56">
        <w:rPr>
          <w:rStyle w:val="StyleUnderline"/>
        </w:rPr>
        <w:t>the Supreme Court’s</w:t>
      </w:r>
      <w:r>
        <w:rPr>
          <w:rStyle w:val="StyleUnderline"/>
        </w:rPr>
        <w:t xml:space="preserve"> </w:t>
      </w:r>
      <w:r w:rsidRPr="00AD1B56">
        <w:rPr>
          <w:rStyle w:val="StyleUnderline"/>
        </w:rPr>
        <w:t>2010 Padilla decision effectively converted deportation from a collateral sanction to a direct one</w:t>
      </w:r>
      <w:r w:rsidRPr="00655BD0">
        <w:rPr>
          <w:sz w:val="8"/>
        </w:rPr>
        <w:t xml:space="preserve">. But while </w:t>
      </w:r>
      <w:r w:rsidRPr="00AD1B56">
        <w:rPr>
          <w:rStyle w:val="Emphasis"/>
        </w:rPr>
        <w:t>the occasional court notes that a restriction like</w:t>
      </w:r>
      <w:r>
        <w:rPr>
          <w:rStyle w:val="Emphasis"/>
        </w:rPr>
        <w:t xml:space="preserve"> </w:t>
      </w:r>
      <w:r w:rsidRPr="00AD1B56">
        <w:rPr>
          <w:rStyle w:val="Emphasis"/>
        </w:rPr>
        <w:t>disenfranchisement is a “potential hybrid” of criminal and civil law</w:t>
      </w:r>
      <w:r w:rsidRPr="00655BD0">
        <w:rPr>
          <w:sz w:val="8"/>
        </w:rPr>
        <w:t xml:space="preserve"> (Simmons v. Galvin, U.S.D.C. Mass., 2007:37), in virtually all cases such restrictions remain formally civil rather than criminal in nature. This raises both theoretical and practical questions, particularly </w:t>
      </w:r>
      <w:proofErr w:type="gramStart"/>
      <w:r w:rsidRPr="00655BD0">
        <w:rPr>
          <w:sz w:val="8"/>
        </w:rPr>
        <w:t>with regard to</w:t>
      </w:r>
      <w:proofErr w:type="gramEnd"/>
      <w:r w:rsidRPr="00655BD0">
        <w:rPr>
          <w:sz w:val="8"/>
        </w:rPr>
        <w:t xml:space="preserve"> the behavior of prosecutors, defense attorneys, judges, and other criminal-justice officials. Nevertheless, not only the plain effects but also the declared purposes of such restrictions compel us to analyze them as punishments, at least in part. </w:t>
      </w:r>
      <w:r w:rsidRPr="00AD1B56">
        <w:rPr>
          <w:rStyle w:val="StyleUnderline"/>
        </w:rPr>
        <w:t>When collateral consequences do surface in public debates, their advocates</w:t>
      </w:r>
      <w:r>
        <w:rPr>
          <w:rStyle w:val="StyleUnderline"/>
        </w:rPr>
        <w:t xml:space="preserve"> </w:t>
      </w:r>
      <w:r w:rsidRPr="00AD1B56">
        <w:rPr>
          <w:rStyle w:val="StyleUnderline"/>
        </w:rPr>
        <w:t>most frequently choose law and order frames</w:t>
      </w:r>
      <w:r w:rsidRPr="00655BD0">
        <w:rPr>
          <w:sz w:val="8"/>
        </w:rPr>
        <w:t xml:space="preserve">, </w:t>
      </w:r>
      <w:r w:rsidRPr="00AD1B56">
        <w:rPr>
          <w:rStyle w:val="StyleUnderline"/>
        </w:rPr>
        <w:t>speaking of the need to punish</w:t>
      </w:r>
      <w:r>
        <w:rPr>
          <w:rStyle w:val="StyleUnderline"/>
        </w:rPr>
        <w:t xml:space="preserve"> </w:t>
      </w:r>
      <w:r w:rsidRPr="00AD1B56">
        <w:rPr>
          <w:rStyle w:val="StyleUnderline"/>
        </w:rPr>
        <w:t>offenders and prevent crime</w:t>
      </w:r>
      <w:r w:rsidRPr="00655BD0">
        <w:rPr>
          <w:sz w:val="8"/>
        </w:rPr>
        <w:t xml:space="preserve"> (Clegg, Conway, and Lee, 2006). The Department of Justice, in explaining the purposes of a federal collateral-sanctions program, described such restrictions as “alternatives to more traditional and often more expensive forms of punishment” (Bureau of Justice Assistance, 2002:4). Articulating the purpose of a restriction on student loans for people convicted of drug offenses, one congressman hoped it would “deter students from using and selling drugs” (Souder, 2000). </w:t>
      </w:r>
      <w:r w:rsidRPr="00AD1B56">
        <w:rPr>
          <w:rStyle w:val="StyleUnderline"/>
        </w:rPr>
        <w:t>One study concludes that the</w:t>
      </w:r>
      <w:r>
        <w:rPr>
          <w:rStyle w:val="StyleUnderline"/>
        </w:rPr>
        <w:t xml:space="preserve"> </w:t>
      </w:r>
      <w:r w:rsidRPr="00AD1B56">
        <w:rPr>
          <w:rStyle w:val="StyleUnderline"/>
        </w:rPr>
        <w:t>imposition of collateral consequences “has become an increasingly central</w:t>
      </w:r>
      <w:r>
        <w:rPr>
          <w:rStyle w:val="StyleUnderline"/>
        </w:rPr>
        <w:t xml:space="preserve"> </w:t>
      </w:r>
      <w:r w:rsidRPr="00AD1B56">
        <w:rPr>
          <w:rStyle w:val="StyleUnderline"/>
        </w:rPr>
        <w:t xml:space="preserve">purpose of </w:t>
      </w:r>
      <w:r w:rsidRPr="00AD1B56">
        <w:rPr>
          <w:rStyle w:val="Emphasis"/>
        </w:rPr>
        <w:t>the modern criminal process”</w:t>
      </w:r>
      <w:r w:rsidRPr="00AD1B56">
        <w:rPr>
          <w:rStyle w:val="StyleUnderline"/>
        </w:rPr>
        <w:t xml:space="preserve"> </w:t>
      </w:r>
      <w:r w:rsidRPr="00655BD0">
        <w:rPr>
          <w:sz w:val="8"/>
        </w:rPr>
        <w:t>(Chin and Holmes, 2002:699). This understanding gives rise to two distinct theoretical possibilities with relation to varying state collateral-consequences levels. Problem severity can drive policy innovation (</w:t>
      </w:r>
      <w:proofErr w:type="spellStart"/>
      <w:r w:rsidRPr="00655BD0">
        <w:rPr>
          <w:sz w:val="8"/>
        </w:rPr>
        <w:t>Karch</w:t>
      </w:r>
      <w:proofErr w:type="spellEnd"/>
      <w:r w:rsidRPr="00655BD0">
        <w:rPr>
          <w:sz w:val="8"/>
        </w:rPr>
        <w:t>, 2007:42). Seeking to punish criminals and reduce crime, then, legislators may create or stiffen collateral-consequences policies; such exclusions may be particularly appealing to legislators interested in appearing “tough on crime” because they are often very inexpensive in immediate fiscal terms.7 Second, we may expect states with more punitive ideologies and political cultures to deploy more restrictive</w:t>
      </w:r>
      <w:r w:rsidR="00655BD0" w:rsidRPr="00655BD0">
        <w:rPr>
          <w:sz w:val="8"/>
        </w:rPr>
        <w:t xml:space="preserve"> collateral-sanctions policies. Wide variation in state incarceration rates reflects multiple causes, including differing levels of state punitiveness (Sorensen and </w:t>
      </w:r>
      <w:proofErr w:type="spellStart"/>
      <w:r w:rsidR="00655BD0" w:rsidRPr="00655BD0">
        <w:rPr>
          <w:sz w:val="8"/>
        </w:rPr>
        <w:t>Stemen</w:t>
      </w:r>
      <w:proofErr w:type="spellEnd"/>
      <w:r w:rsidR="00655BD0" w:rsidRPr="00655BD0">
        <w:rPr>
          <w:sz w:val="8"/>
        </w:rPr>
        <w:t xml:space="preserve">, 2002:459–61; </w:t>
      </w:r>
      <w:proofErr w:type="spellStart"/>
      <w:r w:rsidR="00655BD0" w:rsidRPr="00655BD0">
        <w:rPr>
          <w:sz w:val="8"/>
        </w:rPr>
        <w:t>Griset</w:t>
      </w:r>
      <w:proofErr w:type="spellEnd"/>
      <w:r w:rsidR="00655BD0" w:rsidRPr="00655BD0">
        <w:rPr>
          <w:sz w:val="8"/>
        </w:rPr>
        <w:t xml:space="preserve">, 1999; Percival, 2009); previous research concludes that states with higher incarceration rates are less likely to extend social welfare benefits, including to drug offenders (Beckett and Western, 2001; Owens and Smith, 2009). But state punitiveness has proven difficult to capture and measure (Smith, 2004; Miller and </w:t>
      </w:r>
      <w:proofErr w:type="spellStart"/>
      <w:r w:rsidR="00655BD0" w:rsidRPr="00655BD0">
        <w:rPr>
          <w:sz w:val="8"/>
        </w:rPr>
        <w:t>Murakawa</w:t>
      </w:r>
      <w:proofErr w:type="spellEnd"/>
      <w:r w:rsidR="00655BD0" w:rsidRPr="00655BD0">
        <w:rPr>
          <w:sz w:val="8"/>
        </w:rPr>
        <w:t>, 2007). Incarceration rates are only imperfect indicators of state criminal-justice punitiveness; in the absence of a more robust measure, I employ incarceration rates here.</w:t>
      </w:r>
    </w:p>
    <w:p w14:paraId="07FFD1EC" w14:textId="6455114D" w:rsidR="00307837" w:rsidRDefault="00307837" w:rsidP="00307837">
      <w:pPr>
        <w:pStyle w:val="Heading4"/>
      </w:pPr>
      <w:r>
        <w:t>Confusing area that should be treated as criminal</w:t>
      </w:r>
    </w:p>
    <w:p w14:paraId="2E85929D" w14:textId="3EC0C0D8" w:rsidR="00307837" w:rsidRDefault="00307837" w:rsidP="00307837"/>
    <w:p w14:paraId="01D058B0" w14:textId="77777777" w:rsidR="00307837" w:rsidRDefault="00307837" w:rsidP="00307837">
      <w:pPr>
        <w:rPr>
          <w:rStyle w:val="Style13ptBold"/>
        </w:rPr>
      </w:pPr>
      <w:r>
        <w:rPr>
          <w:rStyle w:val="Style13ptBold"/>
        </w:rPr>
        <w:t>Ewald ‘12</w:t>
      </w:r>
    </w:p>
    <w:p w14:paraId="03B2EA3A" w14:textId="2BBBE707" w:rsidR="00307837" w:rsidRDefault="00307837" w:rsidP="00307837">
      <w:r w:rsidRPr="0012468B">
        <w:t>(Alec,</w:t>
      </w:r>
      <w:r>
        <w:t xml:space="preserve"> Associate Professor American Politics and Constitutional Law. </w:t>
      </w:r>
      <w:r w:rsidRPr="0012468B">
        <w:t>University of Vermont,</w:t>
      </w:r>
      <w:r>
        <w:t xml:space="preserve"> Current research is on the “collateral consequences” of criminal convictions </w:t>
      </w:r>
      <w:r w:rsidRPr="0012468B">
        <w:t>“Collateral Consequences</w:t>
      </w:r>
      <w:r>
        <w:t xml:space="preserve"> </w:t>
      </w:r>
      <w:r w:rsidRPr="0012468B">
        <w:t xml:space="preserve">in the American States,” </w:t>
      </w:r>
      <w:r>
        <w:t xml:space="preserve">SOCIAL SCIENCE QUARTERLY, </w:t>
      </w:r>
      <w:proofErr w:type="spellStart"/>
      <w:r w:rsidRPr="0012468B">
        <w:t>pg</w:t>
      </w:r>
      <w:proofErr w:type="spellEnd"/>
      <w:r w:rsidRPr="0012468B">
        <w:t xml:space="preserve"> online @ SSRN //um-</w:t>
      </w:r>
      <w:proofErr w:type="spellStart"/>
      <w:r w:rsidRPr="0012468B">
        <w:t>ef</w:t>
      </w:r>
      <w:proofErr w:type="spellEnd"/>
      <w:r w:rsidRPr="0012468B">
        <w:t>)</w:t>
      </w:r>
    </w:p>
    <w:p w14:paraId="217441AC" w14:textId="675D1EF8" w:rsidR="00C555E9" w:rsidRPr="00FE2A88" w:rsidRDefault="00307837" w:rsidP="00C555E9">
      <w:pPr>
        <w:rPr>
          <w:sz w:val="12"/>
        </w:rPr>
      </w:pPr>
      <w:r w:rsidRPr="00307837">
        <w:rPr>
          <w:rStyle w:val="StyleUnderline"/>
        </w:rPr>
        <w:t>Collateral restrictions are part criminal-justice policy, part social policy</w:t>
      </w:r>
      <w:r w:rsidRPr="00FE2A88">
        <w:rPr>
          <w:sz w:val="12"/>
        </w:rPr>
        <w:t xml:space="preserve">. Their purposes are often not clearly articulated, either in legal texts or the sparse legislative and bureaucratic records that accompany them. One person who has studied such laws closely observes that many state and federal collateral consequences “are passed without any kind of significant debate in the legislature,” often included in massive budget bills (New York State Judicial Institute, 2006:742). Though they certainly influence the lives of people engaged in the criminal-justice system, </w:t>
      </w:r>
      <w:r w:rsidRPr="00307837">
        <w:rPr>
          <w:rStyle w:val="StyleUnderline"/>
        </w:rPr>
        <w:t>these restrictions are often framed as civil</w:t>
      </w:r>
      <w:r w:rsidRPr="00FE2A88">
        <w:rPr>
          <w:sz w:val="12"/>
        </w:rPr>
        <w:t xml:space="preserve">, </w:t>
      </w:r>
      <w:r w:rsidRPr="00307837">
        <w:rPr>
          <w:rStyle w:val="StyleUnderline"/>
        </w:rPr>
        <w:t>regulatory policies,</w:t>
      </w:r>
      <w:r w:rsidRPr="00FE2A88">
        <w:rPr>
          <w:sz w:val="12"/>
        </w:rPr>
        <w:t xml:space="preserve"> rather than penal measures: meant to assure that scarce public resources such as student loan funds or welfare benefits, for example, go to the most “deserving” citizens, or aimed at enhancing public safety rather than at punishing an offender. </w:t>
      </w:r>
      <w:r w:rsidRPr="00307837">
        <w:rPr>
          <w:rStyle w:val="Emphasis"/>
        </w:rPr>
        <w:t>Judicial interpretations of this mixed</w:t>
      </w:r>
      <w:r>
        <w:rPr>
          <w:rStyle w:val="Emphasis"/>
        </w:rPr>
        <w:t xml:space="preserve"> </w:t>
      </w:r>
      <w:r w:rsidRPr="00307837">
        <w:rPr>
          <w:rStyle w:val="Emphasis"/>
        </w:rPr>
        <w:t>civil/criminal character have been uneven</w:t>
      </w:r>
      <w:r w:rsidRPr="00FE2A88">
        <w:rPr>
          <w:sz w:val="12"/>
        </w:rPr>
        <w:t xml:space="preserve">, but U.S. courts have generally refused to reclassify nominally “collateral” restrictions as punishments (Students for Sensible Drug Policy Foundation v. Spellings, U.S.C.A. 8th Cir., 2008). </w:t>
      </w:r>
      <w:r w:rsidRPr="00307837">
        <w:rPr>
          <w:rStyle w:val="StyleUnderline"/>
        </w:rPr>
        <w:t>This</w:t>
      </w:r>
      <w:r>
        <w:rPr>
          <w:rStyle w:val="StyleUnderline"/>
        </w:rPr>
        <w:t xml:space="preserve"> </w:t>
      </w:r>
      <w:r w:rsidRPr="00307837">
        <w:rPr>
          <w:rStyle w:val="StyleUnderline"/>
        </w:rPr>
        <w:t>character makes such laws an intriguing target for state-policy research</w:t>
      </w:r>
      <w:r w:rsidRPr="00FE2A88">
        <w:rPr>
          <w:sz w:val="12"/>
        </w:rPr>
        <w:t xml:space="preserve">. </w:t>
      </w:r>
      <w:r w:rsidRPr="00307837">
        <w:rPr>
          <w:rStyle w:val="StyleUnderline"/>
        </w:rPr>
        <w:t>Of</w:t>
      </w:r>
      <w:r>
        <w:rPr>
          <w:rStyle w:val="StyleUnderline"/>
        </w:rPr>
        <w:t xml:space="preserve"> </w:t>
      </w:r>
      <w:r w:rsidRPr="00307837">
        <w:rPr>
          <w:rStyle w:val="StyleUnderline"/>
        </w:rPr>
        <w:t>primary interest here</w:t>
      </w:r>
      <w:r w:rsidRPr="00FE2A88">
        <w:rPr>
          <w:sz w:val="12"/>
        </w:rPr>
        <w:t xml:space="preserve"> are three types of variables previous </w:t>
      </w:r>
      <w:r w:rsidRPr="00307837">
        <w:rPr>
          <w:rStyle w:val="StyleUnderline"/>
        </w:rPr>
        <w:t>scholarship suggests</w:t>
      </w:r>
      <w:r>
        <w:rPr>
          <w:rStyle w:val="StyleUnderline"/>
        </w:rPr>
        <w:t xml:space="preserve"> </w:t>
      </w:r>
      <w:r w:rsidRPr="00307837">
        <w:rPr>
          <w:rStyle w:val="StyleUnderline"/>
        </w:rPr>
        <w:t>can help explain variation in state rules relating to criminal justice</w:t>
      </w:r>
      <w:r w:rsidRPr="00FE2A88">
        <w:rPr>
          <w:sz w:val="12"/>
        </w:rPr>
        <w:t>, citizen welfare, and rights.</w:t>
      </w:r>
    </w:p>
    <w:p w14:paraId="04082919" w14:textId="77777777" w:rsidR="00C555E9" w:rsidRDefault="00C555E9" w:rsidP="00C555E9">
      <w:pPr>
        <w:pStyle w:val="Heading4"/>
      </w:pPr>
      <w:r>
        <w:t xml:space="preserve">And, even if you THINK they may only be PARTLY criminal, you should treat them as criminal because their impacts directly affect criminal justice policy </w:t>
      </w:r>
    </w:p>
    <w:p w14:paraId="481D4DBE" w14:textId="77777777" w:rsidR="00C555E9" w:rsidRDefault="00C555E9" w:rsidP="00C555E9"/>
    <w:p w14:paraId="273C4B91" w14:textId="77777777" w:rsidR="00C555E9" w:rsidRDefault="00C555E9" w:rsidP="00C555E9">
      <w:pPr>
        <w:rPr>
          <w:rStyle w:val="Style13ptBold"/>
        </w:rPr>
      </w:pPr>
      <w:r>
        <w:rPr>
          <w:rStyle w:val="Style13ptBold"/>
        </w:rPr>
        <w:t>Ewald and Smith ‘8</w:t>
      </w:r>
    </w:p>
    <w:p w14:paraId="4F2BAF79" w14:textId="77777777" w:rsidR="00C555E9" w:rsidRDefault="00C555E9" w:rsidP="00C555E9">
      <w:r w:rsidRPr="00A26226">
        <w:t>(Alec,</w:t>
      </w:r>
      <w:r>
        <w:t xml:space="preserve"> Associate Professor American Politics and Constitutional Law. University of Vermont, Current research is on the “collateral consequences” of criminal convictions</w:t>
      </w:r>
      <w:r w:rsidRPr="00A26226">
        <w:t xml:space="preserve"> and Marnie, THE JUSTICE SYSTEM JOURNAL, </w:t>
      </w:r>
      <w:proofErr w:type="spellStart"/>
      <w:r w:rsidRPr="00A26226">
        <w:t>pg</w:t>
      </w:r>
      <w:proofErr w:type="spellEnd"/>
      <w:r w:rsidRPr="00A26226">
        <w:t xml:space="preserve"> online @ https://www.ncsc.org/__data/assets/pdf_file/0022/16465/collateral-consequences.pdf //um-</w:t>
      </w:r>
      <w:proofErr w:type="spellStart"/>
      <w:r w:rsidRPr="00A26226">
        <w:t>ef</w:t>
      </w:r>
      <w:proofErr w:type="spellEnd"/>
      <w:r w:rsidRPr="00A26226">
        <w:t>)</w:t>
      </w:r>
    </w:p>
    <w:p w14:paraId="34B77791" w14:textId="40172F66" w:rsidR="00FB3C0F" w:rsidRPr="00FB3C0F" w:rsidRDefault="00C555E9" w:rsidP="00FB3C0F">
      <w:pPr>
        <w:rPr>
          <w:sz w:val="14"/>
        </w:rPr>
      </w:pPr>
      <w:r w:rsidRPr="00FB3C0F">
        <w:rPr>
          <w:sz w:val="14"/>
        </w:rPr>
        <w:t xml:space="preserve">But </w:t>
      </w:r>
      <w:r w:rsidRPr="00877D04">
        <w:rPr>
          <w:rStyle w:val="StyleUnderline"/>
        </w:rPr>
        <w:t>numerous sources have concluded that the deprivation of voting rights both</w:t>
      </w:r>
      <w:r w:rsidR="006A2AEC" w:rsidRPr="00877D04">
        <w:rPr>
          <w:rStyle w:val="StyleUnderline"/>
        </w:rPr>
        <w:t xml:space="preserve"> </w:t>
      </w:r>
      <w:r w:rsidRPr="00877D04">
        <w:rPr>
          <w:rStyle w:val="StyleUnderline"/>
        </w:rPr>
        <w:t xml:space="preserve">was and is essentially </w:t>
      </w:r>
      <w:r w:rsidRPr="00877D04">
        <w:rPr>
          <w:rStyle w:val="Emphasis"/>
        </w:rPr>
        <w:t>punitive in nature</w:t>
      </w:r>
      <w:r w:rsidRPr="00FB3C0F">
        <w:rPr>
          <w:sz w:val="14"/>
        </w:rPr>
        <w:t xml:space="preserve">. Historian Alexander </w:t>
      </w:r>
      <w:proofErr w:type="spellStart"/>
      <w:r w:rsidRPr="00FB3C0F">
        <w:rPr>
          <w:sz w:val="14"/>
        </w:rPr>
        <w:t>Keyssar</w:t>
      </w:r>
      <w:proofErr w:type="spellEnd"/>
      <w:r w:rsidRPr="00FB3C0F">
        <w:rPr>
          <w:sz w:val="14"/>
        </w:rPr>
        <w:t xml:space="preserve"> writes of</w:t>
      </w:r>
      <w:r w:rsidR="006A2AEC" w:rsidRPr="00FB3C0F">
        <w:rPr>
          <w:sz w:val="14"/>
        </w:rPr>
        <w:t xml:space="preserve"> </w:t>
      </w:r>
      <w:r w:rsidRPr="00FB3C0F">
        <w:rPr>
          <w:sz w:val="14"/>
        </w:rPr>
        <w:t>criminal-disenfranchisement law that “the punitive thrust clearly was present for</w:t>
      </w:r>
      <w:r w:rsidR="006A2AEC" w:rsidRPr="00FB3C0F">
        <w:rPr>
          <w:sz w:val="14"/>
        </w:rPr>
        <w:t xml:space="preserve"> </w:t>
      </w:r>
      <w:r w:rsidRPr="00FB3C0F">
        <w:rPr>
          <w:sz w:val="14"/>
        </w:rPr>
        <w:t>much of the nineteenth century” (</w:t>
      </w:r>
      <w:proofErr w:type="spellStart"/>
      <w:r w:rsidRPr="00FB3C0F">
        <w:rPr>
          <w:sz w:val="14"/>
        </w:rPr>
        <w:t>Keyssar</w:t>
      </w:r>
      <w:proofErr w:type="spellEnd"/>
      <w:r w:rsidRPr="00FB3C0F">
        <w:rPr>
          <w:sz w:val="14"/>
        </w:rPr>
        <w:t>, 2000:162-63). In 1995 a federal judge</w:t>
      </w:r>
      <w:r w:rsidR="006A2AEC" w:rsidRPr="00FB3C0F">
        <w:rPr>
          <w:sz w:val="14"/>
        </w:rPr>
        <w:t xml:space="preserve"> </w:t>
      </w:r>
      <w:r w:rsidRPr="00FB3C0F">
        <w:rPr>
          <w:sz w:val="14"/>
        </w:rPr>
        <w:t>described disenfranchisement as “the harshest civil sanction imposed by a democratic society,” an “axe” by which a person is “severed from the body politic and condemned to the lowest form of citizenship” (McLaughlin v. City of Canton, 1995, at</w:t>
      </w:r>
      <w:r w:rsidR="006A2AEC" w:rsidRPr="00FB3C0F">
        <w:rPr>
          <w:sz w:val="14"/>
        </w:rPr>
        <w:t xml:space="preserve"> </w:t>
      </w:r>
      <w:r w:rsidRPr="00FB3C0F">
        <w:rPr>
          <w:sz w:val="14"/>
        </w:rPr>
        <w:t xml:space="preserve">971). And </w:t>
      </w:r>
      <w:r w:rsidRPr="00877D04">
        <w:rPr>
          <w:rStyle w:val="StyleUnderline"/>
        </w:rPr>
        <w:t>contemporary supporters frequently describe disenfranchisement as “one</w:t>
      </w:r>
      <w:r w:rsidR="006A2AEC" w:rsidRPr="00877D04">
        <w:rPr>
          <w:rStyle w:val="StyleUnderline"/>
        </w:rPr>
        <w:t xml:space="preserve"> </w:t>
      </w:r>
      <w:r w:rsidRPr="00877D04">
        <w:rPr>
          <w:rStyle w:val="StyleUnderline"/>
        </w:rPr>
        <w:t>form of punishment”</w:t>
      </w:r>
      <w:r w:rsidRPr="00FB3C0F">
        <w:rPr>
          <w:sz w:val="14"/>
        </w:rPr>
        <w:t xml:space="preserve"> (Clegg, 2001:177), and “part of the sanction for a specified . . .</w:t>
      </w:r>
      <w:r w:rsidR="006A2AEC" w:rsidRPr="00FB3C0F">
        <w:rPr>
          <w:sz w:val="14"/>
        </w:rPr>
        <w:t xml:space="preserve"> </w:t>
      </w:r>
      <w:r w:rsidRPr="00FB3C0F">
        <w:rPr>
          <w:sz w:val="14"/>
        </w:rPr>
        <w:t>crime” (</w:t>
      </w:r>
      <w:proofErr w:type="spellStart"/>
      <w:r w:rsidRPr="00FB3C0F">
        <w:rPr>
          <w:sz w:val="14"/>
        </w:rPr>
        <w:t>Gaziano</w:t>
      </w:r>
      <w:proofErr w:type="spellEnd"/>
      <w:r w:rsidRPr="00FB3C0F">
        <w:rPr>
          <w:sz w:val="14"/>
        </w:rPr>
        <w:t>, 1999).</w:t>
      </w:r>
      <w:r w:rsidR="00877D04" w:rsidRPr="00FB3C0F">
        <w:rPr>
          <w:sz w:val="14"/>
        </w:rPr>
        <w:t xml:space="preserve"> </w:t>
      </w:r>
      <w:r w:rsidRPr="00877D04">
        <w:rPr>
          <w:rStyle w:val="Emphasis"/>
        </w:rPr>
        <w:t xml:space="preserve">This is not merely an academic </w:t>
      </w:r>
      <w:proofErr w:type="gramStart"/>
      <w:r w:rsidRPr="00877D04">
        <w:rPr>
          <w:rStyle w:val="Emphasis"/>
        </w:rPr>
        <w:t>dispute</w:t>
      </w:r>
      <w:r w:rsidRPr="00FB3C0F">
        <w:rPr>
          <w:sz w:val="14"/>
        </w:rPr>
        <w:t xml:space="preserve">, </w:t>
      </w:r>
      <w:r w:rsidRPr="00877D04">
        <w:rPr>
          <w:rStyle w:val="StyleUnderline"/>
        </w:rPr>
        <w:t>since</w:t>
      </w:r>
      <w:proofErr w:type="gramEnd"/>
      <w:r w:rsidRPr="00877D04">
        <w:rPr>
          <w:rStyle w:val="StyleUnderline"/>
        </w:rPr>
        <w:t xml:space="preserve"> no policy’s efficacy can be measured without a clear understanding of its objectives</w:t>
      </w:r>
      <w:r w:rsidRPr="00FB3C0F">
        <w:rPr>
          <w:sz w:val="14"/>
        </w:rPr>
        <w:t xml:space="preserve">. </w:t>
      </w:r>
      <w:r w:rsidRPr="00877D04">
        <w:rPr>
          <w:rStyle w:val="StyleUnderline"/>
        </w:rPr>
        <w:t>And the question has important</w:t>
      </w:r>
      <w:r w:rsidR="006A2AEC" w:rsidRPr="00877D04">
        <w:rPr>
          <w:rStyle w:val="StyleUnderline"/>
        </w:rPr>
        <w:t xml:space="preserve"> </w:t>
      </w:r>
      <w:r w:rsidRPr="00877D04">
        <w:rPr>
          <w:rStyle w:val="StyleUnderline"/>
        </w:rPr>
        <w:t>implications for those engaged in the criminal-justice process</w:t>
      </w:r>
      <w:r w:rsidRPr="00FB3C0F">
        <w:rPr>
          <w:sz w:val="14"/>
        </w:rPr>
        <w:t xml:space="preserve">. For example, </w:t>
      </w:r>
      <w:r w:rsidRPr="00877D04">
        <w:rPr>
          <w:rStyle w:val="StyleUnderline"/>
        </w:rPr>
        <w:t>if collateral sanctions were meant to be punitive, one could make a much stronger argument</w:t>
      </w:r>
      <w:r w:rsidR="006A2AEC" w:rsidRPr="00877D04">
        <w:rPr>
          <w:rStyle w:val="StyleUnderline"/>
        </w:rPr>
        <w:t xml:space="preserve"> </w:t>
      </w:r>
      <w:r w:rsidRPr="00877D04">
        <w:rPr>
          <w:rStyle w:val="StyleUnderline"/>
        </w:rPr>
        <w:t>that they should indeed play a prominent role in courtroom practice</w:t>
      </w:r>
      <w:r w:rsidRPr="00FB3C0F">
        <w:rPr>
          <w:sz w:val="14"/>
        </w:rPr>
        <w:t>. Public imposition can only enhance the efficacy of such penalties, particularly in terms of their retributive, deterrent, and “expressive” functions, and in fact such a public dimension</w:t>
      </w:r>
      <w:r w:rsidR="006A2AEC" w:rsidRPr="00FB3C0F">
        <w:rPr>
          <w:sz w:val="14"/>
        </w:rPr>
        <w:t xml:space="preserve"> </w:t>
      </w:r>
      <w:r w:rsidRPr="00FB3C0F">
        <w:rPr>
          <w:sz w:val="14"/>
        </w:rPr>
        <w:t xml:space="preserve">might well be necessary to those purposes. Indeed, under early American </w:t>
      </w:r>
      <w:proofErr w:type="spellStart"/>
      <w:r w:rsidRPr="00FB3C0F">
        <w:rPr>
          <w:sz w:val="14"/>
        </w:rPr>
        <w:t>criminaldisenfranchisement</w:t>
      </w:r>
      <w:proofErr w:type="spellEnd"/>
      <w:r w:rsidRPr="00FB3C0F">
        <w:rPr>
          <w:sz w:val="14"/>
        </w:rPr>
        <w:t xml:space="preserve"> law, the removal of an offender from the franchise was explicitly</w:t>
      </w:r>
      <w:r w:rsidR="006A2AEC" w:rsidRPr="00FB3C0F">
        <w:rPr>
          <w:sz w:val="14"/>
        </w:rPr>
        <w:t xml:space="preserve"> </w:t>
      </w:r>
      <w:r w:rsidRPr="00FB3C0F">
        <w:rPr>
          <w:sz w:val="14"/>
        </w:rPr>
        <w:t>punitive, and public enunciation of the penalty was an essential way the restriction</w:t>
      </w:r>
      <w:r w:rsidR="006A2AEC" w:rsidRPr="00FB3C0F">
        <w:rPr>
          <w:sz w:val="14"/>
        </w:rPr>
        <w:t xml:space="preserve"> </w:t>
      </w:r>
      <w:r w:rsidRPr="00FB3C0F">
        <w:rPr>
          <w:sz w:val="14"/>
        </w:rPr>
        <w:t>was made meaningful (</w:t>
      </w:r>
      <w:proofErr w:type="spellStart"/>
      <w:r w:rsidRPr="00FB3C0F">
        <w:rPr>
          <w:sz w:val="14"/>
        </w:rPr>
        <w:t>Demleitner</w:t>
      </w:r>
      <w:proofErr w:type="spellEnd"/>
      <w:r w:rsidRPr="00FB3C0F">
        <w:rPr>
          <w:sz w:val="14"/>
        </w:rPr>
        <w:t xml:space="preserve">, 2000). </w:t>
      </w:r>
      <w:r w:rsidRPr="00877D04">
        <w:rPr>
          <w:rStyle w:val="StyleUnderline"/>
        </w:rPr>
        <w:t>By contrast, a restriction with a straight</w:t>
      </w:r>
      <w:r w:rsidR="006A2AEC" w:rsidRPr="00877D04">
        <w:rPr>
          <w:rStyle w:val="StyleUnderline"/>
        </w:rPr>
        <w:t xml:space="preserve"> </w:t>
      </w:r>
      <w:r w:rsidRPr="00877D04">
        <w:rPr>
          <w:rStyle w:val="StyleUnderline"/>
        </w:rPr>
        <w:t>forward regulatory purpose</w:t>
      </w:r>
      <w:r w:rsidRPr="00FB3C0F">
        <w:rPr>
          <w:sz w:val="14"/>
        </w:rPr>
        <w:t>—</w:t>
      </w:r>
      <w:r w:rsidRPr="00877D04">
        <w:rPr>
          <w:rStyle w:val="StyleUnderline"/>
        </w:rPr>
        <w:t>to prevent crooked doctors from prescribing pills, to keep</w:t>
      </w:r>
      <w:r w:rsidR="006A2AEC" w:rsidRPr="00877D04">
        <w:rPr>
          <w:rStyle w:val="StyleUnderline"/>
        </w:rPr>
        <w:t xml:space="preserve"> </w:t>
      </w:r>
      <w:r w:rsidRPr="00877D04">
        <w:rPr>
          <w:rStyle w:val="StyleUnderline"/>
        </w:rPr>
        <w:t>people with a certain kind of “bias” off juries, or to allocate scarce federal housing—</w:t>
      </w:r>
      <w:r w:rsidR="006A2AEC" w:rsidRPr="00877D04">
        <w:rPr>
          <w:rStyle w:val="StyleUnderline"/>
        </w:rPr>
        <w:t xml:space="preserve"> </w:t>
      </w:r>
      <w:r w:rsidRPr="00877D04">
        <w:rPr>
          <w:rStyle w:val="StyleUnderline"/>
        </w:rPr>
        <w:t xml:space="preserve">need </w:t>
      </w:r>
      <w:r w:rsidRPr="00877D04">
        <w:rPr>
          <w:rStyle w:val="Emphasis"/>
        </w:rPr>
        <w:t>never surface in court in order to fulfill its objectives entirely</w:t>
      </w:r>
      <w:r w:rsidRPr="00FB3C0F">
        <w:rPr>
          <w:sz w:val="14"/>
        </w:rPr>
        <w:t>.</w:t>
      </w:r>
      <w:r w:rsidR="00877D04" w:rsidRPr="00FB3C0F">
        <w:rPr>
          <w:sz w:val="14"/>
        </w:rPr>
        <w:t xml:space="preserve"> </w:t>
      </w:r>
      <w:r w:rsidRPr="00FB3C0F">
        <w:rPr>
          <w:sz w:val="14"/>
        </w:rPr>
        <w:t>The belief that collateral consequences should figure explicitly in a criminal trial</w:t>
      </w:r>
      <w:r w:rsidR="006A2AEC" w:rsidRPr="00FB3C0F">
        <w:rPr>
          <w:sz w:val="14"/>
        </w:rPr>
        <w:t xml:space="preserve"> </w:t>
      </w:r>
      <w:r w:rsidRPr="00FB3C0F">
        <w:rPr>
          <w:sz w:val="14"/>
        </w:rPr>
        <w:t>and sentencing is a major theme of the ABA’s recommendations, and a point made</w:t>
      </w:r>
      <w:r w:rsidR="006A2AEC" w:rsidRPr="00FB3C0F">
        <w:rPr>
          <w:sz w:val="14"/>
        </w:rPr>
        <w:t xml:space="preserve"> </w:t>
      </w:r>
      <w:r w:rsidRPr="00FB3C0F">
        <w:rPr>
          <w:sz w:val="14"/>
        </w:rPr>
        <w:t xml:space="preserve">by many reformers. That argument stems from an understanding that </w:t>
      </w:r>
      <w:r w:rsidRPr="00877D04">
        <w:rPr>
          <w:rStyle w:val="Emphasis"/>
        </w:rPr>
        <w:t>while their</w:t>
      </w:r>
      <w:r w:rsidR="006A2AEC" w:rsidRPr="00877D04">
        <w:rPr>
          <w:rStyle w:val="Emphasis"/>
        </w:rPr>
        <w:t xml:space="preserve"> </w:t>
      </w:r>
      <w:r w:rsidRPr="00877D04">
        <w:rPr>
          <w:rStyle w:val="Emphasis"/>
        </w:rPr>
        <w:t>design may be only partly punitive</w:t>
      </w:r>
      <w:r w:rsidRPr="00FB3C0F">
        <w:rPr>
          <w:sz w:val="14"/>
        </w:rPr>
        <w:t xml:space="preserve">, </w:t>
      </w:r>
      <w:r w:rsidRPr="00877D04">
        <w:rPr>
          <w:rStyle w:val="Emphasis"/>
        </w:rPr>
        <w:t>these sanctions have substantial punitive effects</w:t>
      </w:r>
      <w:r w:rsidRPr="00FB3C0F">
        <w:rPr>
          <w:sz w:val="14"/>
        </w:rPr>
        <w:t>.</w:t>
      </w:r>
      <w:r w:rsidR="006A2AEC" w:rsidRPr="00FB3C0F">
        <w:rPr>
          <w:sz w:val="14"/>
        </w:rPr>
        <w:t xml:space="preserve"> </w:t>
      </w:r>
      <w:r w:rsidRPr="00FB3C0F">
        <w:rPr>
          <w:sz w:val="14"/>
        </w:rPr>
        <w:t>Though many reformers regard those effects as excessively harsh, the ABA’s approach</w:t>
      </w:r>
      <w:r w:rsidR="006A2AEC" w:rsidRPr="00FB3C0F">
        <w:rPr>
          <w:sz w:val="14"/>
        </w:rPr>
        <w:t xml:space="preserve"> </w:t>
      </w:r>
      <w:r w:rsidRPr="00FB3C0F">
        <w:rPr>
          <w:sz w:val="14"/>
        </w:rPr>
        <w:t>is not at all necessarily a critical one: if such policies are meant to achieve retributive,</w:t>
      </w:r>
      <w:r w:rsidR="006A2AEC" w:rsidRPr="00FB3C0F">
        <w:rPr>
          <w:sz w:val="14"/>
        </w:rPr>
        <w:t xml:space="preserve"> </w:t>
      </w:r>
      <w:r w:rsidRPr="00FB3C0F">
        <w:rPr>
          <w:sz w:val="14"/>
        </w:rPr>
        <w:t>deterrent, or expressive functions, they can do so much more effectively if they are</w:t>
      </w:r>
      <w:r w:rsidR="006A2AEC" w:rsidRPr="00FB3C0F">
        <w:rPr>
          <w:sz w:val="14"/>
        </w:rPr>
        <w:t xml:space="preserve"> </w:t>
      </w:r>
      <w:r w:rsidRPr="00FB3C0F">
        <w:rPr>
          <w:sz w:val="14"/>
        </w:rPr>
        <w:t>publicly imposed.</w:t>
      </w:r>
    </w:p>
    <w:p w14:paraId="7D72D548" w14:textId="77777777" w:rsidR="00FB3C0F" w:rsidRDefault="00FB3C0F" w:rsidP="00FB3C0F">
      <w:pPr>
        <w:pStyle w:val="Heading4"/>
      </w:pPr>
      <w:r>
        <w:t xml:space="preserve">CC’s are punishment – </w:t>
      </w:r>
      <w:proofErr w:type="gramStart"/>
      <w:r>
        <w:t>it’s</w:t>
      </w:r>
      <w:proofErr w:type="gramEnd"/>
      <w:r>
        <w:t xml:space="preserve"> the scholarly consensus and the distinction they are trying to make ISNT clear</w:t>
      </w:r>
    </w:p>
    <w:p w14:paraId="396D22AB" w14:textId="77777777" w:rsidR="00FB3C0F" w:rsidRDefault="00FB3C0F" w:rsidP="00FB3C0F">
      <w:pPr>
        <w:pStyle w:val="Heading4"/>
      </w:pPr>
    </w:p>
    <w:p w14:paraId="2AD7C92C" w14:textId="77777777" w:rsidR="00FB3C0F" w:rsidRPr="00FB3C0F" w:rsidRDefault="00FB3C0F" w:rsidP="00FB3C0F">
      <w:pPr>
        <w:rPr>
          <w:rStyle w:val="Style13ptBold"/>
        </w:rPr>
      </w:pPr>
      <w:r w:rsidRPr="00FB3C0F">
        <w:rPr>
          <w:rStyle w:val="Style13ptBold"/>
        </w:rPr>
        <w:t>Reznik ‘19</w:t>
      </w:r>
    </w:p>
    <w:p w14:paraId="334D68AA" w14:textId="77777777" w:rsidR="00FB3C0F" w:rsidRPr="00FB3C0F" w:rsidRDefault="00FB3C0F" w:rsidP="00FB3C0F">
      <w:r w:rsidRPr="00FB3C0F">
        <w:t xml:space="preserve">(Rafi, S.J.D. candidate, Georgetown University Law Center, “Retributive Abolitionism,” </w:t>
      </w:r>
      <w:proofErr w:type="spellStart"/>
      <w:r w:rsidRPr="00FB3C0F">
        <w:t>pg</w:t>
      </w:r>
      <w:proofErr w:type="spellEnd"/>
      <w:r w:rsidRPr="00FB3C0F">
        <w:t xml:space="preserve"> online @ https://www.bjcl.org/assets/files/24.2-Reznik.pdf //um-</w:t>
      </w:r>
      <w:proofErr w:type="spellStart"/>
      <w:r w:rsidRPr="00FB3C0F">
        <w:t>ef</w:t>
      </w:r>
      <w:proofErr w:type="spellEnd"/>
      <w:r w:rsidRPr="00FB3C0F">
        <w:t xml:space="preserve">)       </w:t>
      </w:r>
    </w:p>
    <w:p w14:paraId="7B447F5A" w14:textId="54BE2D43" w:rsidR="00657D6E" w:rsidRDefault="00FB3C0F" w:rsidP="00657D6E">
      <w:r w:rsidRPr="00F1357E">
        <w:rPr>
          <w:rStyle w:val="StyleUnderline"/>
        </w:rPr>
        <w:t xml:space="preserve">The scholarly consensus is that CCs should be </w:t>
      </w:r>
      <w:r w:rsidRPr="00FB3C0F">
        <w:rPr>
          <w:rStyle w:val="Emphasis"/>
        </w:rPr>
        <w:t>understood as punishment</w:t>
      </w:r>
      <w:r>
        <w:t xml:space="preserve">. 260Their sweeping and indiscriminate nature permits punishment for wrongdoing in ways that go beyond the sentencing process and are subject to fewer checks. For this reason </w:t>
      </w:r>
      <w:r w:rsidRPr="00F1357E">
        <w:rPr>
          <w:rStyle w:val="StyleUnderline"/>
        </w:rPr>
        <w:t>CC regimes have been described as "secret" or "hidden" sentences,</w:t>
      </w:r>
      <w:r>
        <w:rPr>
          <w:rStyle w:val="StyleUnderline"/>
        </w:rPr>
        <w:t xml:space="preserve"> </w:t>
      </w:r>
      <w:r w:rsidRPr="00F1357E">
        <w:rPr>
          <w:rStyle w:val="StyleUnderline"/>
        </w:rPr>
        <w:t>261an "invisible punishment"</w:t>
      </w:r>
      <w:r>
        <w:rPr>
          <w:rStyle w:val="StyleUnderline"/>
        </w:rPr>
        <w:t xml:space="preserve"> </w:t>
      </w:r>
      <w:r w:rsidRPr="00F1357E">
        <w:rPr>
          <w:rStyle w:val="StyleUnderline"/>
        </w:rPr>
        <w:t>262that creates "shadow citizens</w:t>
      </w:r>
      <w:r>
        <w:t xml:space="preserve">," 263and most pointedly: [*178] "new civil death." 264Once considered a legitimate punishment but no longer, </w:t>
      </w:r>
      <w:r w:rsidRPr="00F1357E">
        <w:rPr>
          <w:rStyle w:val="Emphasis"/>
        </w:rPr>
        <w:t>civil death excludes a convicted felon from the law's protection</w:t>
      </w:r>
      <w:r>
        <w:t xml:space="preserve">, </w:t>
      </w:r>
      <w:r w:rsidRPr="00F1357E">
        <w:rPr>
          <w:rStyle w:val="StyleUnderline"/>
        </w:rPr>
        <w:t>barring them from participation in society</w:t>
      </w:r>
      <w:r>
        <w:t xml:space="preserve">. 265The Supreme Court has ruled analogous mechanisms like denationalization or "perpetual absolute disqualification" as cruel and unusual and therefore impermissible under the Eighth Amendment. 266Unfortunately, </w:t>
      </w:r>
      <w:r w:rsidRPr="00F1357E">
        <w:rPr>
          <w:rStyle w:val="StyleUnderline"/>
        </w:rPr>
        <w:t>as Gabriel Chin and others maintain, CCs created a similar regime through the back door</w:t>
      </w:r>
      <w:r>
        <w:t xml:space="preserve">. Their </w:t>
      </w:r>
      <w:r w:rsidRPr="00F1357E">
        <w:rPr>
          <w:rStyle w:val="StyleUnderline"/>
        </w:rPr>
        <w:t>imposition amounts to a loss of the status of equal citizenship</w:t>
      </w:r>
      <w:r>
        <w:t xml:space="preserve">, reminiscent of historical outlawries of persons, due to the vast scope of the network of CCs and its concentration on sites of collective action. 267 </w:t>
      </w:r>
      <w:r w:rsidRPr="00F1357E">
        <w:rPr>
          <w:rStyle w:val="StyleUnderline"/>
        </w:rPr>
        <w:t>The scholarly consensus views CCs as tools of ostracism and banishment, creating "circuits of exclusion."</w:t>
      </w:r>
      <w:r>
        <w:t xml:space="preserve"> 268</w:t>
      </w:r>
      <w:r w:rsidRPr="00F1357E">
        <w:rPr>
          <w:rStyle w:val="Emphasis"/>
        </w:rPr>
        <w:t>Yet some scholars insist that a proper understanding of CCs must break down each "circuit" and carve out a space for legitimate measures of public protection and harm prevention</w:t>
      </w:r>
      <w:r>
        <w:t xml:space="preserve">. 269So does the Supreme Court when it presumes true a legislative claim that a measure is civil, unless the "clearest proof" to the contrary presents itself. 270The Court has recognized that </w:t>
      </w:r>
      <w:r w:rsidRPr="00E57D52">
        <w:rPr>
          <w:rStyle w:val="Emphasis"/>
        </w:rPr>
        <w:t>the distinction between civil and criminal remedies is not sharp</w:t>
      </w:r>
      <w:r>
        <w:t xml:space="preserve">. The infiltration is mutual: </w:t>
      </w:r>
      <w:r w:rsidRPr="00F1357E">
        <w:rPr>
          <w:rStyle w:val="StyleUnderline"/>
        </w:rPr>
        <w:t>prevention is often a purpose of punishment</w:t>
      </w:r>
      <w:r>
        <w:t xml:space="preserve">, </w:t>
      </w:r>
      <w:r w:rsidRPr="00F1357E">
        <w:rPr>
          <w:rStyle w:val="StyleUnderline"/>
        </w:rPr>
        <w:t>271while a CC may</w:t>
      </w:r>
      <w:r>
        <w:rPr>
          <w:rStyle w:val="StyleUnderline"/>
        </w:rPr>
        <w:t xml:space="preserve"> </w:t>
      </w:r>
      <w:r w:rsidRPr="00F1357E">
        <w:rPr>
          <w:rStyle w:val="StyleUnderline"/>
        </w:rPr>
        <w:t xml:space="preserve">[*179] become the </w:t>
      </w:r>
      <w:r w:rsidRPr="00F1357E">
        <w:rPr>
          <w:rStyle w:val="Emphasis"/>
        </w:rPr>
        <w:t>most important part of a penalty</w:t>
      </w:r>
      <w:r>
        <w:t xml:space="preserve">. 272Nevertheless, Sandra </w:t>
      </w:r>
      <w:r w:rsidRPr="00F1357E">
        <w:rPr>
          <w:rStyle w:val="StyleUnderline"/>
        </w:rPr>
        <w:t>Mayson holds that the oscillation between punitive and preventive is pivotal</w:t>
      </w:r>
      <w:r>
        <w:t xml:space="preserve">. She too acknowledges a certain collapse of the distinction between judgments of culpability attached to a personal choice, and prevention of risk based on social categories. 273Yet, </w:t>
      </w:r>
      <w:r w:rsidRPr="00F1357E">
        <w:rPr>
          <w:rStyle w:val="StyleUnderline"/>
        </w:rPr>
        <w:t>Mayson contends that situating CCs along this spectrum clarifies that most CCs should be situated nearer the preventive end</w:t>
      </w:r>
      <w:r>
        <w:t>. 274</w:t>
      </w:r>
      <w:r w:rsidRPr="00F1357E">
        <w:rPr>
          <w:rStyle w:val="StyleUnderline"/>
        </w:rPr>
        <w:t xml:space="preserve">The classification as </w:t>
      </w:r>
      <w:r w:rsidRPr="00E57D52">
        <w:rPr>
          <w:rStyle w:val="Emphasis"/>
        </w:rPr>
        <w:t>regulation of risk</w:t>
      </w:r>
      <w:r w:rsidRPr="00F1357E">
        <w:rPr>
          <w:rStyle w:val="StyleUnderline"/>
        </w:rPr>
        <w:t xml:space="preserve"> rather than punishment for culpable acts marks "the critical difference between today's CCs and the civil death of old</w:t>
      </w:r>
      <w:r>
        <w:t xml:space="preserve">." 275                             </w:t>
      </w:r>
    </w:p>
    <w:p w14:paraId="0DD68C1F" w14:textId="77777777" w:rsidR="00657D6E" w:rsidRDefault="00657D6E" w:rsidP="00657D6E">
      <w:pPr>
        <w:pStyle w:val="Heading4"/>
      </w:pPr>
      <w:r>
        <w:t>***Court precedent is confusing, inconsistent and undermines a clear message --- they could be punishment, could be civil, could be both</w:t>
      </w:r>
    </w:p>
    <w:p w14:paraId="7ACA2E71" w14:textId="77777777" w:rsidR="00657D6E" w:rsidRDefault="00657D6E" w:rsidP="00657D6E"/>
    <w:p w14:paraId="39649332" w14:textId="77777777" w:rsidR="00657D6E" w:rsidRDefault="00657D6E" w:rsidP="00657D6E">
      <w:pPr>
        <w:rPr>
          <w:rStyle w:val="Style13ptBold"/>
        </w:rPr>
      </w:pPr>
      <w:r>
        <w:rPr>
          <w:rStyle w:val="Style13ptBold"/>
        </w:rPr>
        <w:t>Murray ‘20</w:t>
      </w:r>
    </w:p>
    <w:p w14:paraId="626FBF9A" w14:textId="77777777" w:rsidR="00657D6E" w:rsidRPr="007529E8" w:rsidRDefault="00657D6E" w:rsidP="00657D6E">
      <w:r w:rsidRPr="0086397F">
        <w:t xml:space="preserve">(Brian, Associate Professor of Law, Seton Hall University School of Law, “ARE COLLATERAL CONSEQUENCES </w:t>
      </w:r>
      <w:proofErr w:type="gramStart"/>
      <w:r w:rsidRPr="0086397F">
        <w:t>DESERVED?,</w:t>
      </w:r>
      <w:proofErr w:type="gramEnd"/>
      <w:r w:rsidRPr="0086397F">
        <w:t xml:space="preserve">” </w:t>
      </w:r>
      <w:proofErr w:type="spellStart"/>
      <w:r w:rsidRPr="0086397F">
        <w:t>pg</w:t>
      </w:r>
      <w:proofErr w:type="spellEnd"/>
      <w:r w:rsidRPr="0086397F">
        <w:t xml:space="preserve"> SSRN //um-</w:t>
      </w:r>
      <w:proofErr w:type="spellStart"/>
      <w:r w:rsidRPr="0086397F">
        <w:t>ef</w:t>
      </w:r>
      <w:proofErr w:type="spellEnd"/>
      <w:r w:rsidRPr="0086397F">
        <w:t>)</w:t>
      </w:r>
    </w:p>
    <w:p w14:paraId="343A805C" w14:textId="565527FE" w:rsidR="00086A6F" w:rsidRPr="008B7146" w:rsidRDefault="00657D6E" w:rsidP="00086A6F">
      <w:pPr>
        <w:rPr>
          <w:sz w:val="12"/>
        </w:rPr>
      </w:pPr>
      <w:r w:rsidRPr="00D62569">
        <w:rPr>
          <w:rStyle w:val="StyleUnderline"/>
        </w:rPr>
        <w:t>The contemporary scholarly consensus classifying collateral consequences as punishment</w:t>
      </w:r>
      <w:r w:rsidRPr="008B7146">
        <w:rPr>
          <w:sz w:val="12"/>
        </w:rPr>
        <w:t xml:space="preserve"> </w:t>
      </w:r>
      <w:r w:rsidRPr="00D62569">
        <w:rPr>
          <w:rStyle w:val="Emphasis"/>
        </w:rPr>
        <w:t>is not without its critics and theoretical confusion remains</w:t>
      </w:r>
      <w:r w:rsidRPr="008B7146">
        <w:rPr>
          <w:sz w:val="12"/>
        </w:rPr>
        <w:t xml:space="preserve">. </w:t>
      </w:r>
      <w:r w:rsidRPr="00D62569">
        <w:rPr>
          <w:rStyle w:val="StyleUnderline"/>
        </w:rPr>
        <w:t>The reason stems from the complexity of collateral-consequences regimes themselves: some consequences seem to be imposed due to the culpability of defendants and in order to inflict harm, making them condemnatory</w:t>
      </w:r>
      <w:r w:rsidRPr="008B7146">
        <w:rPr>
          <w:sz w:val="12"/>
        </w:rPr>
        <w:t xml:space="preserve">.103 </w:t>
      </w:r>
      <w:r w:rsidRPr="00D62569">
        <w:rPr>
          <w:rStyle w:val="StyleUnderline"/>
        </w:rPr>
        <w:t>Others seem to be entirely about preventing future behavior by those otherwise judged to be risky, which is a premise shared by “civil” regulations</w:t>
      </w:r>
      <w:r w:rsidRPr="008B7146">
        <w:rPr>
          <w:sz w:val="12"/>
        </w:rPr>
        <w:t xml:space="preserve">.104 The latter is especially confusing in the case of arrests resulting in collateral consequences. The distinction between automatic and potential collateral consequences creates similar confusion as the actor inflicting harm is less clear.105 </w:t>
      </w:r>
      <w:r w:rsidRPr="008B7146">
        <w:rPr>
          <w:rStyle w:val="StyleUnderline"/>
        </w:rPr>
        <w:t xml:space="preserve">The Supreme Court signaled this confusion when it emphasized the </w:t>
      </w:r>
      <w:proofErr w:type="spellStart"/>
      <w:r w:rsidRPr="008B7146">
        <w:rPr>
          <w:rStyle w:val="StyleUnderline"/>
        </w:rPr>
        <w:t>nonretributive</w:t>
      </w:r>
      <w:proofErr w:type="spellEnd"/>
      <w:r w:rsidRPr="008B7146">
        <w:rPr>
          <w:rStyle w:val="StyleUnderline"/>
        </w:rPr>
        <w:t xml:space="preserve"> components of collateral consequences as indicative of why they were not to be viewed as punitive.</w:t>
      </w:r>
      <w:r w:rsidRPr="008B7146">
        <w:rPr>
          <w:sz w:val="12"/>
        </w:rPr>
        <w:t xml:space="preserve">106 But that also infused more confusion as it conflated the definitions of punitive and retributive. In other words, the Court has simultaneously adopted these positions: (1) that if a nonpunitive purpose exists, the Court will not label the measure punishment; and (2) the Constitution does not mandate any one penal justification, thereby implying more than one can exist.107 </w:t>
      </w:r>
      <w:r w:rsidRPr="008B7146">
        <w:rPr>
          <w:rStyle w:val="Emphasis"/>
        </w:rPr>
        <w:t>Thus, collateral consequences exist along a legal spectrum and the reason for their existence is not uniform</w:t>
      </w:r>
      <w:r w:rsidRPr="008B7146">
        <w:rPr>
          <w:sz w:val="12"/>
        </w:rPr>
        <w:t xml:space="preserve">, something Padilla intimated but did not explicitly declare. Any overlap in purposes reflects the elusive relationship between retributive and utilitarian theories that has confounded scholars before.108 </w:t>
      </w:r>
      <w:r w:rsidRPr="008B7146">
        <w:rPr>
          <w:rStyle w:val="StyleUnderline"/>
        </w:rPr>
        <w:t>The confusion in this debate arises from conflation of the definition of what punishment is and what its purposes might be</w:t>
      </w:r>
      <w:r w:rsidRPr="008B7146">
        <w:rPr>
          <w:sz w:val="12"/>
        </w:rPr>
        <w:t>, the Court’s decision to emphasize legislative classification above other considerations, and the fact that utilitarian purposes for punishment closely resemble utilitarian purposes for what has been classified as civil regulation. Hence, collateral consequences might exist along a spectrum of penal purposes relating to both retributive and utilitarian theories, and a spectrum of utilitarian regulatory purposes.109 Even the most fervent and loyal punishment theorists have conceded that there can be primary and secondary aims of punishment.110</w:t>
      </w:r>
    </w:p>
    <w:p w14:paraId="435B262F" w14:textId="77777777" w:rsidR="00086A6F" w:rsidRDefault="00086A6F" w:rsidP="00086A6F">
      <w:pPr>
        <w:pStyle w:val="Heading4"/>
      </w:pPr>
      <w:r>
        <w:t xml:space="preserve">And, the Court has been indecisive and inconsistent --- should be identifying CC’s as punishment, even if they are </w:t>
      </w:r>
      <w:proofErr w:type="gramStart"/>
      <w:r>
        <w:t>actually such</w:t>
      </w:r>
      <w:proofErr w:type="gramEnd"/>
      <w:r>
        <w:t xml:space="preserve"> by doctrine</w:t>
      </w:r>
    </w:p>
    <w:p w14:paraId="1AD4ADF8" w14:textId="77777777" w:rsidR="00086A6F" w:rsidRDefault="00086A6F" w:rsidP="00086A6F"/>
    <w:p w14:paraId="6C22D536" w14:textId="77777777" w:rsidR="00086A6F" w:rsidRDefault="00086A6F" w:rsidP="00086A6F">
      <w:pPr>
        <w:rPr>
          <w:rStyle w:val="Style13ptBold"/>
        </w:rPr>
      </w:pPr>
      <w:r>
        <w:rPr>
          <w:rStyle w:val="Style13ptBold"/>
        </w:rPr>
        <w:t>Murray ‘20</w:t>
      </w:r>
    </w:p>
    <w:p w14:paraId="0F5A7BD2" w14:textId="77777777" w:rsidR="00086A6F" w:rsidRDefault="00086A6F" w:rsidP="00086A6F">
      <w:r w:rsidRPr="0086397F">
        <w:t xml:space="preserve">(Brian, Associate Professor of Law, Seton Hall University School of Law, “ARE COLLATERAL CONSEQUENCES </w:t>
      </w:r>
      <w:proofErr w:type="gramStart"/>
      <w:r w:rsidRPr="0086397F">
        <w:t>DESERVED?,</w:t>
      </w:r>
      <w:proofErr w:type="gramEnd"/>
      <w:r w:rsidRPr="0086397F">
        <w:t xml:space="preserve">” </w:t>
      </w:r>
      <w:proofErr w:type="spellStart"/>
      <w:r w:rsidRPr="0086397F">
        <w:t>pg</w:t>
      </w:r>
      <w:proofErr w:type="spellEnd"/>
      <w:r w:rsidRPr="0086397F">
        <w:t xml:space="preserve"> SSRN //um-</w:t>
      </w:r>
      <w:proofErr w:type="spellStart"/>
      <w:r w:rsidRPr="0086397F">
        <w:t>ef</w:t>
      </w:r>
      <w:proofErr w:type="spellEnd"/>
      <w:r w:rsidRPr="0086397F">
        <w:t>)</w:t>
      </w:r>
    </w:p>
    <w:p w14:paraId="08FF555C" w14:textId="2D9662B0" w:rsidR="00086A6F" w:rsidRPr="00721CC6" w:rsidRDefault="00086A6F" w:rsidP="00086A6F">
      <w:pPr>
        <w:rPr>
          <w:sz w:val="12"/>
        </w:rPr>
      </w:pPr>
      <w:r w:rsidRPr="00282292">
        <w:rPr>
          <w:rStyle w:val="StyleUnderline"/>
        </w:rPr>
        <w:t>Some scholars have argued</w:t>
      </w:r>
      <w:r w:rsidRPr="00721CC6">
        <w:rPr>
          <w:sz w:val="12"/>
        </w:rPr>
        <w:t xml:space="preserve"> that </w:t>
      </w:r>
      <w:r w:rsidRPr="00282292">
        <w:rPr>
          <w:rStyle w:val="StyleUnderline"/>
        </w:rPr>
        <w:t>the</w:t>
      </w:r>
      <w:r w:rsidRPr="00721CC6">
        <w:rPr>
          <w:sz w:val="12"/>
        </w:rPr>
        <w:t xml:space="preserve"> Supreme </w:t>
      </w:r>
      <w:r w:rsidRPr="00282292">
        <w:rPr>
          <w:rStyle w:val="StyleUnderline"/>
        </w:rPr>
        <w:t>Court has failed to rigorously apply its own doctrine, thereby resulting in mistaken classifications</w:t>
      </w:r>
      <w:r w:rsidRPr="00721CC6">
        <w:rPr>
          <w:sz w:val="12"/>
        </w:rPr>
        <w:t xml:space="preserve">. For example, following Doe, scholars complained that the Court did not utilize the “effects” portion of the doctrine to zero in on the punitive nature of </w:t>
      </w:r>
      <w:proofErr w:type="spellStart"/>
      <w:r w:rsidRPr="00721CC6">
        <w:rPr>
          <w:sz w:val="12"/>
        </w:rPr>
        <w:t>sexoffender</w:t>
      </w:r>
      <w:proofErr w:type="spellEnd"/>
      <w:r w:rsidRPr="00721CC6">
        <w:rPr>
          <w:sz w:val="12"/>
        </w:rPr>
        <w:t xml:space="preserve"> registration requirements.95 Numerous scholars make the same arguments for a range of collateral consequences.96 Further, </w:t>
      </w:r>
      <w:r w:rsidRPr="00282292">
        <w:rPr>
          <w:rStyle w:val="StyleUnderline"/>
        </w:rPr>
        <w:t>older Supreme Court precedent</w:t>
      </w:r>
      <w:r w:rsidRPr="00721CC6">
        <w:rPr>
          <w:sz w:val="12"/>
        </w:rPr>
        <w:t xml:space="preserve">—such as Weems v. United States, 97 Cummings v. Missouri, 98 and Ex </w:t>
      </w:r>
      <w:proofErr w:type="spellStart"/>
      <w:r w:rsidRPr="00721CC6">
        <w:rPr>
          <w:sz w:val="12"/>
        </w:rPr>
        <w:t>parte</w:t>
      </w:r>
      <w:proofErr w:type="spellEnd"/>
      <w:r w:rsidRPr="00721CC6">
        <w:rPr>
          <w:sz w:val="12"/>
        </w:rPr>
        <w:t xml:space="preserve"> Garland99—</w:t>
      </w:r>
      <w:r w:rsidRPr="00282292">
        <w:rPr>
          <w:rStyle w:val="StyleUnderline"/>
        </w:rPr>
        <w:t>acknowledges the punitive nature of such consequences</w:t>
      </w:r>
      <w:r w:rsidRPr="00721CC6">
        <w:rPr>
          <w:sz w:val="12"/>
        </w:rPr>
        <w:t xml:space="preserve">, </w:t>
      </w:r>
      <w:r w:rsidRPr="00282292">
        <w:rPr>
          <w:rStyle w:val="Emphasis"/>
        </w:rPr>
        <w:t>even if not formally labeled criminal punishment</w:t>
      </w:r>
      <w:r w:rsidRPr="00721CC6">
        <w:rPr>
          <w:sz w:val="12"/>
        </w:rPr>
        <w:t xml:space="preserve">. The gist of the scholarly argument comes down to the following principles about collateral consequences: (1) they result from a conviction, which involves a judgment of culpability about social harm; (2) they are imposed by the state (especially automatic ones); (3) they inflict suffering or deprive former offenders of some good; and (4) most former offenders would prefer them to be lifted.100 </w:t>
      </w:r>
      <w:r w:rsidRPr="00721CC6">
        <w:rPr>
          <w:rStyle w:val="StyleUnderline"/>
        </w:rPr>
        <w:t>In other words, collateral consequences are punishment because they result in suffering inflicted by the state, in response to wrongdoing, against the will of the offender</w:t>
      </w:r>
      <w:r w:rsidRPr="00721CC6">
        <w:rPr>
          <w:sz w:val="12"/>
        </w:rPr>
        <w:t xml:space="preserve">. </w:t>
      </w:r>
      <w:r w:rsidRPr="00721CC6">
        <w:rPr>
          <w:rStyle w:val="Emphasis"/>
        </w:rPr>
        <w:t>These realities led scholars to conclude that even if, given blurred justifications, collateral consequences cannot formally be labeled criminal “punishment,” taken as a whole they are punishment-like</w:t>
      </w:r>
      <w:r w:rsidRPr="00721CC6">
        <w:rPr>
          <w:sz w:val="12"/>
        </w:rPr>
        <w:t>.101 Scholars have persuaded the American Bar Association (</w:t>
      </w:r>
      <w:r w:rsidRPr="00721CC6">
        <w:rPr>
          <w:rStyle w:val="StyleUnderline"/>
        </w:rPr>
        <w:t>ABA</w:t>
      </w:r>
      <w:r w:rsidRPr="00721CC6">
        <w:rPr>
          <w:sz w:val="12"/>
        </w:rPr>
        <w:t xml:space="preserve">) and American Law Institute (ALI), which </w:t>
      </w:r>
      <w:r w:rsidRPr="00721CC6">
        <w:rPr>
          <w:rStyle w:val="StyleUnderline"/>
        </w:rPr>
        <w:t>have suggested that sentencing courts consider them as part of the punishment for an offense</w:t>
      </w:r>
      <w:r w:rsidRPr="00721CC6">
        <w:rPr>
          <w:sz w:val="12"/>
        </w:rPr>
        <w:t>.102 Certificates of relief seemingly imply this as well, aiming to lift sanctions otherwise automatically imposed by virtue of conviction.</w:t>
      </w:r>
    </w:p>
    <w:p w14:paraId="2AD17235" w14:textId="188790C9" w:rsidR="00FB3C0F" w:rsidRDefault="00FB3C0F" w:rsidP="00FB3C0F"/>
    <w:p w14:paraId="4F4D790D" w14:textId="6A29B6EB" w:rsidR="00D91881" w:rsidRDefault="00D91881" w:rsidP="00C555E9"/>
    <w:p w14:paraId="5D5B5559" w14:textId="34B5185F" w:rsidR="00D91881" w:rsidRDefault="00D91881" w:rsidP="00D91881">
      <w:pPr>
        <w:pStyle w:val="Heading3"/>
      </w:pPr>
      <w:r>
        <w:t xml:space="preserve">AT: Murray </w:t>
      </w:r>
    </w:p>
    <w:p w14:paraId="2274CD74" w14:textId="77777777" w:rsidR="00D91881" w:rsidRPr="00D91881" w:rsidRDefault="00D91881" w:rsidP="00D91881"/>
    <w:p w14:paraId="1A50FBAB" w14:textId="77777777" w:rsidR="00104537" w:rsidRDefault="00104537" w:rsidP="00104537">
      <w:pPr>
        <w:pStyle w:val="Heading4"/>
      </w:pPr>
      <w:r>
        <w:t xml:space="preserve">Your Author goes </w:t>
      </w:r>
      <w:proofErr w:type="spellStart"/>
      <w:r>
        <w:t>aff</w:t>
      </w:r>
      <w:proofErr w:type="spellEnd"/>
      <w:r>
        <w:t xml:space="preserve"> --- thinks they are punishment now, means the </w:t>
      </w:r>
      <w:proofErr w:type="spellStart"/>
      <w:r>
        <w:t>aff</w:t>
      </w:r>
      <w:proofErr w:type="spellEnd"/>
      <w:r>
        <w:t xml:space="preserve"> would be topical to pull them out </w:t>
      </w:r>
    </w:p>
    <w:p w14:paraId="2FD39D46" w14:textId="77777777" w:rsidR="00104537" w:rsidRDefault="00104537" w:rsidP="00104537"/>
    <w:p w14:paraId="64454B36" w14:textId="77777777" w:rsidR="00104537" w:rsidRDefault="00104537" w:rsidP="00104537">
      <w:pPr>
        <w:rPr>
          <w:rStyle w:val="Style13ptBold"/>
        </w:rPr>
      </w:pPr>
      <w:r>
        <w:rPr>
          <w:rStyle w:val="Style13ptBold"/>
        </w:rPr>
        <w:t>Murray ‘20</w:t>
      </w:r>
    </w:p>
    <w:p w14:paraId="51634D14" w14:textId="77777777" w:rsidR="00104537" w:rsidRDefault="00104537" w:rsidP="00104537">
      <w:r w:rsidRPr="0086397F">
        <w:t xml:space="preserve">(Brian, Associate Professor of Law, Seton Hall University School of Law, “ARE COLLATERAL CONSEQUENCES </w:t>
      </w:r>
      <w:proofErr w:type="gramStart"/>
      <w:r w:rsidRPr="0086397F">
        <w:t>DESERVED?,</w:t>
      </w:r>
      <w:proofErr w:type="gramEnd"/>
      <w:r w:rsidRPr="0086397F">
        <w:t xml:space="preserve">” </w:t>
      </w:r>
      <w:proofErr w:type="spellStart"/>
      <w:r w:rsidRPr="0086397F">
        <w:t>pg</w:t>
      </w:r>
      <w:proofErr w:type="spellEnd"/>
      <w:r w:rsidRPr="0086397F">
        <w:t xml:space="preserve"> SSRN //um-</w:t>
      </w:r>
      <w:proofErr w:type="spellStart"/>
      <w:r w:rsidRPr="0086397F">
        <w:t>ef</w:t>
      </w:r>
      <w:proofErr w:type="spellEnd"/>
      <w:r w:rsidRPr="0086397F">
        <w:t>)</w:t>
      </w:r>
    </w:p>
    <w:p w14:paraId="6990D8C5" w14:textId="77777777" w:rsidR="00104537" w:rsidRDefault="00104537" w:rsidP="00104537">
      <w:r w:rsidRPr="00877D04">
        <w:rPr>
          <w:rStyle w:val="StyleUnderline"/>
        </w:rPr>
        <w:t>My own view is that given that many collateral consequences</w:t>
      </w:r>
      <w:r>
        <w:t xml:space="preserve"> (especially automatic ones) </w:t>
      </w:r>
      <w:r w:rsidRPr="00877D04">
        <w:rPr>
          <w:rStyle w:val="Emphasis"/>
        </w:rPr>
        <w:t>involve the deprivation of a good or the imposition of some form of suffering against the will of the offender, due to past wrongdoing, and are inflicted by the state, they belong in the punishment camp</w:t>
      </w:r>
      <w:r>
        <w:t xml:space="preserve">, or very close to it.112 They also signal ongoing moral condemnation by sorting </w:t>
      </w:r>
      <w:proofErr w:type="spellStart"/>
      <w:r>
        <w:t>peo</w:t>
      </w:r>
      <w:proofErr w:type="spellEnd"/>
      <w:r>
        <w:t xml:space="preserve"> </w:t>
      </w:r>
      <w:proofErr w:type="spellStart"/>
      <w:r>
        <w:t>ple</w:t>
      </w:r>
      <w:proofErr w:type="spellEnd"/>
      <w:r>
        <w:t xml:space="preserve"> into camps and perpetuating stigma.113 </w:t>
      </w:r>
      <w:r w:rsidRPr="00877D04">
        <w:rPr>
          <w:rStyle w:val="Emphasis"/>
        </w:rPr>
        <w:t>This is a position in line with prior Supreme Court precedent and allowed by current precedent</w:t>
      </w:r>
      <w:r>
        <w:t>.114</w:t>
      </w:r>
    </w:p>
    <w:p w14:paraId="6272C0D9" w14:textId="77777777" w:rsidR="00C555E9" w:rsidRDefault="00C555E9" w:rsidP="00C555E9"/>
    <w:p w14:paraId="5BBEB9E2" w14:textId="082AF51B" w:rsidR="004D3D44" w:rsidRDefault="00104537" w:rsidP="00104537">
      <w:pPr>
        <w:pStyle w:val="Heading3"/>
      </w:pPr>
      <w:r>
        <w:t>2AC/1AR Civil-Criminal Test</w:t>
      </w:r>
    </w:p>
    <w:p w14:paraId="5C69B127" w14:textId="5DBE08D2" w:rsidR="00104537" w:rsidRDefault="00104537" w:rsidP="00104537"/>
    <w:p w14:paraId="6FCC6F1E" w14:textId="77777777" w:rsidR="00104537" w:rsidRDefault="00104537" w:rsidP="00104537">
      <w:pPr>
        <w:pStyle w:val="Heading4"/>
      </w:pPr>
      <w:r>
        <w:t xml:space="preserve">Criminal-Civil distinction is determined whether the sanction is imposed on conviction or conduct --- CC’s meet – they are imposed upon conviction </w:t>
      </w:r>
    </w:p>
    <w:p w14:paraId="10CFD134" w14:textId="77777777" w:rsidR="00104537" w:rsidRPr="00104537" w:rsidRDefault="00104537" w:rsidP="00104537"/>
    <w:p w14:paraId="0F9982BF" w14:textId="77777777" w:rsidR="00104537" w:rsidRDefault="00104537" w:rsidP="00104537">
      <w:pPr>
        <w:rPr>
          <w:rStyle w:val="Style13ptBold"/>
        </w:rPr>
      </w:pPr>
      <w:r>
        <w:rPr>
          <w:rStyle w:val="Style13ptBold"/>
        </w:rPr>
        <w:t>Chin ‘3</w:t>
      </w:r>
    </w:p>
    <w:p w14:paraId="0F399E79" w14:textId="77777777" w:rsidR="00104537" w:rsidRPr="00FD2A00" w:rsidRDefault="00104537" w:rsidP="00104537">
      <w:r w:rsidRPr="00FD2A00">
        <w:t>(Gabriel, Rufus King Professor of Law, University of Cincinnati College of Law. Reporter, ABA Task Force on Collateral Sanctions. LL.M., Yale Law School, J.D., Michigan Law School, B.A., Wesleyan University, “Are Collateral Sanctions Premised On Conduct Or Conviction?: The Case Of Abortion Doctors,”</w:t>
      </w:r>
      <w:r>
        <w:t xml:space="preserve"> Beyond the Sentence: Post-Incarceration Legal, Social, and Economic Consequences of Criminal Convictions Fordham Urban Law Journal Symposium,</w:t>
      </w:r>
      <w:r w:rsidRPr="00FD2A00">
        <w:t xml:space="preserve"> </w:t>
      </w:r>
      <w:proofErr w:type="spellStart"/>
      <w:r w:rsidRPr="00FD2A00">
        <w:t>pg</w:t>
      </w:r>
      <w:proofErr w:type="spellEnd"/>
      <w:r w:rsidRPr="00FD2A00">
        <w:t xml:space="preserve"> SSRN //um-</w:t>
      </w:r>
      <w:proofErr w:type="spellStart"/>
      <w:r w:rsidRPr="00FD2A00">
        <w:t>ef</w:t>
      </w:r>
      <w:proofErr w:type="spellEnd"/>
      <w:r w:rsidRPr="00FD2A00">
        <w:t>)</w:t>
      </w:r>
    </w:p>
    <w:p w14:paraId="30814D91" w14:textId="77777777" w:rsidR="00104537" w:rsidRPr="004E307A" w:rsidRDefault="00104537" w:rsidP="00104537">
      <w:pPr>
        <w:rPr>
          <w:sz w:val="12"/>
        </w:rPr>
      </w:pPr>
      <w:r w:rsidRPr="004E307A">
        <w:rPr>
          <w:rStyle w:val="StyleUnderline"/>
        </w:rPr>
        <w:t>Persons subject to collateral sanctions</w:t>
      </w:r>
      <w:r w:rsidRPr="004E307A">
        <w:rPr>
          <w:sz w:val="12"/>
        </w:rPr>
        <w:t xml:space="preserve">—disabilities that </w:t>
      </w:r>
      <w:r w:rsidRPr="004E307A">
        <w:rPr>
          <w:rStyle w:val="Emphasis"/>
        </w:rPr>
        <w:t>occur automatically upon conviction</w:t>
      </w:r>
      <w:r w:rsidRPr="004E307A">
        <w:rPr>
          <w:sz w:val="12"/>
        </w:rPr>
        <w:t xml:space="preserve">--often object that they represent unfair punishment. </w:t>
      </w:r>
      <w:r w:rsidRPr="004E307A">
        <w:rPr>
          <w:rStyle w:val="StyleUnderline"/>
        </w:rPr>
        <w:t xml:space="preserve">The standard response is that they are not punishment at all; instead, they are civil regulatory measures </w:t>
      </w:r>
      <w:r w:rsidRPr="004E307A">
        <w:rPr>
          <w:sz w:val="12"/>
        </w:rPr>
        <w:t xml:space="preserve">designed to prevent undue risk by those proven to be lawbreakers.1 The category in which these disadvantages are classified is critical to their constitutionality. If a court classifies a sanction as a criminal penalty rather than a regulatory measure then all of the constitutional provisions applicable to criminal prosecution are triggered.2 This will not necessarily represent a difficulty if the sanction exists at the time of conviction and is made known to the defendant at the time of plea and sentence. However, if the sanction is deemed a criminal penalty, then the ex post facto clause may apply, meaning that new sanctions cannot be imposed retroactively on those convicted before the law was passed.3 In addition, because guilty pleas to criminal charges must be knowing, voluntary and intelligent,4 pleas may be invalid if the sanctions are deemed criminal penalties but the defendant was not advised of them at the time of pleading guilty.5 That collateral sanctions can in principle serve legitimate civil purposes is obvious: Few parents would want those convicted of serious violence against a child to be able to obtain employment giving them access to small children; similarly, it makes perfect sense to keep firearms out of the hands of those who have engaged in unlawful violence.6 In neither case is the motive punishment, but protection of public safety. Yet, it is not always clear that the primary legislative motivation for a collateral sanction is civil rather than punitive, nor is it always a simple matter to discern the primary motivation. This is particularly true because such traditional punishments as imprisonment and execution are designed in part for the non-punitive purpose of protecting the public, just like civil regulations, and some consequences traditionally regarded as “civil” such as loss of benefits following conviction of crime, can be imposed for the purpose of punishment. This essay proposes that perhaps </w:t>
      </w:r>
      <w:r w:rsidRPr="004E307A">
        <w:rPr>
          <w:rStyle w:val="StyleUnderline"/>
        </w:rPr>
        <w:t>the single most important piece of evidence in the determination of whether a sanction is</w:t>
      </w:r>
      <w:r w:rsidRPr="004E307A">
        <w:rPr>
          <w:sz w:val="12"/>
        </w:rPr>
        <w:t xml:space="preserve"> </w:t>
      </w:r>
      <w:r w:rsidRPr="004E307A">
        <w:rPr>
          <w:rStyle w:val="Emphasis"/>
        </w:rPr>
        <w:t>criminal</w:t>
      </w:r>
      <w:r w:rsidRPr="004E307A">
        <w:rPr>
          <w:sz w:val="12"/>
        </w:rPr>
        <w:t xml:space="preserve"> </w:t>
      </w:r>
      <w:r w:rsidRPr="004E307A">
        <w:rPr>
          <w:rStyle w:val="Emphasis"/>
        </w:rPr>
        <w:t>or civil</w:t>
      </w:r>
      <w:r w:rsidRPr="004E307A">
        <w:rPr>
          <w:sz w:val="12"/>
        </w:rPr>
        <w:t xml:space="preserve"> </w:t>
      </w:r>
      <w:r w:rsidRPr="004E307A">
        <w:rPr>
          <w:rStyle w:val="StyleUnderline"/>
        </w:rPr>
        <w:t>is</w:t>
      </w:r>
      <w:r w:rsidRPr="004E307A">
        <w:rPr>
          <w:sz w:val="12"/>
        </w:rPr>
        <w:t xml:space="preserve"> </w:t>
      </w:r>
      <w:r w:rsidRPr="004E307A">
        <w:rPr>
          <w:rStyle w:val="Emphasis"/>
        </w:rPr>
        <w:t>whether it is imposed based on conviction or on conduct</w:t>
      </w:r>
      <w:r w:rsidRPr="004E307A">
        <w:rPr>
          <w:sz w:val="12"/>
        </w:rPr>
        <w:t xml:space="preserve">.7 Take, for example, </w:t>
      </w:r>
      <w:r w:rsidRPr="004E307A">
        <w:rPr>
          <w:rStyle w:val="StyleUnderline"/>
        </w:rPr>
        <w:t xml:space="preserve">a statute prohibiting </w:t>
      </w:r>
      <w:r w:rsidRPr="004E307A">
        <w:rPr>
          <w:sz w:val="12"/>
        </w:rPr>
        <w:t xml:space="preserve">those who have engaged in specified wrongdoing, such as performing </w:t>
      </w:r>
      <w:r w:rsidRPr="004E307A">
        <w:rPr>
          <w:rStyle w:val="StyleUnderline"/>
        </w:rPr>
        <w:t>an unlawful medical procedure, from holding a license as a physician</w:t>
      </w:r>
      <w:r w:rsidRPr="004E307A">
        <w:rPr>
          <w:sz w:val="12"/>
        </w:rPr>
        <w:t xml:space="preserve">. </w:t>
      </w:r>
      <w:r w:rsidRPr="004E307A">
        <w:rPr>
          <w:rStyle w:val="StyleUnderline"/>
        </w:rPr>
        <w:t>If the disability is imposed on all of those who engage in the conduct constituting the offense</w:t>
      </w:r>
      <w:r w:rsidRPr="004E307A">
        <w:rPr>
          <w:sz w:val="12"/>
        </w:rPr>
        <w:t xml:space="preserve">, </w:t>
      </w:r>
      <w:r w:rsidRPr="004E307A">
        <w:rPr>
          <w:rStyle w:val="StyleUnderline"/>
        </w:rPr>
        <w:t>whether it is proved by criminal conviction, civil judgment, administrative finding or admission by the suspect, that is strong evidence that it has a</w:t>
      </w:r>
      <w:r w:rsidRPr="004E307A">
        <w:rPr>
          <w:sz w:val="12"/>
        </w:rPr>
        <w:t xml:space="preserve"> </w:t>
      </w:r>
      <w:r w:rsidRPr="004E307A">
        <w:rPr>
          <w:rStyle w:val="Emphasis"/>
        </w:rPr>
        <w:t>civil, regulatory purpose</w:t>
      </w:r>
      <w:r w:rsidRPr="004E307A">
        <w:rPr>
          <w:sz w:val="12"/>
        </w:rPr>
        <w:t xml:space="preserve">. Whatever other arguments may exist against the rule, </w:t>
      </w:r>
      <w:r w:rsidRPr="004E307A">
        <w:rPr>
          <w:rStyle w:val="StyleUnderline"/>
        </w:rPr>
        <w:t xml:space="preserve">a person denied an opportunity </w:t>
      </w:r>
      <w:proofErr w:type="gramStart"/>
      <w:r w:rsidRPr="004E307A">
        <w:rPr>
          <w:rStyle w:val="StyleUnderline"/>
        </w:rPr>
        <w:t>on the basis of</w:t>
      </w:r>
      <w:proofErr w:type="gramEnd"/>
      <w:r w:rsidRPr="004E307A">
        <w:rPr>
          <w:rStyle w:val="StyleUnderline"/>
        </w:rPr>
        <w:t xml:space="preserve"> conduct independent of how proven should not be able to claim that the denial is further punishment</w:t>
      </w:r>
      <w:r w:rsidRPr="004E307A">
        <w:rPr>
          <w:sz w:val="12"/>
        </w:rPr>
        <w:t xml:space="preserve">. </w:t>
      </w:r>
      <w:r w:rsidRPr="004E307A">
        <w:rPr>
          <w:rStyle w:val="StyleUnderline"/>
        </w:rPr>
        <w:t xml:space="preserve">If, however, the statute allows those who have engaged in the conduct but not been convicted to hold a license, then it becomes more probable that the legislature did not regard the underlying conduct as sufficient </w:t>
      </w:r>
      <w:proofErr w:type="gramStart"/>
      <w:r w:rsidRPr="004E307A">
        <w:rPr>
          <w:rStyle w:val="StyleUnderline"/>
        </w:rPr>
        <w:t>in itself warrant</w:t>
      </w:r>
      <w:proofErr w:type="gramEnd"/>
      <w:r w:rsidRPr="004E307A">
        <w:rPr>
          <w:rStyle w:val="StyleUnderline"/>
        </w:rPr>
        <w:t xml:space="preserve"> disqualification</w:t>
      </w:r>
      <w:r w:rsidRPr="004E307A">
        <w:rPr>
          <w:sz w:val="12"/>
        </w:rPr>
        <w:t xml:space="preserve">. Instead, </w:t>
      </w:r>
      <w:r w:rsidRPr="004E307A">
        <w:rPr>
          <w:rStyle w:val="Emphasis"/>
        </w:rPr>
        <w:t>conviction is the determinative factor</w:t>
      </w:r>
      <w:r w:rsidRPr="004E307A">
        <w:rPr>
          <w:sz w:val="12"/>
        </w:rPr>
        <w:t xml:space="preserve">. </w:t>
      </w:r>
      <w:r w:rsidRPr="004E307A">
        <w:rPr>
          <w:rStyle w:val="StyleUnderline"/>
        </w:rPr>
        <w:t xml:space="preserve">In such cases, it is difficult to regard the disability as anything other than part of the </w:t>
      </w:r>
      <w:r w:rsidRPr="004E307A">
        <w:rPr>
          <w:rStyle w:val="Emphasis"/>
        </w:rPr>
        <w:t>criminal justice process</w:t>
      </w:r>
      <w:r w:rsidRPr="004E307A">
        <w:rPr>
          <w:sz w:val="12"/>
        </w:rPr>
        <w:t xml:space="preserve">. </w:t>
      </w:r>
    </w:p>
    <w:p w14:paraId="5E655075" w14:textId="77777777" w:rsidR="00104537" w:rsidRPr="00104537" w:rsidRDefault="00104537" w:rsidP="00104537"/>
    <w:sectPr w:rsidR="00104537" w:rsidRPr="00104537">
      <w:headerReference w:type="even" r:id="rId117"/>
      <w:headerReference w:type="default" r:id="rId118"/>
      <w:footerReference w:type="even" r:id="rId119"/>
      <w:footerReference w:type="default" r:id="rId120"/>
      <w:headerReference w:type="first" r:id="rId121"/>
      <w:footerReference w:type="first" r:id="rId1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10CEEF" w14:textId="77777777" w:rsidR="006C75DB" w:rsidRDefault="006C75DB" w:rsidP="00D5553A">
      <w:pPr>
        <w:spacing w:after="0" w:line="240" w:lineRule="auto"/>
      </w:pPr>
      <w:r>
        <w:separator/>
      </w:r>
    </w:p>
  </w:endnote>
  <w:endnote w:type="continuationSeparator" w:id="0">
    <w:p w14:paraId="75AE5E91" w14:textId="77777777" w:rsidR="006C75DB" w:rsidRDefault="006C75DB" w:rsidP="00D55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4C38B2" w14:textId="77777777" w:rsidR="005C4509" w:rsidRDefault="005C450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5C4509" w14:paraId="3A73EB34" w14:textId="77777777">
      <w:trPr>
        <w:jc w:val="center"/>
      </w:trPr>
      <w:tc>
        <w:tcPr>
          <w:tcW w:w="2600" w:type="dxa"/>
          <w:tcMar>
            <w:top w:w="200" w:type="dxa"/>
          </w:tcMar>
          <w:vAlign w:val="center"/>
        </w:tcPr>
        <w:p w14:paraId="0449CA95" w14:textId="77777777" w:rsidR="005C4509" w:rsidRDefault="005C4509"/>
      </w:tc>
      <w:tc>
        <w:tcPr>
          <w:tcW w:w="4880" w:type="dxa"/>
          <w:tcMar>
            <w:top w:w="200" w:type="dxa"/>
          </w:tcMar>
          <w:vAlign w:val="center"/>
        </w:tcPr>
        <w:p w14:paraId="1DED7166" w14:textId="77777777" w:rsidR="005C4509" w:rsidRDefault="005C4509">
          <w:pPr>
            <w:jc w:val="center"/>
          </w:pPr>
          <w:r>
            <w:rPr>
              <w:rFonts w:eastAsia="Arial"/>
              <w:sz w:val="20"/>
            </w:rPr>
            <w:t>Eric Forslund</w:t>
          </w:r>
        </w:p>
      </w:tc>
      <w:tc>
        <w:tcPr>
          <w:tcW w:w="2600" w:type="dxa"/>
          <w:tcMar>
            <w:top w:w="200" w:type="dxa"/>
          </w:tcMar>
          <w:vAlign w:val="center"/>
        </w:tcPr>
        <w:p w14:paraId="39242388" w14:textId="77777777" w:rsidR="005C4509" w:rsidRDefault="005C4509"/>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C55872" w14:textId="77777777" w:rsidR="005C4509" w:rsidRDefault="005C4509">
    <w:pPr>
      <w:spacing w:before="200"/>
      <w:jc w:val="center"/>
    </w:pPr>
    <w:r>
      <w:rPr>
        <w:rFonts w:eastAsia="Arial"/>
        <w:sz w:val="20"/>
      </w:rPr>
      <w:t>Eric Forslund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7742F9" w14:textId="77777777" w:rsidR="005C4509" w:rsidRDefault="005C450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5C4509" w14:paraId="570ECBCF" w14:textId="77777777">
      <w:trPr>
        <w:jc w:val="center"/>
      </w:trPr>
      <w:tc>
        <w:tcPr>
          <w:tcW w:w="2600" w:type="dxa"/>
          <w:tcMar>
            <w:top w:w="200" w:type="dxa"/>
          </w:tcMar>
          <w:vAlign w:val="center"/>
        </w:tcPr>
        <w:p w14:paraId="30F3EDF4" w14:textId="77777777" w:rsidR="005C4509" w:rsidRDefault="005C4509"/>
      </w:tc>
      <w:tc>
        <w:tcPr>
          <w:tcW w:w="4880" w:type="dxa"/>
          <w:tcMar>
            <w:top w:w="200" w:type="dxa"/>
          </w:tcMar>
          <w:vAlign w:val="center"/>
        </w:tcPr>
        <w:p w14:paraId="18FC849B" w14:textId="77777777" w:rsidR="005C4509" w:rsidRDefault="005C4509">
          <w:pPr>
            <w:jc w:val="center"/>
          </w:pPr>
          <w:r>
            <w:rPr>
              <w:rFonts w:eastAsia="Arial"/>
              <w:sz w:val="20"/>
            </w:rPr>
            <w:t>Eric Forslund</w:t>
          </w:r>
        </w:p>
      </w:tc>
      <w:tc>
        <w:tcPr>
          <w:tcW w:w="2600" w:type="dxa"/>
          <w:tcMar>
            <w:top w:w="200" w:type="dxa"/>
          </w:tcMar>
          <w:vAlign w:val="center"/>
        </w:tcPr>
        <w:p w14:paraId="2A77F56B" w14:textId="77777777" w:rsidR="005C4509" w:rsidRDefault="005C4509"/>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73D151" w14:textId="77777777" w:rsidR="005C4509" w:rsidRDefault="005C4509">
    <w:pPr>
      <w:spacing w:before="200"/>
      <w:jc w:val="center"/>
    </w:pPr>
    <w:r>
      <w:rPr>
        <w:rFonts w:eastAsia="Arial"/>
        <w:sz w:val="20"/>
      </w:rPr>
      <w:t>Eric Forslund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EE44DA" w14:textId="77777777" w:rsidR="006C75DB" w:rsidRDefault="006C75DB" w:rsidP="00D5553A">
      <w:pPr>
        <w:spacing w:after="0" w:line="240" w:lineRule="auto"/>
      </w:pPr>
      <w:r>
        <w:separator/>
      </w:r>
    </w:p>
  </w:footnote>
  <w:footnote w:type="continuationSeparator" w:id="0">
    <w:p w14:paraId="379FEB53" w14:textId="77777777" w:rsidR="006C75DB" w:rsidRDefault="006C75DB" w:rsidP="00D5553A">
      <w:pPr>
        <w:spacing w:after="0" w:line="240" w:lineRule="auto"/>
      </w:pPr>
      <w:r>
        <w:continuationSeparator/>
      </w:r>
    </w:p>
  </w:footnote>
  <w:footnote w:id="1">
    <w:p w14:paraId="177A08A0" w14:textId="77777777" w:rsidR="005C4509" w:rsidRDefault="005C4509" w:rsidP="0031702E">
      <w:pPr>
        <w:spacing w:before="120" w:line="240" w:lineRule="atLeast"/>
        <w:jc w:val="both"/>
      </w:pPr>
      <w:r>
        <w:rPr>
          <w:rFonts w:eastAsia="Arial"/>
          <w:color w:val="000000"/>
          <w:sz w:val="18"/>
          <w:vertAlign w:val="superscript"/>
        </w:rPr>
        <w:t>36 </w:t>
      </w:r>
      <w:r>
        <w:rPr>
          <w:rFonts w:eastAsia="Arial"/>
          <w:color w:val="000000"/>
          <w:sz w:val="18"/>
        </w:rPr>
        <w:t xml:space="preserve"> See, e.g., Jim McGinty, Reducing Reoffending - Focusing on Re-entry to the Community (2002) (suggesting reentry strategies to reduce recidivism in Australia, based on visits to England, Norway, Denmark, Belgium, and France); Editorial, A Positive Form of Punishment, Japan Times (Tokyo), Aug. 3, 2006, at 12, available at</w:t>
      </w:r>
    </w:p>
    <w:p w14:paraId="3FA99D65" w14:textId="77777777" w:rsidR="005C4509" w:rsidRDefault="005C4509" w:rsidP="0031702E">
      <w:pPr>
        <w:spacing w:before="240" w:line="240" w:lineRule="atLeast"/>
        <w:jc w:val="both"/>
      </w:pPr>
      <w:r>
        <w:rPr>
          <w:rFonts w:eastAsia="Arial"/>
          <w:color w:val="000000"/>
          <w:sz w:val="18"/>
        </w:rPr>
        <w:t xml:space="preserve"> </w:t>
      </w:r>
      <w:hyperlink r:id="rId1" w:history="1">
        <w:r>
          <w:rPr>
            <w:rFonts w:eastAsia="Arial"/>
            <w:i/>
            <w:color w:val="0077CC"/>
            <w:sz w:val="18"/>
            <w:u w:val="single"/>
            <w:shd w:val="clear" w:color="auto" w:fill="FFFFFF"/>
          </w:rPr>
          <w:t>http://search.japantimes.co.jp/cgi-bin/ed20060803a2.html</w:t>
        </w:r>
      </w:hyperlink>
      <w:r>
        <w:rPr>
          <w:rFonts w:eastAsia="Arial"/>
          <w:color w:val="000000"/>
          <w:sz w:val="18"/>
        </w:rPr>
        <w:t xml:space="preserve"> (reporting Japanese Justice Minister's proposal for easing reentry and preventing recidivism); Joyce Mulama, A "Soft Landing" To Keep Prisoners on the Straight and Narrow, Inter Press Serv., July 15, 2006, </w:t>
      </w:r>
      <w:hyperlink r:id="rId2" w:history="1">
        <w:r>
          <w:rPr>
            <w:rFonts w:eastAsia="Arial"/>
            <w:i/>
            <w:color w:val="0077CC"/>
            <w:sz w:val="18"/>
            <w:u w:val="single"/>
            <w:shd w:val="clear" w:color="auto" w:fill="FFFFFF"/>
          </w:rPr>
          <w:t>http://ipsnews.net/news.asp?idnews=33976</w:t>
        </w:r>
      </w:hyperlink>
      <w:r>
        <w:rPr>
          <w:rFonts w:eastAsia="Arial"/>
          <w:color w:val="000000"/>
          <w:sz w:val="18"/>
        </w:rPr>
        <w:t xml:space="preserve"> (on file with the New York University Law Review) (noting statements by Kenyan NGO representative and prisons department spokesperson expressing need for initiatives to address prisoner reentry in wake of announcement that nearly 8000 inmates would be freed to reduce overcrowding in Kenyan prisons).</w:t>
      </w:r>
    </w:p>
  </w:footnote>
  <w:footnote w:id="2">
    <w:p w14:paraId="6907F92A" w14:textId="77777777" w:rsidR="005C4509" w:rsidRDefault="005C4509" w:rsidP="0031702E">
      <w:pPr>
        <w:spacing w:before="120" w:line="240" w:lineRule="atLeast"/>
        <w:jc w:val="both"/>
      </w:pPr>
      <w:r>
        <w:rPr>
          <w:rFonts w:eastAsia="Arial"/>
          <w:color w:val="000000"/>
          <w:sz w:val="18"/>
          <w:vertAlign w:val="superscript"/>
        </w:rPr>
        <w:t>37 </w:t>
      </w:r>
      <w:r>
        <w:rPr>
          <w:rFonts w:eastAsia="Arial"/>
          <w:color w:val="000000"/>
          <w:sz w:val="18"/>
        </w:rPr>
        <w:t xml:space="preserve"> See sources cited supra note 36. </w:t>
      </w:r>
    </w:p>
  </w:footnote>
  <w:footnote w:id="3">
    <w:p w14:paraId="71EEB96A" w14:textId="77777777" w:rsidR="005C4509" w:rsidRDefault="005C4509" w:rsidP="0031702E">
      <w:pPr>
        <w:spacing w:before="120" w:line="240" w:lineRule="atLeast"/>
        <w:jc w:val="both"/>
      </w:pPr>
      <w:r>
        <w:rPr>
          <w:rFonts w:eastAsia="Arial"/>
          <w:color w:val="000000"/>
          <w:sz w:val="18"/>
          <w:vertAlign w:val="superscript"/>
        </w:rPr>
        <w:t>38 </w:t>
      </w:r>
      <w:r>
        <w:rPr>
          <w:rFonts w:eastAsia="Arial"/>
          <w:color w:val="000000"/>
          <w:sz w:val="18"/>
        </w:rPr>
        <w:t xml:space="preserve"> See Eric Cadora et al., Criminal Justice and Health and Human Services: An Exploration of Overlapping Needs, Resources, and Interests in Brooklyn Neighborhoods, in Prisoners Once Removed: The Impact of Incarceration and Reentry on Children, Families, and Communities 285, 285 (Jeremy Travis &amp; Michelle Waul eds., 2003) [hereinafter Prisoners Once Removed] (describing challenges created by "unprecedented numbers of people returning home from prison"); Thompson, supra note 6, at 256 (discussing "scale of the current [reentry] problem"). </w:t>
      </w:r>
    </w:p>
  </w:footnote>
  <w:footnote w:id="4">
    <w:p w14:paraId="6E4C0CB1" w14:textId="77777777" w:rsidR="005C4509" w:rsidRDefault="005C4509" w:rsidP="0031702E">
      <w:pPr>
        <w:spacing w:before="240" w:line="240" w:lineRule="atLeast"/>
        <w:jc w:val="both"/>
      </w:pPr>
      <w:r>
        <w:rPr>
          <w:rFonts w:eastAsia="Arial"/>
          <w:color w:val="000000"/>
          <w:sz w:val="18"/>
          <w:vertAlign w:val="superscript"/>
        </w:rPr>
        <w:t>39 </w:t>
      </w:r>
      <w:r>
        <w:rPr>
          <w:rFonts w:eastAsia="Arial"/>
          <w:color w:val="000000"/>
          <w:sz w:val="18"/>
        </w:rPr>
        <w:t xml:space="preserve"> See Justice Kennedy Comm'n, Am. Bar Ass'n, Reports with Recommendations to the ABA House of Delegates 85 (2004), available at http://meetings. abanet.org/webupload/commupload/CR209800/newsletterpubs/JusticeKennedy CommissionReports Final 081104.pdf (recommending that jurisdictions "eliminate entirely those [collateral consequences] that … serve only to frustrate successful reentry"); Gabriel J. Chin, Race, The War on Drugs, and the Collateral Consequences of Criminal Conviction,</w:t>
      </w:r>
      <w:hyperlink r:id="rId3" w:history="1">
        <w:r>
          <w:rPr>
            <w:rFonts w:eastAsia="Arial"/>
            <w:i/>
            <w:color w:val="0077CC"/>
            <w:sz w:val="18"/>
            <w:u w:val="single"/>
            <w:shd w:val="clear" w:color="auto" w:fill="FFFFFF"/>
          </w:rPr>
          <w:t>6 J. Gender Race &amp; Just. 253, 254 (2002)</w:t>
        </w:r>
      </w:hyperlink>
      <w:r>
        <w:rPr>
          <w:rFonts w:eastAsia="Arial"/>
          <w:color w:val="000000"/>
          <w:sz w:val="18"/>
        </w:rPr>
        <w:t xml:space="preserve"> (describing how collateral consequences impact employment and ability "to lead law-abiding lives"); Nora V. Demleitner, "Collateral Damage": No Re-entry for Drug Offenders, </w:t>
      </w:r>
      <w:hyperlink r:id="rId4" w:history="1">
        <w:r>
          <w:rPr>
            <w:rFonts w:eastAsia="Arial"/>
            <w:i/>
            <w:color w:val="0077CC"/>
            <w:sz w:val="18"/>
            <w:u w:val="single"/>
            <w:shd w:val="clear" w:color="auto" w:fill="FFFFFF"/>
          </w:rPr>
          <w:t>47 Vill. L. Rev. 1027, 1027 (2002)</w:t>
        </w:r>
      </w:hyperlink>
      <w:r>
        <w:rPr>
          <w:rFonts w:eastAsia="Arial"/>
          <w:color w:val="000000"/>
          <w:sz w:val="18"/>
        </w:rPr>
        <w:t xml:space="preserve"> (noting that collateral consequences of drug convictions impede reintegration "by restricting welfare benefits, employment and skills training opportunities"). </w:t>
      </w:r>
    </w:p>
  </w:footnote>
  <w:footnote w:id="5">
    <w:p w14:paraId="768FE5CC" w14:textId="77777777" w:rsidR="005C4509" w:rsidRDefault="005C4509" w:rsidP="0031702E">
      <w:pPr>
        <w:spacing w:before="120" w:line="240" w:lineRule="atLeast"/>
        <w:jc w:val="both"/>
      </w:pPr>
      <w:r>
        <w:rPr>
          <w:rFonts w:eastAsia="Arial"/>
          <w:color w:val="000000"/>
          <w:sz w:val="18"/>
          <w:vertAlign w:val="superscript"/>
        </w:rPr>
        <w:t>40 </w:t>
      </w:r>
      <w:r>
        <w:rPr>
          <w:rFonts w:eastAsia="Arial"/>
          <w:color w:val="000000"/>
          <w:sz w:val="18"/>
        </w:rPr>
        <w:t xml:space="preserve"> See supra note 5 and accompanying text. </w:t>
      </w:r>
    </w:p>
  </w:footnote>
  <w:footnote w:id="6">
    <w:p w14:paraId="096FBAEC" w14:textId="77777777" w:rsidR="005C4509" w:rsidRDefault="005C4509" w:rsidP="0031702E">
      <w:pPr>
        <w:spacing w:before="240" w:line="240" w:lineRule="atLeast"/>
        <w:jc w:val="both"/>
      </w:pPr>
      <w:r>
        <w:rPr>
          <w:rFonts w:eastAsia="Arial"/>
          <w:color w:val="000000"/>
          <w:sz w:val="18"/>
          <w:vertAlign w:val="superscript"/>
        </w:rPr>
        <w:t>41 </w:t>
      </w:r>
      <w:r>
        <w:rPr>
          <w:rFonts w:eastAsia="Arial"/>
          <w:color w:val="000000"/>
          <w:sz w:val="18"/>
        </w:rPr>
        <w:t xml:space="preserve"> Joan Petersilia, When Prisoners Come Home 136 (2003) (noting that collateral consequences are "being applied to a larger percentage of the </w:t>
      </w:r>
      <w:r>
        <w:rPr>
          <w:rFonts w:eastAsia="Arial"/>
          <w:b/>
          <w:i/>
          <w:color w:val="000000"/>
          <w:sz w:val="18"/>
          <w:u w:val="single"/>
        </w:rPr>
        <w:t>U.S.</w:t>
      </w:r>
      <w:r>
        <w:rPr>
          <w:rFonts w:eastAsia="Arial"/>
          <w:color w:val="000000"/>
          <w:sz w:val="18"/>
        </w:rPr>
        <w:t xml:space="preserve"> population and for longer periods of time than at any point in </w:t>
      </w:r>
      <w:r>
        <w:rPr>
          <w:rFonts w:eastAsia="Arial"/>
          <w:b/>
          <w:i/>
          <w:color w:val="000000"/>
          <w:sz w:val="18"/>
          <w:u w:val="single"/>
        </w:rPr>
        <w:t>U.S.</w:t>
      </w:r>
      <w:r>
        <w:rPr>
          <w:rFonts w:eastAsia="Arial"/>
          <w:color w:val="000000"/>
          <w:sz w:val="18"/>
        </w:rPr>
        <w:t xml:space="preserve"> history"). For an argument that collateral consequences are intertwined with the reentry process, see generally Michael Pinard, An Integrated Perspective on the Collateral Consequences of Criminal Convictions and Reentry Issues Faced by Formerly Incarcerated Individuals, </w:t>
      </w:r>
      <w:hyperlink r:id="rId5" w:history="1">
        <w:r>
          <w:rPr>
            <w:rFonts w:eastAsia="Arial"/>
            <w:i/>
            <w:color w:val="0077CC"/>
            <w:sz w:val="18"/>
            <w:u w:val="single"/>
            <w:shd w:val="clear" w:color="auto" w:fill="FFFFFF"/>
          </w:rPr>
          <w:t>86 B.U. L. Rev. 623 (2006).</w:t>
        </w:r>
      </w:hyperlink>
      <w:r>
        <w:rPr>
          <w:rFonts w:eastAsia="Arial"/>
          <w:color w:val="000000"/>
          <w:sz w:val="18"/>
        </w:rPr>
        <w:t xml:space="preserve">  </w:t>
      </w:r>
    </w:p>
  </w:footnote>
  <w:footnote w:id="7">
    <w:p w14:paraId="1E62B44C" w14:textId="77777777" w:rsidR="005C4509" w:rsidRDefault="005C4509" w:rsidP="0031702E">
      <w:pPr>
        <w:spacing w:before="120" w:line="240" w:lineRule="atLeast"/>
        <w:jc w:val="both"/>
      </w:pPr>
      <w:r>
        <w:rPr>
          <w:rFonts w:eastAsia="Arial"/>
          <w:color w:val="000000"/>
          <w:sz w:val="18"/>
          <w:vertAlign w:val="superscript"/>
        </w:rPr>
        <w:t>42 </w:t>
      </w:r>
      <w:r>
        <w:rPr>
          <w:rFonts w:eastAsia="Arial"/>
          <w:color w:val="000000"/>
          <w:sz w:val="18"/>
        </w:rPr>
        <w:t xml:space="preserve"> Donald Braman &amp; Jennifer Wood, From One Generation to the Next: How Criminal Sanctions Are Reshaping Family Life in Urban America, in Prisoners Once Removed, supra note 38, at 157, 171-74 (describing impact of employment-related obstacles on families); Jeremy Travis &amp; Michelle Waul, Prisoners Once Removed: The Children and Families of Prisoners, in Prisoners Once Removed, supra note 38, at 1, 22-25 (describing how collateral consequences impact families). </w:t>
      </w:r>
    </w:p>
  </w:footnote>
  <w:footnote w:id="8">
    <w:p w14:paraId="4BAB82CD" w14:textId="77777777" w:rsidR="005C4509" w:rsidRDefault="005C4509" w:rsidP="0031702E">
      <w:pPr>
        <w:spacing w:before="240" w:line="240" w:lineRule="atLeast"/>
        <w:jc w:val="both"/>
      </w:pPr>
      <w:r>
        <w:rPr>
          <w:rFonts w:eastAsia="Arial"/>
          <w:color w:val="000000"/>
          <w:sz w:val="18"/>
          <w:vertAlign w:val="superscript"/>
        </w:rPr>
        <w:t>43 </w:t>
      </w:r>
      <w:r>
        <w:rPr>
          <w:rFonts w:eastAsia="Arial"/>
          <w:color w:val="000000"/>
          <w:sz w:val="18"/>
        </w:rPr>
        <w:t xml:space="preserve"> See, e.g., Diana Brazzell &amp; Nancy G. La Vigne, Urban Inst., Prisoner Reentry in Houston: Community Perspectives 1 (2009), available at http://www. urban.org/UploadedPDF/411901 prisoner reentry houston.pdf (noting that over twenty percent of inmates released from Texas prisons and jails return to Houston metropolitan area); Lisa E. Brooks et al., Urban Inst., Prisoner Reentry in Massachusetts 1 (2005), available at </w:t>
      </w:r>
      <w:hyperlink r:id="rId6" w:history="1">
        <w:r>
          <w:rPr>
            <w:rFonts w:eastAsia="Arial"/>
            <w:i/>
            <w:color w:val="0077CC"/>
            <w:sz w:val="18"/>
            <w:u w:val="single"/>
            <w:shd w:val="clear" w:color="auto" w:fill="FFFFFF"/>
          </w:rPr>
          <w:t>http://www.urban.org/UploadedPDF/411167</w:t>
        </w:r>
      </w:hyperlink>
      <w:r>
        <w:rPr>
          <w:rFonts w:eastAsia="Arial"/>
          <w:color w:val="000000"/>
          <w:sz w:val="18"/>
        </w:rPr>
        <w:t xml:space="preserve"> Prisoner Reentry MA.pdf (noting that over "one-third of [Massachusetts] prisoners released in 2002 came from two Massachusetts counties - Suffolk and Worcester," and that nearly half of those returning to Suffolk County ended up "clustered in a few Boston neighborhoods"); Christy Visher et al., Urban Inst., Ohio Prisoners' Reflections on Returning Home 1 (2006), available at </w:t>
      </w:r>
      <w:hyperlink r:id="rId7" w:history="1">
        <w:r>
          <w:rPr>
            <w:rFonts w:eastAsia="Arial"/>
            <w:i/>
            <w:color w:val="0077CC"/>
            <w:sz w:val="18"/>
            <w:u w:val="single"/>
            <w:shd w:val="clear" w:color="auto" w:fill="FFFFFF"/>
          </w:rPr>
          <w:t>http://www.urban.org/UploadedPDF/311272</w:t>
        </w:r>
      </w:hyperlink>
      <w:r>
        <w:rPr>
          <w:rFonts w:eastAsia="Arial"/>
          <w:color w:val="000000"/>
          <w:sz w:val="18"/>
        </w:rPr>
        <w:t xml:space="preserve"> ohio prisoners. pdf (noting that over twenty percent of prisoners released in Ohio in 2004 returned to Cuyahoga County, and nearly eighty percent of those returned to Cleveland); Dorothy E. Roberts, The Social and Moral Cost of Mass Incarceration in African-American Communities,</w:t>
      </w:r>
      <w:hyperlink r:id="rId8" w:history="1">
        <w:r>
          <w:rPr>
            <w:rFonts w:eastAsia="Arial"/>
            <w:i/>
            <w:color w:val="0077CC"/>
            <w:sz w:val="18"/>
            <w:u w:val="single"/>
            <w:shd w:val="clear" w:color="auto" w:fill="FFFFFF"/>
          </w:rPr>
          <w:t>56 Stan. L. Rev. 1271, 1276 (2004)</w:t>
        </w:r>
      </w:hyperlink>
      <w:r>
        <w:rPr>
          <w:rFonts w:eastAsia="Arial"/>
          <w:color w:val="000000"/>
          <w:sz w:val="18"/>
        </w:rPr>
        <w:t xml:space="preserve"> ("The exit and reentry of inmates is geographically concentrated in the poorest, minority neighborhoods."). </w:t>
      </w:r>
    </w:p>
  </w:footnote>
  <w:footnote w:id="9">
    <w:p w14:paraId="0DC5DF59" w14:textId="77777777" w:rsidR="005C4509" w:rsidRDefault="005C4509" w:rsidP="0031702E">
      <w:pPr>
        <w:spacing w:before="240" w:line="240" w:lineRule="atLeast"/>
        <w:jc w:val="both"/>
      </w:pPr>
      <w:r>
        <w:rPr>
          <w:rFonts w:eastAsia="Arial"/>
          <w:color w:val="000000"/>
          <w:sz w:val="18"/>
          <w:vertAlign w:val="superscript"/>
        </w:rPr>
        <w:t>44 </w:t>
      </w:r>
      <w:r>
        <w:rPr>
          <w:rFonts w:eastAsia="Arial"/>
          <w:color w:val="000000"/>
          <w:sz w:val="18"/>
        </w:rPr>
        <w:t xml:space="preserve"> See R. Richard Banks, Beyond Profiling: Race, Policing, and the Drug War, </w:t>
      </w:r>
      <w:hyperlink r:id="rId9" w:history="1">
        <w:r>
          <w:rPr>
            <w:rFonts w:eastAsia="Arial"/>
            <w:i/>
            <w:color w:val="0077CC"/>
            <w:sz w:val="18"/>
            <w:u w:val="single"/>
            <w:shd w:val="clear" w:color="auto" w:fill="FFFFFF"/>
          </w:rPr>
          <w:t>56 Stan. L. Rev. 571, 596 (2003)</w:t>
        </w:r>
      </w:hyperlink>
      <w:r>
        <w:rPr>
          <w:rFonts w:eastAsia="Arial"/>
          <w:color w:val="000000"/>
          <w:sz w:val="18"/>
        </w:rPr>
        <w:t xml:space="preserve"> ("Community stability may be impaired both by the loss of so many adults [to incarceration] and, paradoxically, by their reentry into the community after having endured the conditions of prison." (footnote omitted)). </w:t>
      </w:r>
    </w:p>
  </w:footnote>
  <w:footnote w:id="10">
    <w:p w14:paraId="7B1609E2" w14:textId="77777777" w:rsidR="005C4509" w:rsidRDefault="005C4509" w:rsidP="0031702E">
      <w:pPr>
        <w:spacing w:before="200" w:line="240" w:lineRule="atLeast"/>
        <w:jc w:val="both"/>
      </w:pPr>
      <w:r>
        <w:rPr>
          <w:rFonts w:eastAsia="Arial"/>
          <w:color w:val="000000"/>
          <w:sz w:val="18"/>
          <w:vertAlign w:val="superscript"/>
        </w:rPr>
        <w:t>45 </w:t>
      </w:r>
      <w:r>
        <w:rPr>
          <w:rFonts w:eastAsia="Arial"/>
          <w:color w:val="000000"/>
          <w:sz w:val="18"/>
        </w:rPr>
        <w:t xml:space="preserve"> See Cavadino &amp; Dignan, supra note 14, at 50 ("[The </w:t>
      </w:r>
      <w:r>
        <w:rPr>
          <w:rFonts w:eastAsia="Arial"/>
          <w:b/>
          <w:i/>
          <w:color w:val="000000"/>
          <w:sz w:val="18"/>
          <w:u w:val="single"/>
        </w:rPr>
        <w:t>United States</w:t>
      </w:r>
      <w:r>
        <w:rPr>
          <w:rFonts w:eastAsia="Arial"/>
          <w:color w:val="000000"/>
          <w:sz w:val="18"/>
        </w:rPr>
        <w:t xml:space="preserve">] has … been leading in the sense of moving in directions that others follow, not only in its penal practices but also in the ideology of how countries should respond to crime."); Tim Newburn &amp; Richard Sparks, Criminal Justice and Political Cultures, in Criminal Justice and Political Cultures: National and International Dimensions of Crime Control 1, 9-10 (Tim Newburn &amp; Richard Sparks eds., 2004) [hereinafter Criminal Justice and Political Cultures] (noting influence </w:t>
      </w:r>
      <w:r>
        <w:rPr>
          <w:rFonts w:eastAsia="Arial"/>
          <w:b/>
          <w:i/>
          <w:color w:val="000000"/>
          <w:sz w:val="18"/>
          <w:u w:val="single"/>
        </w:rPr>
        <w:t>United States</w:t>
      </w:r>
      <w:r>
        <w:rPr>
          <w:rFonts w:eastAsia="Arial"/>
          <w:color w:val="000000"/>
          <w:sz w:val="18"/>
        </w:rPr>
        <w:t xml:space="preserve">. has had on other countries regarding crime control policies). </w:t>
      </w:r>
    </w:p>
  </w:footnote>
  <w:footnote w:id="11">
    <w:p w14:paraId="178617EB" w14:textId="77777777" w:rsidR="005C4509" w:rsidRDefault="005C4509" w:rsidP="0031702E">
      <w:pPr>
        <w:spacing w:before="120" w:line="240" w:lineRule="atLeast"/>
        <w:jc w:val="both"/>
      </w:pPr>
      <w:r>
        <w:rPr>
          <w:rFonts w:eastAsia="Arial"/>
          <w:color w:val="000000"/>
          <w:sz w:val="18"/>
          <w:vertAlign w:val="superscript"/>
        </w:rPr>
        <w:t>46 </w:t>
      </w:r>
      <w:r>
        <w:rPr>
          <w:rFonts w:eastAsia="Arial"/>
          <w:color w:val="000000"/>
          <w:sz w:val="18"/>
        </w:rPr>
        <w:t xml:space="preserve"> See infra note 106. </w:t>
      </w:r>
    </w:p>
  </w:footnote>
  <w:footnote w:id="12">
    <w:p w14:paraId="0E504CBE" w14:textId="77777777" w:rsidR="005C4509" w:rsidRDefault="005C4509" w:rsidP="0031702E">
      <w:pPr>
        <w:spacing w:before="240" w:line="240" w:lineRule="atLeast"/>
        <w:jc w:val="both"/>
      </w:pPr>
      <w:r>
        <w:rPr>
          <w:rFonts w:eastAsia="Arial"/>
          <w:color w:val="000000"/>
          <w:sz w:val="18"/>
          <w:vertAlign w:val="superscript"/>
        </w:rPr>
        <w:t>47 </w:t>
      </w:r>
      <w:r>
        <w:rPr>
          <w:rFonts w:eastAsia="Arial"/>
          <w:color w:val="000000"/>
          <w:sz w:val="18"/>
        </w:rPr>
        <w:t xml:space="preserve"> In the </w:t>
      </w:r>
      <w:r>
        <w:rPr>
          <w:rFonts w:eastAsia="Arial"/>
          <w:b/>
          <w:i/>
          <w:color w:val="000000"/>
          <w:sz w:val="18"/>
          <w:u w:val="single"/>
        </w:rPr>
        <w:t>United States</w:t>
      </w:r>
      <w:r>
        <w:rPr>
          <w:rFonts w:eastAsia="Arial"/>
          <w:color w:val="000000"/>
          <w:sz w:val="18"/>
        </w:rPr>
        <w:t xml:space="preserve">, every state requires sex offenders to register with local law enforcement or has some form of community notification law permitting members of the general public to learn about sex offenders who live in the area. See Michael T. Cahill, Attempt by Omission, </w:t>
      </w:r>
      <w:hyperlink r:id="rId10" w:history="1">
        <w:r>
          <w:rPr>
            <w:rFonts w:eastAsia="Arial"/>
            <w:i/>
            <w:color w:val="0077CC"/>
            <w:sz w:val="18"/>
            <w:u w:val="single"/>
            <w:shd w:val="clear" w:color="auto" w:fill="FFFFFF"/>
          </w:rPr>
          <w:t>94 Iowa L. Rev. 1207, 1237 (2009).</w:t>
        </w:r>
      </w:hyperlink>
      <w:r>
        <w:rPr>
          <w:rFonts w:eastAsia="Arial"/>
          <w:color w:val="000000"/>
          <w:sz w:val="18"/>
        </w:rPr>
        <w:t xml:space="preserve"> Sex offender registration laws gained prominence in 1994, when the New Jersey legislature enacted its "Megan's Law," and the federal government "required states to register and gather information on sex offenders under threat of losing a portion of federal funds if they did not comply." Wayne A. Logan, Liberty Interests in the Preventive State: Procedural Due Process and Sex Offender Community Notification Laws, </w:t>
      </w:r>
      <w:hyperlink r:id="rId11" w:history="1">
        <w:r>
          <w:rPr>
            <w:rFonts w:eastAsia="Arial"/>
            <w:i/>
            <w:color w:val="0077CC"/>
            <w:sz w:val="18"/>
            <w:u w:val="single"/>
            <w:shd w:val="clear" w:color="auto" w:fill="FFFFFF"/>
          </w:rPr>
          <w:t>89 J. Crim. L. &amp; Criminology 1167, 1172-73 (1999).</w:t>
        </w:r>
      </w:hyperlink>
      <w:r>
        <w:rPr>
          <w:rFonts w:eastAsia="Arial"/>
          <w:color w:val="000000"/>
          <w:sz w:val="18"/>
        </w:rPr>
        <w:t xml:space="preserve"> By 1996, all of the states had enacted a registration requirement. See </w:t>
      </w:r>
      <w:hyperlink r:id="rId12" w:history="1">
        <w:r>
          <w:rPr>
            <w:rFonts w:eastAsia="Arial"/>
            <w:i/>
            <w:color w:val="0077CC"/>
            <w:sz w:val="18"/>
            <w:u w:val="single"/>
            <w:shd w:val="clear" w:color="auto" w:fill="FFFFFF"/>
          </w:rPr>
          <w:t>id. at 1173 n.26.</w:t>
        </w:r>
      </w:hyperlink>
      <w:r>
        <w:rPr>
          <w:rFonts w:eastAsia="Arial"/>
          <w:color w:val="000000"/>
          <w:sz w:val="18"/>
        </w:rPr>
        <w:t xml:space="preserve">  </w:t>
      </w:r>
    </w:p>
  </w:footnote>
  <w:footnote w:id="13">
    <w:p w14:paraId="399CDB9B" w14:textId="77777777" w:rsidR="005C4509" w:rsidRDefault="005C4509" w:rsidP="0031702E">
      <w:pPr>
        <w:spacing w:before="240" w:line="240" w:lineRule="atLeast"/>
        <w:jc w:val="both"/>
      </w:pPr>
      <w:r>
        <w:rPr>
          <w:rFonts w:eastAsia="Arial"/>
          <w:color w:val="000000"/>
          <w:sz w:val="18"/>
          <w:vertAlign w:val="superscript"/>
        </w:rPr>
        <w:t>48 </w:t>
      </w:r>
      <w:r>
        <w:rPr>
          <w:rFonts w:eastAsia="Arial"/>
          <w:color w:val="000000"/>
          <w:sz w:val="18"/>
        </w:rPr>
        <w:t xml:space="preserve"> In 1997, England enacted a statute that required sex offenders to notify law enforcement authorities of their names and addresses, as well as to update the authorities of any related changes. See Sex Offenders Act, 1997, c. 51 (Eng.), amended by Sexual Offenses (Amendment) Act, 2000, c. 44 (Eng.). There has been spirited debate about whether to enact community notification laws in addition to the reporting requirement. See Meghann J. Dugan, Note, Megan's Law or Sarah's Law? A Comparative Analysis of Public Notification Statutes in the </w:t>
      </w:r>
      <w:r>
        <w:rPr>
          <w:rFonts w:eastAsia="Arial"/>
          <w:b/>
          <w:i/>
          <w:color w:val="000000"/>
          <w:sz w:val="18"/>
          <w:u w:val="single"/>
        </w:rPr>
        <w:t>United States</w:t>
      </w:r>
      <w:r>
        <w:rPr>
          <w:rFonts w:eastAsia="Arial"/>
          <w:color w:val="000000"/>
          <w:sz w:val="18"/>
        </w:rPr>
        <w:t xml:space="preserve"> and England, </w:t>
      </w:r>
      <w:hyperlink r:id="rId13" w:history="1">
        <w:r>
          <w:rPr>
            <w:rFonts w:eastAsia="Arial"/>
            <w:i/>
            <w:color w:val="0077CC"/>
            <w:sz w:val="18"/>
            <w:u w:val="single"/>
            <w:shd w:val="clear" w:color="auto" w:fill="FFFFFF"/>
          </w:rPr>
          <w:t>23 Loy. L.A. Int'l &amp; Comp. L. Rev. 617, 618 (2001)</w:t>
        </w:r>
      </w:hyperlink>
      <w:r>
        <w:rPr>
          <w:rFonts w:eastAsia="Arial"/>
          <w:color w:val="000000"/>
          <w:sz w:val="18"/>
        </w:rPr>
        <w:t xml:space="preserve"> (discussing public debate). England began a project in September 2008 that allows parents in four pilot areas in England to ask authorities whether individuals with access to their children are convicted sex offenders or have been suspected of sexually abusing children. Matthew Hickley, Sarah's Law Arrives 8 Years On, But Can It Really Protect Children?, Daily Mail (U.K.), Sept. 15, 2008, at 11.</w:t>
      </w:r>
    </w:p>
    <w:p w14:paraId="51A1A731" w14:textId="77777777" w:rsidR="005C4509" w:rsidRDefault="005C4509" w:rsidP="0031702E">
      <w:pPr>
        <w:spacing w:before="200" w:line="240" w:lineRule="atLeast"/>
        <w:jc w:val="both"/>
      </w:pPr>
      <w:r>
        <w:rPr>
          <w:rFonts w:eastAsia="Arial"/>
          <w:color w:val="000000"/>
          <w:sz w:val="18"/>
        </w:rPr>
        <w:t xml:space="preserve">In 2000, "frustrated by the lack of any federal government response" in Canada, Alberta and Ontario enacted sex offender registration statutes. See Alfred J.C. O'Marra, The Impact of Inquests on the Criminal Justice System in Ontario: A Decade of Change, 10 Can. Crim. L. Rev. 117, 144 (2006). Federal registration requirements were subsequently enacted in 2004. Sex Offender Information Registration Act, 2004 S.C., ch. 10 (Can.), available at </w:t>
      </w:r>
      <w:hyperlink r:id="rId14" w:history="1">
        <w:r>
          <w:rPr>
            <w:rFonts w:eastAsia="Arial"/>
            <w:i/>
            <w:color w:val="0077CC"/>
            <w:sz w:val="18"/>
            <w:u w:val="single"/>
            <w:shd w:val="clear" w:color="auto" w:fill="FFFFFF"/>
          </w:rPr>
          <w:t>http://laws.justice.gc.ca/PDF/Statute/S/S-8.7.pdf</w:t>
        </w:r>
      </w:hyperlink>
      <w:r>
        <w:rPr>
          <w:rFonts w:eastAsia="Arial"/>
          <w:color w:val="000000"/>
          <w:sz w:val="18"/>
        </w:rPr>
        <w:t xml:space="preserve">. However, unlike the sex offender registries in the </w:t>
      </w:r>
      <w:r>
        <w:rPr>
          <w:rFonts w:eastAsia="Arial"/>
          <w:b/>
          <w:i/>
          <w:color w:val="000000"/>
          <w:sz w:val="18"/>
          <w:u w:val="single"/>
        </w:rPr>
        <w:t>United States</w:t>
      </w:r>
      <w:r>
        <w:rPr>
          <w:rFonts w:eastAsia="Arial"/>
          <w:color w:val="000000"/>
          <w:sz w:val="18"/>
        </w:rPr>
        <w:t>, which are open to the public, the registry in Canada is available only to law enforcement authorities in order to protect sex offenders' privacy and facilitate their reentry into the community. Id. § 2; see also Paul Turenne, 'Peg Cop Slams Sex Offender Registry, Winnipeg Sun (Can.), Aug. 2, 2006, at 3 (quoting police commander stating that "you have to have reasonable grounds to believe the query will assist in the investigation of a sexual offence").</w:t>
      </w:r>
    </w:p>
    <w:p w14:paraId="4197F37E" w14:textId="77777777" w:rsidR="005C4509" w:rsidRDefault="005C4509" w:rsidP="0031702E">
      <w:pPr>
        <w:spacing w:before="240" w:line="240" w:lineRule="atLeast"/>
        <w:jc w:val="both"/>
      </w:pPr>
      <w:r>
        <w:rPr>
          <w:rFonts w:eastAsia="Arial"/>
          <w:color w:val="000000"/>
          <w:sz w:val="18"/>
        </w:rPr>
        <w:t xml:space="preserve">In 2007, South Africa adopted its sex offender registration law. See Criminal Law (Sexual Offences and Related Matters) Amendment Act 32 of 2007 (S. Afr.), available at </w:t>
      </w:r>
      <w:hyperlink r:id="rId15" w:history="1">
        <w:r>
          <w:rPr>
            <w:rFonts w:eastAsia="Arial"/>
            <w:i/>
            <w:color w:val="0077CC"/>
            <w:sz w:val="18"/>
            <w:u w:val="single"/>
            <w:shd w:val="clear" w:color="auto" w:fill="FFFFFF"/>
          </w:rPr>
          <w:t>http://www.justice.gov.za/legislation/acts/2007-032.pdf</w:t>
        </w:r>
      </w:hyperlink>
      <w:r>
        <w:rPr>
          <w:rFonts w:eastAsia="Arial"/>
          <w:color w:val="000000"/>
          <w:sz w:val="18"/>
        </w:rPr>
        <w:t>. However, the registry is limited to offenders who commit their crimes "against a child or person who is mentally disabled." Id. s. 50. Moreover, like Canada, South Africa does not make its registry available to the general public. Instead, it is available to employers, licensing agencies, and adoption or foster care agencies. See id. ss. 43, 45, 47, 48.</w:t>
      </w:r>
    </w:p>
  </w:footnote>
  <w:footnote w:id="14">
    <w:p w14:paraId="6E4C2868" w14:textId="77777777" w:rsidR="005C4509" w:rsidRDefault="005C4509" w:rsidP="00603BBE">
      <w:pPr>
        <w:spacing w:before="240" w:line="240" w:lineRule="atLeast"/>
        <w:jc w:val="both"/>
      </w:pPr>
      <w:r>
        <w:rPr>
          <w:rFonts w:eastAsia="Arial"/>
          <w:color w:val="000000"/>
          <w:sz w:val="18"/>
          <w:vertAlign w:val="superscript"/>
        </w:rPr>
        <w:t>47 </w:t>
      </w:r>
      <w:r>
        <w:rPr>
          <w:rFonts w:eastAsia="Arial"/>
          <w:color w:val="000000"/>
          <w:sz w:val="18"/>
        </w:rPr>
        <w:t xml:space="preserve">  </w:t>
      </w:r>
      <w:hyperlink r:id="rId16" w:history="1">
        <w:r>
          <w:rPr>
            <w:rFonts w:eastAsia="Arial"/>
            <w:i/>
            <w:color w:val="0077CC"/>
            <w:sz w:val="18"/>
            <w:u w:val="single"/>
            <w:shd w:val="clear" w:color="auto" w:fill="FFFFFF"/>
          </w:rPr>
          <w:t xml:space="preserve">Chaunt v. </w:t>
        </w:r>
      </w:hyperlink>
      <w:hyperlink r:id="rId17" w:history="1">
        <w:r>
          <w:rPr>
            <w:rFonts w:eastAsia="Arial"/>
            <w:b/>
            <w:i/>
            <w:color w:val="0077CC"/>
            <w:sz w:val="18"/>
            <w:u w:val="single"/>
            <w:shd w:val="clear" w:color="auto" w:fill="FFFFFF"/>
          </w:rPr>
          <w:t>United States</w:t>
        </w:r>
      </w:hyperlink>
      <w:hyperlink r:id="rId18" w:history="1">
        <w:r>
          <w:rPr>
            <w:rFonts w:eastAsia="Arial"/>
            <w:i/>
            <w:color w:val="0077CC"/>
            <w:sz w:val="18"/>
            <w:u w:val="single"/>
            <w:shd w:val="clear" w:color="auto" w:fill="FFFFFF"/>
          </w:rPr>
          <w:t xml:space="preserve">, 364 </w:t>
        </w:r>
      </w:hyperlink>
      <w:hyperlink r:id="rId19" w:history="1">
        <w:r>
          <w:rPr>
            <w:rFonts w:eastAsia="Arial"/>
            <w:b/>
            <w:i/>
            <w:color w:val="0077CC"/>
            <w:sz w:val="18"/>
            <w:u w:val="single"/>
            <w:shd w:val="clear" w:color="auto" w:fill="FFFFFF"/>
          </w:rPr>
          <w:t>U.S.</w:t>
        </w:r>
      </w:hyperlink>
      <w:hyperlink r:id="rId20" w:history="1">
        <w:r>
          <w:rPr>
            <w:rFonts w:eastAsia="Arial"/>
            <w:i/>
            <w:color w:val="0077CC"/>
            <w:sz w:val="18"/>
            <w:u w:val="single"/>
            <w:shd w:val="clear" w:color="auto" w:fill="FFFFFF"/>
          </w:rPr>
          <w:t xml:space="preserve"> 350, 358 (1960)</w:t>
        </w:r>
      </w:hyperlink>
      <w:r>
        <w:rPr>
          <w:rFonts w:eastAsia="Arial"/>
          <w:color w:val="000000"/>
          <w:sz w:val="18"/>
        </w:rPr>
        <w:t xml:space="preserve"> (Clark, J., dissenting). </w:t>
      </w:r>
    </w:p>
  </w:footnote>
  <w:footnote w:id="15">
    <w:p w14:paraId="7AB708B3" w14:textId="77777777" w:rsidR="005C4509" w:rsidRDefault="005C4509" w:rsidP="00603BBE">
      <w:pPr>
        <w:spacing w:before="240" w:line="240" w:lineRule="atLeast"/>
        <w:jc w:val="both"/>
      </w:pPr>
      <w:r>
        <w:rPr>
          <w:rFonts w:eastAsia="Arial"/>
          <w:color w:val="000000"/>
          <w:sz w:val="18"/>
          <w:vertAlign w:val="superscript"/>
        </w:rPr>
        <w:t>48 </w:t>
      </w:r>
      <w:r>
        <w:rPr>
          <w:rFonts w:eastAsia="Arial"/>
          <w:color w:val="000000"/>
          <w:sz w:val="18"/>
        </w:rPr>
        <w:t xml:space="preserve">  </w:t>
      </w:r>
      <w:hyperlink r:id="rId21" w:history="1">
        <w:r>
          <w:rPr>
            <w:rFonts w:eastAsia="Arial"/>
            <w:i/>
            <w:color w:val="0077CC"/>
            <w:sz w:val="18"/>
            <w:u w:val="single"/>
            <w:shd w:val="clear" w:color="auto" w:fill="FFFFFF"/>
          </w:rPr>
          <w:t xml:space="preserve">Estep v. </w:t>
        </w:r>
      </w:hyperlink>
      <w:hyperlink r:id="rId22" w:history="1">
        <w:r>
          <w:rPr>
            <w:rFonts w:eastAsia="Arial"/>
            <w:b/>
            <w:i/>
            <w:color w:val="0077CC"/>
            <w:sz w:val="18"/>
            <w:u w:val="single"/>
            <w:shd w:val="clear" w:color="auto" w:fill="FFFFFF"/>
          </w:rPr>
          <w:t>United States</w:t>
        </w:r>
      </w:hyperlink>
      <w:hyperlink r:id="rId23" w:history="1">
        <w:r>
          <w:rPr>
            <w:rFonts w:eastAsia="Arial"/>
            <w:i/>
            <w:color w:val="0077CC"/>
            <w:sz w:val="18"/>
            <w:u w:val="single"/>
            <w:shd w:val="clear" w:color="auto" w:fill="FFFFFF"/>
          </w:rPr>
          <w:t xml:space="preserve">, 327 </w:t>
        </w:r>
      </w:hyperlink>
      <w:hyperlink r:id="rId24" w:history="1">
        <w:r>
          <w:rPr>
            <w:rFonts w:eastAsia="Arial"/>
            <w:b/>
            <w:i/>
            <w:color w:val="0077CC"/>
            <w:sz w:val="18"/>
            <w:u w:val="single"/>
            <w:shd w:val="clear" w:color="auto" w:fill="FFFFFF"/>
          </w:rPr>
          <w:t>U.S.</w:t>
        </w:r>
      </w:hyperlink>
      <w:hyperlink r:id="rId25" w:history="1">
        <w:r>
          <w:rPr>
            <w:rFonts w:eastAsia="Arial"/>
            <w:i/>
            <w:color w:val="0077CC"/>
            <w:sz w:val="18"/>
            <w:u w:val="single"/>
            <w:shd w:val="clear" w:color="auto" w:fill="FFFFFF"/>
          </w:rPr>
          <w:t xml:space="preserve"> 114, 122 (1946);</w:t>
        </w:r>
      </w:hyperlink>
      <w:r>
        <w:rPr>
          <w:rFonts w:eastAsia="Arial"/>
          <w:color w:val="000000"/>
          <w:sz w:val="18"/>
        </w:rPr>
        <w:t xml:space="preserve"> see also </w:t>
      </w:r>
      <w:hyperlink r:id="rId26" w:history="1">
        <w:r>
          <w:rPr>
            <w:rFonts w:eastAsia="Arial"/>
            <w:i/>
            <w:color w:val="0077CC"/>
            <w:sz w:val="18"/>
            <w:u w:val="single"/>
            <w:shd w:val="clear" w:color="auto" w:fill="FFFFFF"/>
          </w:rPr>
          <w:t xml:space="preserve">Daniels v. </w:t>
        </w:r>
      </w:hyperlink>
      <w:hyperlink r:id="rId27" w:history="1">
        <w:r>
          <w:rPr>
            <w:rFonts w:eastAsia="Arial"/>
            <w:b/>
            <w:i/>
            <w:color w:val="0077CC"/>
            <w:sz w:val="18"/>
            <w:u w:val="single"/>
            <w:shd w:val="clear" w:color="auto" w:fill="FFFFFF"/>
          </w:rPr>
          <w:t>United States</w:t>
        </w:r>
      </w:hyperlink>
      <w:hyperlink r:id="rId28" w:history="1">
        <w:r>
          <w:rPr>
            <w:rFonts w:eastAsia="Arial"/>
            <w:i/>
            <w:color w:val="0077CC"/>
            <w:sz w:val="18"/>
            <w:u w:val="single"/>
            <w:shd w:val="clear" w:color="auto" w:fill="FFFFFF"/>
          </w:rPr>
          <w:t xml:space="preserve">, 532 </w:t>
        </w:r>
      </w:hyperlink>
      <w:hyperlink r:id="rId29" w:history="1">
        <w:r>
          <w:rPr>
            <w:rFonts w:eastAsia="Arial"/>
            <w:b/>
            <w:i/>
            <w:color w:val="0077CC"/>
            <w:sz w:val="18"/>
            <w:u w:val="single"/>
            <w:shd w:val="clear" w:color="auto" w:fill="FFFFFF"/>
          </w:rPr>
          <w:t>U.S.</w:t>
        </w:r>
      </w:hyperlink>
      <w:hyperlink r:id="rId30" w:history="1">
        <w:r>
          <w:rPr>
            <w:rFonts w:eastAsia="Arial"/>
            <w:i/>
            <w:color w:val="0077CC"/>
            <w:sz w:val="18"/>
            <w:u w:val="single"/>
            <w:shd w:val="clear" w:color="auto" w:fill="FFFFFF"/>
          </w:rPr>
          <w:t xml:space="preserve"> 374, 379 (2001)</w:t>
        </w:r>
      </w:hyperlink>
      <w:r>
        <w:rPr>
          <w:rFonts w:eastAsia="Arial"/>
          <w:color w:val="000000"/>
          <w:sz w:val="18"/>
        </w:rPr>
        <w:t xml:space="preserve"> ("States impose a wide range of disabilities on those who have been convicted of crimes, even after their release."); </w:t>
      </w:r>
      <w:hyperlink r:id="rId31" w:history="1">
        <w:r>
          <w:rPr>
            <w:rFonts w:eastAsia="Arial"/>
            <w:i/>
            <w:color w:val="0077CC"/>
            <w:sz w:val="18"/>
            <w:u w:val="single"/>
            <w:shd w:val="clear" w:color="auto" w:fill="FFFFFF"/>
          </w:rPr>
          <w:t xml:space="preserve">Baldwin v. New York, 399 </w:t>
        </w:r>
      </w:hyperlink>
      <w:hyperlink r:id="rId32" w:history="1">
        <w:r>
          <w:rPr>
            <w:rFonts w:eastAsia="Arial"/>
            <w:b/>
            <w:i/>
            <w:color w:val="0077CC"/>
            <w:sz w:val="18"/>
            <w:u w:val="single"/>
            <w:shd w:val="clear" w:color="auto" w:fill="FFFFFF"/>
          </w:rPr>
          <w:t>U.S.</w:t>
        </w:r>
      </w:hyperlink>
      <w:hyperlink r:id="rId33" w:history="1">
        <w:r>
          <w:rPr>
            <w:rFonts w:eastAsia="Arial"/>
            <w:i/>
            <w:color w:val="0077CC"/>
            <w:sz w:val="18"/>
            <w:u w:val="single"/>
            <w:shd w:val="clear" w:color="auto" w:fill="FFFFFF"/>
          </w:rPr>
          <w:t xml:space="preserve"> 66, 69 n.8 (1970)</w:t>
        </w:r>
      </w:hyperlink>
      <w:r>
        <w:rPr>
          <w:rFonts w:eastAsia="Arial"/>
          <w:color w:val="000000"/>
          <w:sz w:val="18"/>
        </w:rPr>
        <w:t xml:space="preserve"> ("Both the convicted felon and the convicted misdemeanant may be prevented under New York law from engaging in a wide variety of occupations. In addition, the convicted felon is deprived of certain civil rights, including the right to vote and to hold public office."). </w:t>
      </w:r>
    </w:p>
  </w:footnote>
  <w:footnote w:id="16">
    <w:p w14:paraId="5AD5C305" w14:textId="77777777" w:rsidR="005C4509" w:rsidRDefault="005C4509" w:rsidP="00603BBE">
      <w:pPr>
        <w:spacing w:before="200" w:line="240" w:lineRule="atLeast"/>
        <w:jc w:val="both"/>
      </w:pPr>
      <w:r>
        <w:rPr>
          <w:rFonts w:eastAsia="Arial"/>
          <w:color w:val="000000"/>
          <w:sz w:val="18"/>
          <w:vertAlign w:val="superscript"/>
        </w:rPr>
        <w:t>49 </w:t>
      </w:r>
      <w:r>
        <w:rPr>
          <w:rFonts w:eastAsia="Arial"/>
          <w:color w:val="000000"/>
          <w:sz w:val="18"/>
        </w:rPr>
        <w:t xml:space="preserve"> See </w:t>
      </w:r>
      <w:hyperlink r:id="rId34" w:history="1">
        <w:r>
          <w:rPr>
            <w:rFonts w:eastAsia="Arial"/>
            <w:i/>
            <w:color w:val="0077CC"/>
            <w:sz w:val="18"/>
            <w:u w:val="single"/>
            <w:shd w:val="clear" w:color="auto" w:fill="FFFFFF"/>
          </w:rPr>
          <w:t xml:space="preserve">Argersinger v. Hamlin, 407 </w:t>
        </w:r>
      </w:hyperlink>
      <w:hyperlink r:id="rId35" w:history="1">
        <w:r>
          <w:rPr>
            <w:rFonts w:eastAsia="Arial"/>
            <w:b/>
            <w:i/>
            <w:color w:val="0077CC"/>
            <w:sz w:val="18"/>
            <w:u w:val="single"/>
            <w:shd w:val="clear" w:color="auto" w:fill="FFFFFF"/>
          </w:rPr>
          <w:t>U.S.</w:t>
        </w:r>
      </w:hyperlink>
      <w:hyperlink r:id="rId36" w:history="1">
        <w:r>
          <w:rPr>
            <w:rFonts w:eastAsia="Arial"/>
            <w:i/>
            <w:color w:val="0077CC"/>
            <w:sz w:val="18"/>
            <w:u w:val="single"/>
            <w:shd w:val="clear" w:color="auto" w:fill="FFFFFF"/>
          </w:rPr>
          <w:t xml:space="preserve"> 25, 48 n.11 (1972)</w:t>
        </w:r>
      </w:hyperlink>
      <w:r>
        <w:rPr>
          <w:rFonts w:eastAsia="Arial"/>
          <w:color w:val="000000"/>
          <w:sz w:val="18"/>
        </w:rPr>
        <w:t xml:space="preserve"> (Powell, J., concurring) (listing such civil disabilities as "forfeiture of public office, disqualification from a licensed profession, and loss of pension rights" (citations omitted)); see also </w:t>
      </w:r>
      <w:hyperlink r:id="rId37" w:history="1">
        <w:r>
          <w:rPr>
            <w:rFonts w:eastAsia="Arial"/>
            <w:i/>
            <w:color w:val="0077CC"/>
            <w:sz w:val="18"/>
            <w:u w:val="single"/>
            <w:shd w:val="clear" w:color="auto" w:fill="FFFFFF"/>
          </w:rPr>
          <w:t>Hopper v. State, 957 N.E.2d 613, 625 (Ind. 2011)</w:t>
        </w:r>
      </w:hyperlink>
      <w:r>
        <w:rPr>
          <w:rFonts w:eastAsia="Arial"/>
          <w:color w:val="000000"/>
          <w:sz w:val="18"/>
        </w:rPr>
        <w:t xml:space="preserve"> (Rucker, J., dissenting) ("Uncounseled pro se defendants may very well plead guilty even to certain misdemeanor offenses that carry devastating collateral consequences ranging from deportation, to eviction from public housing, to barriers in employment."); Jenny Roberts, Why Misdemeanors Matter: Defining Effective Advocacy in the Lower </w:t>
      </w:r>
      <w:r>
        <w:rPr>
          <w:rFonts w:eastAsia="Arial"/>
          <w:b/>
          <w:i/>
          <w:color w:val="000000"/>
          <w:sz w:val="18"/>
          <w:u w:val="single"/>
        </w:rPr>
        <w:t>Courts</w:t>
      </w:r>
      <w:r>
        <w:rPr>
          <w:rFonts w:eastAsia="Arial"/>
          <w:color w:val="000000"/>
          <w:sz w:val="18"/>
        </w:rPr>
        <w:t xml:space="preserve">, </w:t>
      </w:r>
      <w:hyperlink r:id="rId38" w:history="1">
        <w:r>
          <w:rPr>
            <w:rFonts w:eastAsia="Arial"/>
            <w:i/>
            <w:color w:val="0077CC"/>
            <w:sz w:val="18"/>
            <w:u w:val="single"/>
            <w:shd w:val="clear" w:color="auto" w:fill="FFFFFF"/>
          </w:rPr>
          <w:t>45 U.C. Davis L. Rev. 277, 297-303 (2011)</w:t>
        </w:r>
      </w:hyperlink>
      <w:r>
        <w:rPr>
          <w:rFonts w:eastAsia="Arial"/>
          <w:color w:val="000000"/>
          <w:sz w:val="18"/>
        </w:rPr>
        <w:t xml:space="preserve"> (reviewing a list of possible collateral consequences of misdemeanors, including deportation for noncitizens, sex-offender registration, and eviction from public housing). Misdemeanor convictions can also lead to sex offender registration, e.g., </w:t>
      </w:r>
      <w:hyperlink r:id="rId39" w:history="1">
        <w:r>
          <w:rPr>
            <w:rFonts w:eastAsia="Arial"/>
            <w:b/>
            <w:i/>
            <w:color w:val="0077CC"/>
            <w:sz w:val="18"/>
            <w:u w:val="single"/>
            <w:shd w:val="clear" w:color="auto" w:fill="FFFFFF"/>
          </w:rPr>
          <w:t>United States</w:t>
        </w:r>
      </w:hyperlink>
      <w:hyperlink r:id="rId40" w:history="1">
        <w:r>
          <w:rPr>
            <w:rFonts w:eastAsia="Arial"/>
            <w:i/>
            <w:color w:val="0077CC"/>
            <w:sz w:val="18"/>
            <w:u w:val="single"/>
            <w:shd w:val="clear" w:color="auto" w:fill="FFFFFF"/>
          </w:rPr>
          <w:t xml:space="preserve"> v. Ross, 778 F. Supp. 2d 13, 15 (D.D.C. 2011),</w:t>
        </w:r>
      </w:hyperlink>
      <w:r>
        <w:rPr>
          <w:rFonts w:eastAsia="Arial"/>
          <w:color w:val="000000"/>
          <w:sz w:val="18"/>
        </w:rPr>
        <w:t xml:space="preserve"> or deportation, e.g., </w:t>
      </w:r>
      <w:hyperlink r:id="rId41" w:history="1">
        <w:r>
          <w:rPr>
            <w:rFonts w:eastAsia="Arial"/>
            <w:i/>
            <w:color w:val="0077CC"/>
            <w:sz w:val="18"/>
            <w:u w:val="single"/>
            <w:shd w:val="clear" w:color="auto" w:fill="FFFFFF"/>
          </w:rPr>
          <w:t>Carachuri-Rosendo v. Holder, 130 S. Ct. 2577, 2580-81 (2010).</w:t>
        </w:r>
      </w:hyperlink>
      <w:r>
        <w:rPr>
          <w:rFonts w:eastAsia="Arial"/>
          <w:color w:val="000000"/>
          <w:sz w:val="18"/>
        </w:rPr>
        <w:t xml:space="preserve"> Disenfranchisement is also imposed on people with misdemeanor convictions under the law of some states. See, e.g., </w:t>
      </w:r>
      <w:hyperlink r:id="rId42" w:history="1">
        <w:r>
          <w:rPr>
            <w:rFonts w:eastAsia="Arial"/>
            <w:i/>
            <w:color w:val="0077CC"/>
            <w:sz w:val="18"/>
            <w:u w:val="single"/>
            <w:shd w:val="clear" w:color="auto" w:fill="FFFFFF"/>
          </w:rPr>
          <w:t>S.C. Code Ann. § 7-5-120(B)(2)</w:t>
        </w:r>
      </w:hyperlink>
      <w:r>
        <w:rPr>
          <w:rFonts w:eastAsia="Arial"/>
          <w:color w:val="000000"/>
          <w:sz w:val="18"/>
        </w:rPr>
        <w:t xml:space="preserve">-(3) (Supp. 2008); </w:t>
      </w:r>
      <w:hyperlink r:id="rId43" w:history="1">
        <w:r>
          <w:rPr>
            <w:rFonts w:eastAsia="Arial"/>
            <w:i/>
            <w:color w:val="0077CC"/>
            <w:sz w:val="18"/>
            <w:u w:val="single"/>
            <w:shd w:val="clear" w:color="auto" w:fill="FFFFFF"/>
          </w:rPr>
          <w:t>Snyder v. King, 958 N.E.2d 764, 788 (Ind. 2011);</w:t>
        </w:r>
      </w:hyperlink>
      <w:r>
        <w:rPr>
          <w:rFonts w:eastAsia="Arial"/>
          <w:color w:val="000000"/>
          <w:sz w:val="18"/>
        </w:rPr>
        <w:t xml:space="preserve"> see also </w:t>
      </w:r>
      <w:hyperlink r:id="rId44" w:history="1">
        <w:r>
          <w:rPr>
            <w:rFonts w:eastAsia="Arial"/>
            <w:i/>
            <w:color w:val="0077CC"/>
            <w:sz w:val="18"/>
            <w:u w:val="single"/>
            <w:shd w:val="clear" w:color="auto" w:fill="FFFFFF"/>
          </w:rPr>
          <w:t xml:space="preserve">Richardson v. Ramirez, 418 </w:t>
        </w:r>
      </w:hyperlink>
      <w:hyperlink r:id="rId45" w:history="1">
        <w:r>
          <w:rPr>
            <w:rFonts w:eastAsia="Arial"/>
            <w:b/>
            <w:i/>
            <w:color w:val="0077CC"/>
            <w:sz w:val="18"/>
            <w:u w:val="single"/>
            <w:shd w:val="clear" w:color="auto" w:fill="FFFFFF"/>
          </w:rPr>
          <w:t>U.S.</w:t>
        </w:r>
      </w:hyperlink>
      <w:hyperlink r:id="rId46" w:history="1">
        <w:r>
          <w:rPr>
            <w:rFonts w:eastAsia="Arial"/>
            <w:i/>
            <w:color w:val="0077CC"/>
            <w:sz w:val="18"/>
            <w:u w:val="single"/>
            <w:shd w:val="clear" w:color="auto" w:fill="FFFFFF"/>
          </w:rPr>
          <w:t xml:space="preserve"> 24, 76 n.24 (1974)</w:t>
        </w:r>
      </w:hyperlink>
      <w:r>
        <w:rPr>
          <w:rFonts w:eastAsia="Arial"/>
          <w:color w:val="000000"/>
          <w:sz w:val="18"/>
        </w:rPr>
        <w:t xml:space="preserve"> (Marshall, J., dissenting) ("Even a jaywalking or traffic conviction could conceivably lead to disenfranchisement, since § 2 [of the Fourteenth Amendment] does not differentiate between felonies and misdemeanors."); </w:t>
      </w:r>
      <w:hyperlink r:id="rId47" w:history="1">
        <w:r>
          <w:rPr>
            <w:rFonts w:eastAsia="Arial"/>
            <w:i/>
            <w:color w:val="0077CC"/>
            <w:sz w:val="18"/>
            <w:u w:val="single"/>
            <w:shd w:val="clear" w:color="auto" w:fill="FFFFFF"/>
          </w:rPr>
          <w:t>Kane v. Winn, 319 F. Supp. 2d 162, 177 n.18 (D. Mass. 2004)</w:t>
        </w:r>
      </w:hyperlink>
      <w:r>
        <w:rPr>
          <w:rFonts w:eastAsia="Arial"/>
          <w:color w:val="000000"/>
          <w:sz w:val="18"/>
        </w:rPr>
        <w:t xml:space="preserve"> ("The </w:t>
      </w:r>
      <w:r>
        <w:rPr>
          <w:rFonts w:eastAsia="Arial"/>
          <w:b/>
          <w:i/>
          <w:color w:val="000000"/>
          <w:sz w:val="18"/>
          <w:u w:val="single"/>
        </w:rPr>
        <w:t>Court</w:t>
      </w:r>
      <w:r>
        <w:rPr>
          <w:rFonts w:eastAsia="Arial"/>
          <w:color w:val="000000"/>
          <w:sz w:val="18"/>
        </w:rPr>
        <w:t xml:space="preserve"> does not use the term "felon,' often used in discussing the disenfranchisement problem, because it is in fact possible to lose the vote for conviction of misdemeanors … ."). </w:t>
      </w:r>
    </w:p>
  </w:footnote>
  <w:footnote w:id="17">
    <w:p w14:paraId="55A78ABB" w14:textId="77777777" w:rsidR="005C4509" w:rsidRDefault="005C4509" w:rsidP="00603BBE">
      <w:pPr>
        <w:spacing w:before="240" w:line="240" w:lineRule="atLeast"/>
        <w:jc w:val="both"/>
      </w:pPr>
      <w:r>
        <w:rPr>
          <w:rFonts w:eastAsia="Arial"/>
          <w:color w:val="000000"/>
          <w:sz w:val="18"/>
          <w:vertAlign w:val="superscript"/>
        </w:rPr>
        <w:t>50 </w:t>
      </w:r>
      <w:r>
        <w:rPr>
          <w:rFonts w:eastAsia="Arial"/>
          <w:color w:val="000000"/>
          <w:sz w:val="18"/>
        </w:rPr>
        <w:t xml:space="preserve">  </w:t>
      </w:r>
      <w:hyperlink r:id="rId48" w:history="1">
        <w:r>
          <w:rPr>
            <w:rFonts w:eastAsia="Arial"/>
            <w:i/>
            <w:color w:val="0077CC"/>
            <w:sz w:val="18"/>
            <w:u w:val="single"/>
            <w:shd w:val="clear" w:color="auto" w:fill="FFFFFF"/>
          </w:rPr>
          <w:t xml:space="preserve">Fiswick v. </w:t>
        </w:r>
      </w:hyperlink>
      <w:hyperlink r:id="rId49" w:history="1">
        <w:r>
          <w:rPr>
            <w:rFonts w:eastAsia="Arial"/>
            <w:b/>
            <w:i/>
            <w:color w:val="0077CC"/>
            <w:sz w:val="18"/>
            <w:u w:val="single"/>
            <w:shd w:val="clear" w:color="auto" w:fill="FFFFFF"/>
          </w:rPr>
          <w:t>United States</w:t>
        </w:r>
      </w:hyperlink>
      <w:hyperlink r:id="rId50" w:history="1">
        <w:r>
          <w:rPr>
            <w:rFonts w:eastAsia="Arial"/>
            <w:i/>
            <w:color w:val="0077CC"/>
            <w:sz w:val="18"/>
            <w:u w:val="single"/>
            <w:shd w:val="clear" w:color="auto" w:fill="FFFFFF"/>
          </w:rPr>
          <w:t xml:space="preserve">, 329 </w:t>
        </w:r>
      </w:hyperlink>
      <w:hyperlink r:id="rId51" w:history="1">
        <w:r>
          <w:rPr>
            <w:rFonts w:eastAsia="Arial"/>
            <w:b/>
            <w:i/>
            <w:color w:val="0077CC"/>
            <w:sz w:val="18"/>
            <w:u w:val="single"/>
            <w:shd w:val="clear" w:color="auto" w:fill="FFFFFF"/>
          </w:rPr>
          <w:t>U.S.</w:t>
        </w:r>
      </w:hyperlink>
      <w:hyperlink r:id="rId52" w:history="1">
        <w:r>
          <w:rPr>
            <w:rFonts w:eastAsia="Arial"/>
            <w:i/>
            <w:color w:val="0077CC"/>
            <w:sz w:val="18"/>
            <w:u w:val="single"/>
            <w:shd w:val="clear" w:color="auto" w:fill="FFFFFF"/>
          </w:rPr>
          <w:t xml:space="preserve"> 211, 222 (1946);</w:t>
        </w:r>
      </w:hyperlink>
      <w:r>
        <w:rPr>
          <w:rFonts w:eastAsia="Arial"/>
          <w:color w:val="000000"/>
          <w:sz w:val="18"/>
        </w:rPr>
        <w:t xml:space="preserve"> see also, e.g., </w:t>
      </w:r>
      <w:hyperlink r:id="rId53" w:history="1">
        <w:r>
          <w:rPr>
            <w:rFonts w:eastAsia="Arial"/>
            <w:i/>
            <w:color w:val="0077CC"/>
            <w:sz w:val="18"/>
            <w:u w:val="single"/>
            <w:shd w:val="clear" w:color="auto" w:fill="FFFFFF"/>
          </w:rPr>
          <w:t xml:space="preserve">Chaunt, 364 </w:t>
        </w:r>
      </w:hyperlink>
      <w:hyperlink r:id="rId54" w:history="1">
        <w:r>
          <w:rPr>
            <w:rFonts w:eastAsia="Arial"/>
            <w:b/>
            <w:i/>
            <w:color w:val="0077CC"/>
            <w:sz w:val="18"/>
            <w:u w:val="single"/>
            <w:shd w:val="clear" w:color="auto" w:fill="FFFFFF"/>
          </w:rPr>
          <w:t>U.S.</w:t>
        </w:r>
      </w:hyperlink>
      <w:hyperlink r:id="rId55" w:history="1">
        <w:r>
          <w:rPr>
            <w:rFonts w:eastAsia="Arial"/>
            <w:i/>
            <w:color w:val="0077CC"/>
            <w:sz w:val="18"/>
            <w:u w:val="single"/>
            <w:shd w:val="clear" w:color="auto" w:fill="FFFFFF"/>
          </w:rPr>
          <w:t xml:space="preserve"> at 356</w:t>
        </w:r>
      </w:hyperlink>
      <w:r>
        <w:rPr>
          <w:rFonts w:eastAsia="Arial"/>
          <w:color w:val="000000"/>
          <w:sz w:val="18"/>
        </w:rPr>
        <w:t xml:space="preserve"> (Clark, J., dissenting) (noting that a federal felony conviction "strips an offender of all civil rights and leaves a shattered character that only a presidential pardon can mend"); </w:t>
      </w:r>
      <w:hyperlink r:id="rId56" w:history="1">
        <w:r>
          <w:rPr>
            <w:rFonts w:eastAsia="Arial"/>
            <w:i/>
            <w:color w:val="0077CC"/>
            <w:sz w:val="18"/>
            <w:u w:val="single"/>
            <w:shd w:val="clear" w:color="auto" w:fill="FFFFFF"/>
          </w:rPr>
          <w:t xml:space="preserve">Parker v. Ellis, 362 </w:t>
        </w:r>
      </w:hyperlink>
      <w:hyperlink r:id="rId57" w:history="1">
        <w:r>
          <w:rPr>
            <w:rFonts w:eastAsia="Arial"/>
            <w:b/>
            <w:i/>
            <w:color w:val="0077CC"/>
            <w:sz w:val="18"/>
            <w:u w:val="single"/>
            <w:shd w:val="clear" w:color="auto" w:fill="FFFFFF"/>
          </w:rPr>
          <w:t>U.S.</w:t>
        </w:r>
      </w:hyperlink>
      <w:hyperlink r:id="rId58" w:history="1">
        <w:r>
          <w:rPr>
            <w:rFonts w:eastAsia="Arial"/>
            <w:i/>
            <w:color w:val="0077CC"/>
            <w:sz w:val="18"/>
            <w:u w:val="single"/>
            <w:shd w:val="clear" w:color="auto" w:fill="FFFFFF"/>
          </w:rPr>
          <w:t xml:space="preserve"> 574, 593-94 (1960)</w:t>
        </w:r>
      </w:hyperlink>
      <w:r>
        <w:rPr>
          <w:rFonts w:eastAsia="Arial"/>
          <w:color w:val="000000"/>
          <w:sz w:val="18"/>
        </w:rPr>
        <w:t xml:space="preserve"> (Warren, C.J., dissenting) ("Conviction of a felony imposes a status upon a person which not only makes him vulnerable to future sanctions through new civil disability statutes, but which also seriously affects his reputation and economic opportunities."), overruled by </w:t>
      </w:r>
      <w:hyperlink r:id="rId59" w:history="1">
        <w:r>
          <w:rPr>
            <w:rFonts w:eastAsia="Arial"/>
            <w:i/>
            <w:color w:val="0077CC"/>
            <w:sz w:val="18"/>
            <w:u w:val="single"/>
            <w:shd w:val="clear" w:color="auto" w:fill="FFFFFF"/>
          </w:rPr>
          <w:t xml:space="preserve">Carafas v. LaVallee, 391 </w:t>
        </w:r>
      </w:hyperlink>
      <w:hyperlink r:id="rId60" w:history="1">
        <w:r>
          <w:rPr>
            <w:rFonts w:eastAsia="Arial"/>
            <w:b/>
            <w:i/>
            <w:color w:val="0077CC"/>
            <w:sz w:val="18"/>
            <w:u w:val="single"/>
            <w:shd w:val="clear" w:color="auto" w:fill="FFFFFF"/>
          </w:rPr>
          <w:t>U.S.</w:t>
        </w:r>
      </w:hyperlink>
      <w:hyperlink r:id="rId61" w:history="1">
        <w:r>
          <w:rPr>
            <w:rFonts w:eastAsia="Arial"/>
            <w:i/>
            <w:color w:val="0077CC"/>
            <w:sz w:val="18"/>
            <w:u w:val="single"/>
            <w:shd w:val="clear" w:color="auto" w:fill="FFFFFF"/>
          </w:rPr>
          <w:t xml:space="preserve"> 234 (1968).</w:t>
        </w:r>
      </w:hyperlink>
      <w:r>
        <w:rPr>
          <w:rFonts w:eastAsia="Arial"/>
          <w:color w:val="000000"/>
          <w:sz w:val="18"/>
        </w:rPr>
        <w:t xml:space="preserve">  </w:t>
      </w:r>
    </w:p>
  </w:footnote>
  <w:footnote w:id="18">
    <w:p w14:paraId="178201B3" w14:textId="77777777" w:rsidR="005C4509" w:rsidRDefault="005C4509" w:rsidP="00603BBE">
      <w:pPr>
        <w:spacing w:before="240" w:line="240" w:lineRule="atLeast"/>
        <w:jc w:val="both"/>
      </w:pPr>
      <w:r>
        <w:rPr>
          <w:rFonts w:eastAsia="Arial"/>
          <w:color w:val="000000"/>
          <w:sz w:val="18"/>
          <w:vertAlign w:val="superscript"/>
        </w:rPr>
        <w:t>51 </w:t>
      </w:r>
      <w:r>
        <w:rPr>
          <w:rFonts w:eastAsia="Arial"/>
          <w:color w:val="000000"/>
          <w:sz w:val="18"/>
        </w:rPr>
        <w:t xml:space="preserve"> See Legal Action Ctr., After Prison: Roadblocks to Reentry (2004), available at </w:t>
      </w:r>
      <w:hyperlink r:id="rId62" w:history="1">
        <w:r>
          <w:rPr>
            <w:rFonts w:eastAsia="Arial"/>
            <w:i/>
            <w:color w:val="0077CC"/>
            <w:sz w:val="18"/>
            <w:u w:val="single"/>
            <w:shd w:val="clear" w:color="auto" w:fill="FFFFFF"/>
          </w:rPr>
          <w:t>http://www.lac.org/roadblocks-to-reentry/upload/lacreport/LAC_PrintReport.pdf</w:t>
        </w:r>
      </w:hyperlink>
      <w:r>
        <w:rPr>
          <w:rFonts w:eastAsia="Arial"/>
          <w:color w:val="000000"/>
          <w:sz w:val="18"/>
        </w:rPr>
        <w:t xml:space="preserve"> (discussing the legal barriers facing individuals following a criminal conviction). But see</w:t>
      </w:r>
      <w:hyperlink r:id="rId63" w:history="1">
        <w:r>
          <w:rPr>
            <w:rFonts w:eastAsia="Arial"/>
            <w:i/>
            <w:color w:val="0077CC"/>
            <w:sz w:val="18"/>
            <w:u w:val="single"/>
            <w:shd w:val="clear" w:color="auto" w:fill="FFFFFF"/>
          </w:rPr>
          <w:t xml:space="preserve">Caron v. </w:t>
        </w:r>
      </w:hyperlink>
      <w:hyperlink r:id="rId64" w:history="1">
        <w:r>
          <w:rPr>
            <w:rFonts w:eastAsia="Arial"/>
            <w:b/>
            <w:i/>
            <w:color w:val="0077CC"/>
            <w:sz w:val="18"/>
            <w:u w:val="single"/>
            <w:shd w:val="clear" w:color="auto" w:fill="FFFFFF"/>
          </w:rPr>
          <w:t>United States</w:t>
        </w:r>
      </w:hyperlink>
      <w:hyperlink r:id="rId65" w:history="1">
        <w:r>
          <w:rPr>
            <w:rFonts w:eastAsia="Arial"/>
            <w:i/>
            <w:color w:val="0077CC"/>
            <w:sz w:val="18"/>
            <w:u w:val="single"/>
            <w:shd w:val="clear" w:color="auto" w:fill="FFFFFF"/>
          </w:rPr>
          <w:t xml:space="preserve">, 524 </w:t>
        </w:r>
      </w:hyperlink>
      <w:hyperlink r:id="rId66" w:history="1">
        <w:r>
          <w:rPr>
            <w:rFonts w:eastAsia="Arial"/>
            <w:b/>
            <w:i/>
            <w:color w:val="0077CC"/>
            <w:sz w:val="18"/>
            <w:u w:val="single"/>
            <w:shd w:val="clear" w:color="auto" w:fill="FFFFFF"/>
          </w:rPr>
          <w:t>U.S.</w:t>
        </w:r>
      </w:hyperlink>
      <w:hyperlink r:id="rId67" w:history="1">
        <w:r>
          <w:rPr>
            <w:rFonts w:eastAsia="Arial"/>
            <w:i/>
            <w:color w:val="0077CC"/>
            <w:sz w:val="18"/>
            <w:u w:val="single"/>
            <w:shd w:val="clear" w:color="auto" w:fill="FFFFFF"/>
          </w:rPr>
          <w:t xml:space="preserve"> 308, 318 (2007)</w:t>
        </w:r>
      </w:hyperlink>
      <w:r>
        <w:rPr>
          <w:rFonts w:eastAsia="Arial"/>
          <w:color w:val="000000"/>
          <w:sz w:val="18"/>
        </w:rPr>
        <w:t xml:space="preserve"> (Thomas, J., dissenting) (discussing the possibility that "an ex-felon's … civil rights, such as the right to vote, the right to seek and to hold public office, and the right to serve on a jury, [might be] restored. In restoring those rights, the State has presumably deemed such ex-felons worthy of participating in civic life." (citation omitted)). </w:t>
      </w:r>
    </w:p>
  </w:footnote>
  <w:footnote w:id="19">
    <w:p w14:paraId="7187FABA" w14:textId="77777777" w:rsidR="005C4509" w:rsidRDefault="005C4509" w:rsidP="00603BBE">
      <w:pPr>
        <w:spacing w:before="240" w:line="240" w:lineRule="atLeast"/>
        <w:jc w:val="both"/>
      </w:pPr>
      <w:r>
        <w:rPr>
          <w:rFonts w:eastAsia="Arial"/>
          <w:color w:val="000000"/>
          <w:sz w:val="18"/>
          <w:vertAlign w:val="superscript"/>
        </w:rPr>
        <w:t>52 </w:t>
      </w:r>
      <w:r>
        <w:rPr>
          <w:rFonts w:eastAsia="Arial"/>
          <w:color w:val="000000"/>
          <w:sz w:val="18"/>
        </w:rPr>
        <w:t xml:space="preserve">  </w:t>
      </w:r>
      <w:hyperlink r:id="rId68" w:history="1">
        <w:r>
          <w:rPr>
            <w:rFonts w:eastAsia="Arial"/>
            <w:i/>
            <w:color w:val="0077CC"/>
            <w:sz w:val="18"/>
            <w:u w:val="single"/>
            <w:shd w:val="clear" w:color="auto" w:fill="FFFFFF"/>
          </w:rPr>
          <w:t xml:space="preserve">North Carolina v. Rice, 404 </w:t>
        </w:r>
      </w:hyperlink>
      <w:hyperlink r:id="rId69" w:history="1">
        <w:r>
          <w:rPr>
            <w:rFonts w:eastAsia="Arial"/>
            <w:b/>
            <w:i/>
            <w:color w:val="0077CC"/>
            <w:sz w:val="18"/>
            <w:u w:val="single"/>
            <w:shd w:val="clear" w:color="auto" w:fill="FFFFFF"/>
          </w:rPr>
          <w:t>U.S.</w:t>
        </w:r>
      </w:hyperlink>
      <w:hyperlink r:id="rId70" w:history="1">
        <w:r>
          <w:rPr>
            <w:rFonts w:eastAsia="Arial"/>
            <w:i/>
            <w:color w:val="0077CC"/>
            <w:sz w:val="18"/>
            <w:u w:val="single"/>
            <w:shd w:val="clear" w:color="auto" w:fill="FFFFFF"/>
          </w:rPr>
          <w:t xml:space="preserve"> 244, 247 n.1 (1971)</w:t>
        </w:r>
      </w:hyperlink>
      <w:r>
        <w:rPr>
          <w:rFonts w:eastAsia="Arial"/>
          <w:color w:val="000000"/>
          <w:sz w:val="18"/>
        </w:rPr>
        <w:t xml:space="preserve"> (citations omitted). </w:t>
      </w:r>
    </w:p>
  </w:footnote>
  <w:footnote w:id="20">
    <w:p w14:paraId="08AAB573" w14:textId="77777777" w:rsidR="005C4509" w:rsidRDefault="005C4509" w:rsidP="00603BBE">
      <w:pPr>
        <w:spacing w:before="240" w:line="240" w:lineRule="atLeast"/>
        <w:jc w:val="both"/>
      </w:pPr>
      <w:r>
        <w:rPr>
          <w:rFonts w:eastAsia="Arial"/>
          <w:color w:val="000000"/>
          <w:sz w:val="18"/>
          <w:vertAlign w:val="superscript"/>
        </w:rPr>
        <w:t>53 </w:t>
      </w:r>
      <w:r>
        <w:rPr>
          <w:rFonts w:eastAsia="Arial"/>
          <w:color w:val="000000"/>
          <w:sz w:val="18"/>
        </w:rPr>
        <w:t xml:space="preserve"> See </w:t>
      </w:r>
      <w:hyperlink r:id="rId71" w:history="1">
        <w:r>
          <w:rPr>
            <w:rFonts w:eastAsia="Arial"/>
            <w:i/>
            <w:color w:val="0077CC"/>
            <w:sz w:val="18"/>
            <w:u w:val="single"/>
            <w:shd w:val="clear" w:color="auto" w:fill="FFFFFF"/>
          </w:rPr>
          <w:t xml:space="preserve">District of Columbia v. Heller, 554 </w:t>
        </w:r>
      </w:hyperlink>
      <w:hyperlink r:id="rId72" w:history="1">
        <w:r>
          <w:rPr>
            <w:rFonts w:eastAsia="Arial"/>
            <w:b/>
            <w:i/>
            <w:color w:val="0077CC"/>
            <w:sz w:val="18"/>
            <w:u w:val="single"/>
            <w:shd w:val="clear" w:color="auto" w:fill="FFFFFF"/>
          </w:rPr>
          <w:t>U.S.</w:t>
        </w:r>
      </w:hyperlink>
      <w:hyperlink r:id="rId73" w:history="1">
        <w:r>
          <w:rPr>
            <w:rFonts w:eastAsia="Arial"/>
            <w:i/>
            <w:color w:val="0077CC"/>
            <w:sz w:val="18"/>
            <w:u w:val="single"/>
            <w:shd w:val="clear" w:color="auto" w:fill="FFFFFF"/>
          </w:rPr>
          <w:t xml:space="preserve"> 570, 626 (2008)</w:t>
        </w:r>
      </w:hyperlink>
      <w:r>
        <w:rPr>
          <w:rFonts w:eastAsia="Arial"/>
          <w:color w:val="000000"/>
          <w:sz w:val="18"/>
        </w:rPr>
        <w:t xml:space="preserve"> (recognizing a fundamental Second Amendment right to keep and bear arms, but noting that "nothing in our opinion should be taken to cast doubt on longstanding prohibitions on the possession of firearms by felons"). </w:t>
      </w:r>
    </w:p>
  </w:footnote>
  <w:footnote w:id="21">
    <w:p w14:paraId="17FFA444" w14:textId="77777777" w:rsidR="005C4509" w:rsidRDefault="005C4509" w:rsidP="00603BBE">
      <w:pPr>
        <w:spacing w:before="240" w:line="240" w:lineRule="atLeast"/>
        <w:jc w:val="both"/>
      </w:pPr>
      <w:r>
        <w:rPr>
          <w:rFonts w:eastAsia="Arial"/>
          <w:color w:val="000000"/>
          <w:sz w:val="18"/>
          <w:vertAlign w:val="superscript"/>
        </w:rPr>
        <w:t>54 </w:t>
      </w:r>
      <w:r>
        <w:rPr>
          <w:rFonts w:eastAsia="Arial"/>
          <w:color w:val="000000"/>
          <w:sz w:val="18"/>
        </w:rPr>
        <w:t xml:space="preserve"> See </w:t>
      </w:r>
      <w:hyperlink r:id="rId74" w:history="1">
        <w:r>
          <w:rPr>
            <w:rFonts w:eastAsia="Arial"/>
            <w:i/>
            <w:color w:val="0077CC"/>
            <w:sz w:val="18"/>
            <w:u w:val="single"/>
            <w:shd w:val="clear" w:color="auto" w:fill="FFFFFF"/>
          </w:rPr>
          <w:t xml:space="preserve">Mahler v. Eby, 264 </w:t>
        </w:r>
      </w:hyperlink>
      <w:hyperlink r:id="rId75" w:history="1">
        <w:r>
          <w:rPr>
            <w:rFonts w:eastAsia="Arial"/>
            <w:b/>
            <w:i/>
            <w:color w:val="0077CC"/>
            <w:sz w:val="18"/>
            <w:u w:val="single"/>
            <w:shd w:val="clear" w:color="auto" w:fill="FFFFFF"/>
          </w:rPr>
          <w:t>U.S.</w:t>
        </w:r>
      </w:hyperlink>
      <w:hyperlink r:id="rId76" w:history="1">
        <w:r>
          <w:rPr>
            <w:rFonts w:eastAsia="Arial"/>
            <w:i/>
            <w:color w:val="0077CC"/>
            <w:sz w:val="18"/>
            <w:u w:val="single"/>
            <w:shd w:val="clear" w:color="auto" w:fill="FFFFFF"/>
          </w:rPr>
          <w:t xml:space="preserve"> 32, 39 (1924)</w:t>
        </w:r>
      </w:hyperlink>
      <w:r>
        <w:rPr>
          <w:rFonts w:eastAsia="Arial"/>
          <w:color w:val="000000"/>
          <w:sz w:val="18"/>
        </w:rPr>
        <w:t xml:space="preserve"> ("It is well settled that deportation, while it may be burdensome and severe for the alien, is not a punishment."). </w:t>
      </w:r>
    </w:p>
  </w:footnote>
  <w:footnote w:id="22">
    <w:p w14:paraId="454D93FA" w14:textId="77777777" w:rsidR="005C4509" w:rsidRDefault="005C4509" w:rsidP="00603BBE">
      <w:pPr>
        <w:spacing w:before="240" w:line="240" w:lineRule="atLeast"/>
        <w:jc w:val="both"/>
      </w:pPr>
      <w:r>
        <w:rPr>
          <w:rFonts w:eastAsia="Arial"/>
          <w:color w:val="000000"/>
          <w:sz w:val="18"/>
          <w:vertAlign w:val="superscript"/>
        </w:rPr>
        <w:t>55 </w:t>
      </w:r>
      <w:r>
        <w:rPr>
          <w:rFonts w:eastAsia="Arial"/>
          <w:color w:val="000000"/>
          <w:sz w:val="18"/>
        </w:rPr>
        <w:t xml:space="preserve"> See McGregor Smyth, From "Collateral" to "Integral": The Seismic Evolution of Padilla v. Kentucky and Its Impact on Penalties Beyond Deportation, </w:t>
      </w:r>
      <w:hyperlink r:id="rId77" w:history="1">
        <w:r>
          <w:rPr>
            <w:rFonts w:eastAsia="Arial"/>
            <w:i/>
            <w:color w:val="0077CC"/>
            <w:sz w:val="18"/>
            <w:u w:val="single"/>
            <w:shd w:val="clear" w:color="auto" w:fill="FFFFFF"/>
          </w:rPr>
          <w:t>54 How. L.J. 795, 825 (2011)</w:t>
        </w:r>
      </w:hyperlink>
      <w:r>
        <w:rPr>
          <w:rFonts w:eastAsia="Arial"/>
          <w:color w:val="000000"/>
          <w:sz w:val="18"/>
        </w:rPr>
        <w:t xml:space="preserve"> ("Certain charges and convictions result in the loss of custody of a child or irrevocable termination of parental rights."). </w:t>
      </w:r>
    </w:p>
  </w:footnote>
  <w:footnote w:id="23">
    <w:p w14:paraId="4C32BE67" w14:textId="77777777" w:rsidR="005C4509" w:rsidRDefault="005C4509" w:rsidP="00603BBE">
      <w:pPr>
        <w:spacing w:before="240" w:line="240" w:lineRule="atLeast"/>
        <w:jc w:val="both"/>
      </w:pPr>
      <w:r>
        <w:rPr>
          <w:rFonts w:eastAsia="Arial"/>
          <w:color w:val="000000"/>
          <w:sz w:val="18"/>
          <w:vertAlign w:val="superscript"/>
        </w:rPr>
        <w:t>56 </w:t>
      </w:r>
      <w:r>
        <w:rPr>
          <w:rFonts w:eastAsia="Arial"/>
          <w:color w:val="000000"/>
          <w:sz w:val="18"/>
        </w:rPr>
        <w:t xml:space="preserve"> See, e.g., </w:t>
      </w:r>
      <w:hyperlink r:id="rId78" w:history="1">
        <w:r>
          <w:rPr>
            <w:rFonts w:eastAsia="Arial"/>
            <w:i/>
            <w:color w:val="0077CC"/>
            <w:sz w:val="18"/>
            <w:u w:val="single"/>
            <w:shd w:val="clear" w:color="auto" w:fill="FFFFFF"/>
          </w:rPr>
          <w:t xml:space="preserve">10 </w:t>
        </w:r>
      </w:hyperlink>
      <w:hyperlink r:id="rId79" w:history="1">
        <w:r>
          <w:rPr>
            <w:rFonts w:eastAsia="Arial"/>
            <w:b/>
            <w:i/>
            <w:color w:val="0077CC"/>
            <w:sz w:val="18"/>
            <w:u w:val="single"/>
            <w:shd w:val="clear" w:color="auto" w:fill="FFFFFF"/>
          </w:rPr>
          <w:t>U.S.</w:t>
        </w:r>
      </w:hyperlink>
      <w:hyperlink r:id="rId80" w:history="1">
        <w:r>
          <w:rPr>
            <w:rFonts w:eastAsia="Arial"/>
            <w:i/>
            <w:color w:val="0077CC"/>
            <w:sz w:val="18"/>
            <w:u w:val="single"/>
            <w:shd w:val="clear" w:color="auto" w:fill="FFFFFF"/>
          </w:rPr>
          <w:t>C. § 504</w:t>
        </w:r>
      </w:hyperlink>
      <w:r>
        <w:rPr>
          <w:rFonts w:eastAsia="Arial"/>
          <w:color w:val="000000"/>
          <w:sz w:val="18"/>
        </w:rPr>
        <w:t xml:space="preserve">(a) (2006) (restricting enlistment of people with convictions); </w:t>
      </w:r>
      <w:hyperlink r:id="rId81" w:history="1">
        <w:r>
          <w:rPr>
            <w:rFonts w:eastAsia="Arial"/>
            <w:i/>
            <w:color w:val="0077CC"/>
            <w:sz w:val="18"/>
            <w:u w:val="single"/>
            <w:shd w:val="clear" w:color="auto" w:fill="FFFFFF"/>
          </w:rPr>
          <w:t>Fla. Stat. Ann. § 943.13(4)</w:t>
        </w:r>
      </w:hyperlink>
      <w:r>
        <w:rPr>
          <w:rFonts w:eastAsia="Arial"/>
          <w:color w:val="000000"/>
          <w:sz w:val="18"/>
        </w:rPr>
        <w:t xml:space="preserve"> (West Supp. 2009) (prohibiting employment as law enforcement officers of those convicted of felonies and certain misdemeanors). </w:t>
      </w:r>
    </w:p>
  </w:footnote>
  <w:footnote w:id="24">
    <w:p w14:paraId="51BF546D" w14:textId="77777777" w:rsidR="005C4509" w:rsidRDefault="005C4509" w:rsidP="00603BBE">
      <w:pPr>
        <w:spacing w:before="200" w:line="240" w:lineRule="atLeast"/>
        <w:jc w:val="both"/>
      </w:pPr>
      <w:r>
        <w:rPr>
          <w:rFonts w:eastAsia="Arial"/>
          <w:color w:val="000000"/>
          <w:sz w:val="18"/>
          <w:vertAlign w:val="superscript"/>
        </w:rPr>
        <w:t>57 </w:t>
      </w:r>
      <w:r>
        <w:rPr>
          <w:rFonts w:eastAsia="Arial"/>
          <w:color w:val="000000"/>
          <w:sz w:val="18"/>
        </w:rPr>
        <w:t xml:space="preserve"> For example, the </w:t>
      </w:r>
      <w:r>
        <w:rPr>
          <w:rFonts w:eastAsia="Arial"/>
          <w:b/>
          <w:i/>
          <w:color w:val="000000"/>
          <w:sz w:val="18"/>
          <w:u w:val="single"/>
        </w:rPr>
        <w:t>court</w:t>
      </w:r>
      <w:r>
        <w:rPr>
          <w:rFonts w:eastAsia="Arial"/>
          <w:color w:val="000000"/>
          <w:sz w:val="18"/>
        </w:rPr>
        <w:t xml:space="preserve"> in DiCola v. FDA upheld a lifetime debarment from the pharmaceutical industry based on a criminal conviction:</w:t>
      </w:r>
    </w:p>
    <w:p w14:paraId="3416BFBA" w14:textId="77777777" w:rsidR="005C4509" w:rsidRDefault="005C4509" w:rsidP="00603BBE">
      <w:pPr>
        <w:spacing w:before="120" w:line="240" w:lineRule="atLeast"/>
        <w:jc w:val="both"/>
      </w:pPr>
      <w:r>
        <w:rPr>
          <w:rFonts w:eastAsia="Arial"/>
          <w:color w:val="000000"/>
          <w:sz w:val="18"/>
        </w:rPr>
        <w:t>The permanence of the debarment can be understood, without reference to punitive intent, as reflecting a congressional judgment that the integrity of the drug industry, and with it public confidence in that industry, will suffer if those who manufacture drugs use the services of someone who has committed a felony subversive of FDA regulation. That judgment may proceed from a skeptical view of the malleability of individual men and women; or from a greater concern with the cost of an error visited upon the public than with the cost of an error felt only by the excluded felon; or more likely from the cumulative force of both sentiments.</w:t>
      </w:r>
    </w:p>
    <w:p w14:paraId="67C60C26" w14:textId="77777777" w:rsidR="005C4509" w:rsidRDefault="005C4509" w:rsidP="00603BBE">
      <w:pPr>
        <w:spacing w:before="240" w:line="240" w:lineRule="atLeast"/>
        <w:jc w:val="both"/>
      </w:pPr>
      <w:r>
        <w:rPr>
          <w:rFonts w:eastAsia="Arial"/>
          <w:color w:val="000000"/>
          <w:sz w:val="18"/>
        </w:rPr>
        <w:t xml:space="preserve"> </w:t>
      </w:r>
      <w:hyperlink r:id="rId82" w:history="1">
        <w:r>
          <w:rPr>
            <w:rFonts w:eastAsia="Arial"/>
            <w:i/>
            <w:color w:val="0077CC"/>
            <w:sz w:val="18"/>
            <w:u w:val="single"/>
            <w:shd w:val="clear" w:color="auto" w:fill="FFFFFF"/>
          </w:rPr>
          <w:t>77 F.3d 504, 507-08 (D.C. Cir. 1996)</w:t>
        </w:r>
      </w:hyperlink>
      <w:r>
        <w:rPr>
          <w:rFonts w:eastAsia="Arial"/>
          <w:color w:val="000000"/>
          <w:sz w:val="18"/>
        </w:rPr>
        <w:t xml:space="preserve"> (citations omitted). </w:t>
      </w:r>
    </w:p>
  </w:footnote>
  <w:footnote w:id="25">
    <w:p w14:paraId="33CCF5E2" w14:textId="77777777" w:rsidR="005C4509" w:rsidRDefault="005C4509" w:rsidP="00603BBE">
      <w:pPr>
        <w:spacing w:before="240" w:line="240" w:lineRule="atLeast"/>
        <w:jc w:val="both"/>
      </w:pPr>
      <w:r>
        <w:rPr>
          <w:rFonts w:eastAsia="Arial"/>
          <w:color w:val="000000"/>
          <w:sz w:val="18"/>
          <w:vertAlign w:val="superscript"/>
        </w:rPr>
        <w:t>58 </w:t>
      </w:r>
      <w:r>
        <w:rPr>
          <w:rFonts w:eastAsia="Arial"/>
          <w:color w:val="000000"/>
          <w:sz w:val="18"/>
        </w:rPr>
        <w:t xml:space="preserve"> For example, </w:t>
      </w:r>
      <w:hyperlink r:id="rId83" w:history="1">
        <w:r>
          <w:rPr>
            <w:rFonts w:eastAsia="Arial"/>
            <w:i/>
            <w:color w:val="0077CC"/>
            <w:sz w:val="18"/>
            <w:u w:val="single"/>
            <w:shd w:val="clear" w:color="auto" w:fill="FFFFFF"/>
          </w:rPr>
          <w:t xml:space="preserve">46 </w:t>
        </w:r>
      </w:hyperlink>
      <w:hyperlink r:id="rId84" w:history="1">
        <w:r>
          <w:rPr>
            <w:rFonts w:eastAsia="Arial"/>
            <w:b/>
            <w:i/>
            <w:color w:val="0077CC"/>
            <w:sz w:val="18"/>
            <w:u w:val="single"/>
            <w:shd w:val="clear" w:color="auto" w:fill="FFFFFF"/>
          </w:rPr>
          <w:t>U.S.</w:t>
        </w:r>
      </w:hyperlink>
      <w:hyperlink r:id="rId85" w:history="1">
        <w:r>
          <w:rPr>
            <w:rFonts w:eastAsia="Arial"/>
            <w:i/>
            <w:color w:val="0077CC"/>
            <w:sz w:val="18"/>
            <w:u w:val="single"/>
            <w:shd w:val="clear" w:color="auto" w:fill="FFFFFF"/>
          </w:rPr>
          <w:t>C. § 70105</w:t>
        </w:r>
      </w:hyperlink>
      <w:r>
        <w:rPr>
          <w:rFonts w:eastAsia="Arial"/>
          <w:color w:val="000000"/>
          <w:sz w:val="18"/>
        </w:rPr>
        <w:t xml:space="preserve"> prohibits people with certain convictions from obtaining a federal identification card allowing access to secure transportation areas. Failure to obtain a card could preclude employment necessitating entry into such an area. </w:t>
      </w:r>
    </w:p>
  </w:footnote>
  <w:footnote w:id="26">
    <w:p w14:paraId="59019E0A" w14:textId="77777777" w:rsidR="005C4509" w:rsidRDefault="005C4509" w:rsidP="00603BBE">
      <w:pPr>
        <w:spacing w:before="240" w:line="240" w:lineRule="atLeast"/>
        <w:jc w:val="both"/>
      </w:pPr>
      <w:r>
        <w:rPr>
          <w:rFonts w:eastAsia="Arial"/>
          <w:color w:val="000000"/>
          <w:sz w:val="18"/>
          <w:vertAlign w:val="superscript"/>
        </w:rPr>
        <w:t>59 </w:t>
      </w:r>
      <w:r>
        <w:rPr>
          <w:rFonts w:eastAsia="Arial"/>
          <w:color w:val="000000"/>
          <w:sz w:val="18"/>
        </w:rPr>
        <w:t xml:space="preserve"> See, e.g., </w:t>
      </w:r>
      <w:hyperlink r:id="rId86" w:history="1">
        <w:r>
          <w:rPr>
            <w:rFonts w:eastAsia="Arial"/>
            <w:i/>
            <w:color w:val="0077CC"/>
            <w:sz w:val="18"/>
            <w:u w:val="single"/>
            <w:shd w:val="clear" w:color="auto" w:fill="FFFFFF"/>
          </w:rPr>
          <w:t>Commonwealth v. Abraham, 996 A.2d 1090, 1095 (Pa. Super. 2010)</w:t>
        </w:r>
      </w:hyperlink>
      <w:r>
        <w:rPr>
          <w:rFonts w:eastAsia="Arial"/>
          <w:color w:val="000000"/>
          <w:sz w:val="18"/>
        </w:rPr>
        <w:t xml:space="preserve"> (holding that counsel must "warn his client of the loss of pension as a consequence to pleading guilty"), appeal granted, </w:t>
      </w:r>
      <w:r>
        <w:rPr>
          <w:rFonts w:eastAsia="Arial"/>
          <w:b/>
          <w:i/>
          <w:color w:val="000000"/>
          <w:sz w:val="18"/>
        </w:rPr>
        <w:t>9 A.3d 1133 (Pa. 2010).</w:t>
      </w:r>
      <w:r>
        <w:rPr>
          <w:rFonts w:eastAsia="Arial"/>
          <w:color w:val="000000"/>
          <w:sz w:val="18"/>
        </w:rPr>
        <w:t xml:space="preserve">  </w:t>
      </w:r>
    </w:p>
  </w:footnote>
  <w:footnote w:id="27">
    <w:p w14:paraId="2E18D5A7" w14:textId="77777777" w:rsidR="005C4509" w:rsidRDefault="005C4509" w:rsidP="00603BBE">
      <w:pPr>
        <w:spacing w:before="240" w:line="240" w:lineRule="atLeast"/>
        <w:jc w:val="both"/>
      </w:pPr>
      <w:r>
        <w:rPr>
          <w:rFonts w:eastAsia="Arial"/>
          <w:color w:val="000000"/>
          <w:sz w:val="18"/>
          <w:vertAlign w:val="superscript"/>
        </w:rPr>
        <w:t>60 </w:t>
      </w:r>
      <w:r>
        <w:rPr>
          <w:rFonts w:eastAsia="Arial"/>
          <w:color w:val="000000"/>
          <w:sz w:val="18"/>
        </w:rPr>
        <w:t xml:space="preserve"> See </w:t>
      </w:r>
      <w:hyperlink r:id="rId87" w:history="1">
        <w:r>
          <w:rPr>
            <w:rFonts w:eastAsia="Arial"/>
            <w:i/>
            <w:color w:val="0077CC"/>
            <w:sz w:val="18"/>
            <w:u w:val="single"/>
            <w:shd w:val="clear" w:color="auto" w:fill="FFFFFF"/>
          </w:rPr>
          <w:t xml:space="preserve">23 </w:t>
        </w:r>
      </w:hyperlink>
      <w:hyperlink r:id="rId88" w:history="1">
        <w:r>
          <w:rPr>
            <w:rFonts w:eastAsia="Arial"/>
            <w:b/>
            <w:i/>
            <w:color w:val="0077CC"/>
            <w:sz w:val="18"/>
            <w:u w:val="single"/>
            <w:shd w:val="clear" w:color="auto" w:fill="FFFFFF"/>
          </w:rPr>
          <w:t>U.S.</w:t>
        </w:r>
      </w:hyperlink>
      <w:hyperlink r:id="rId89" w:history="1">
        <w:r>
          <w:rPr>
            <w:rFonts w:eastAsia="Arial"/>
            <w:i/>
            <w:color w:val="0077CC"/>
            <w:sz w:val="18"/>
            <w:u w:val="single"/>
            <w:shd w:val="clear" w:color="auto" w:fill="FFFFFF"/>
          </w:rPr>
          <w:t>C. § 159</w:t>
        </w:r>
      </w:hyperlink>
      <w:r>
        <w:rPr>
          <w:rFonts w:eastAsia="Arial"/>
          <w:color w:val="000000"/>
          <w:sz w:val="18"/>
        </w:rPr>
        <w:t xml:space="preserve"> (requiring states to suspend driver's licenses of people convicted of drug crimes or else lose significant federal highway funds). </w:t>
      </w:r>
    </w:p>
  </w:footnote>
  <w:footnote w:id="28">
    <w:p w14:paraId="09C9305A" w14:textId="77777777" w:rsidR="005C4509" w:rsidRDefault="005C4509" w:rsidP="00603BBE">
      <w:pPr>
        <w:spacing w:before="120" w:line="240" w:lineRule="atLeast"/>
        <w:jc w:val="both"/>
      </w:pPr>
      <w:r>
        <w:rPr>
          <w:rFonts w:eastAsia="Arial"/>
          <w:color w:val="000000"/>
          <w:sz w:val="18"/>
          <w:vertAlign w:val="superscript"/>
        </w:rPr>
        <w:t>61 </w:t>
      </w:r>
      <w:r>
        <w:rPr>
          <w:rFonts w:eastAsia="Arial"/>
          <w:color w:val="000000"/>
          <w:sz w:val="18"/>
        </w:rPr>
        <w:t xml:space="preserve"> See infra notes 120-21, 136. </w:t>
      </w:r>
    </w:p>
  </w:footnote>
  <w:footnote w:id="29">
    <w:p w14:paraId="0650A785" w14:textId="77777777" w:rsidR="005C4509" w:rsidRDefault="005C4509" w:rsidP="00603BBE">
      <w:pPr>
        <w:spacing w:before="240" w:line="240" w:lineRule="atLeast"/>
        <w:jc w:val="both"/>
      </w:pPr>
      <w:r>
        <w:rPr>
          <w:rFonts w:eastAsia="Arial"/>
          <w:color w:val="000000"/>
          <w:sz w:val="18"/>
          <w:vertAlign w:val="superscript"/>
        </w:rPr>
        <w:t>62 </w:t>
      </w:r>
      <w:r>
        <w:rPr>
          <w:rFonts w:eastAsia="Arial"/>
          <w:color w:val="000000"/>
          <w:sz w:val="18"/>
        </w:rPr>
        <w:t xml:space="preserve"> See, e.g., Civil Penalties, Social Consequences (Christopher Mele &amp; Theresa A. Miller eds., 2005); Invisible Punishment: The Collateral Consequences of Mass Imprisonment (Marc Mauer &amp; Meda Chesney-Lind eds., 2002); Jeremy Travis, But They All Come Back: Facing the Challenges of Prisoner Reentry (2005); Michael Pinard, Collateral Consequences of Criminal Convictions: Confronting Issues of Race and Dignity, </w:t>
      </w:r>
      <w:hyperlink r:id="rId90" w:history="1">
        <w:r>
          <w:rPr>
            <w:rFonts w:eastAsia="Arial"/>
            <w:i/>
            <w:color w:val="0077CC"/>
            <w:sz w:val="18"/>
            <w:u w:val="single"/>
            <w:shd w:val="clear" w:color="auto" w:fill="FFFFFF"/>
          </w:rPr>
          <w:t>85 N.Y.U. L. Rev. 457 (2010).</w:t>
        </w:r>
      </w:hyperlink>
      <w:r>
        <w:rPr>
          <w:rFonts w:eastAsia="Arial"/>
          <w:color w:val="000000"/>
          <w:sz w:val="18"/>
        </w:rPr>
        <w:t xml:space="preserve">  </w:t>
      </w:r>
    </w:p>
  </w:footnote>
  <w:footnote w:id="30">
    <w:p w14:paraId="5F373CFB" w14:textId="77777777" w:rsidR="005C4509" w:rsidRDefault="005C4509" w:rsidP="00603BBE">
      <w:pPr>
        <w:spacing w:before="120" w:line="240" w:lineRule="atLeast"/>
        <w:jc w:val="both"/>
      </w:pPr>
      <w:r>
        <w:rPr>
          <w:rFonts w:eastAsia="Arial"/>
          <w:color w:val="000000"/>
          <w:sz w:val="18"/>
          <w:vertAlign w:val="superscript"/>
        </w:rPr>
        <w:t>63 </w:t>
      </w:r>
      <w:r>
        <w:rPr>
          <w:rFonts w:eastAsia="Arial"/>
          <w:color w:val="000000"/>
          <w:sz w:val="18"/>
        </w:rPr>
        <w:t xml:space="preserve"> See supra note 20 and accompanying text. </w:t>
      </w:r>
    </w:p>
  </w:footnote>
  <w:footnote w:id="31">
    <w:p w14:paraId="652B54B4" w14:textId="77777777" w:rsidR="005C4509" w:rsidRDefault="005C4509" w:rsidP="00603BBE">
      <w:pPr>
        <w:spacing w:before="200" w:line="240" w:lineRule="atLeast"/>
        <w:jc w:val="both"/>
      </w:pPr>
      <w:r>
        <w:rPr>
          <w:rFonts w:eastAsia="Arial"/>
          <w:color w:val="000000"/>
          <w:sz w:val="18"/>
          <w:vertAlign w:val="superscript"/>
        </w:rPr>
        <w:t>64 </w:t>
      </w:r>
      <w:r>
        <w:rPr>
          <w:rFonts w:eastAsia="Arial"/>
          <w:color w:val="000000"/>
          <w:sz w:val="18"/>
        </w:rPr>
        <w:t xml:space="preserve"> See, e.g., </w:t>
      </w:r>
      <w:hyperlink r:id="rId91" w:history="1">
        <w:r>
          <w:rPr>
            <w:rFonts w:eastAsia="Arial"/>
            <w:i/>
            <w:color w:val="0077CC"/>
            <w:sz w:val="18"/>
            <w:u w:val="single"/>
            <w:shd w:val="clear" w:color="auto" w:fill="FFFFFF"/>
          </w:rPr>
          <w:t xml:space="preserve">Roberts v. </w:t>
        </w:r>
      </w:hyperlink>
      <w:hyperlink r:id="rId92" w:history="1">
        <w:r>
          <w:rPr>
            <w:rFonts w:eastAsia="Arial"/>
            <w:b/>
            <w:i/>
            <w:color w:val="0077CC"/>
            <w:sz w:val="18"/>
            <w:u w:val="single"/>
            <w:shd w:val="clear" w:color="auto" w:fill="FFFFFF"/>
          </w:rPr>
          <w:t>U.S.</w:t>
        </w:r>
      </w:hyperlink>
      <w:hyperlink r:id="rId93" w:history="1">
        <w:r>
          <w:rPr>
            <w:rFonts w:eastAsia="Arial"/>
            <w:i/>
            <w:color w:val="0077CC"/>
            <w:sz w:val="18"/>
            <w:u w:val="single"/>
            <w:shd w:val="clear" w:color="auto" w:fill="FFFFFF"/>
          </w:rPr>
          <w:t xml:space="preserve"> Dist. </w:t>
        </w:r>
      </w:hyperlink>
      <w:hyperlink r:id="rId94" w:history="1">
        <w:r>
          <w:rPr>
            <w:rFonts w:eastAsia="Arial"/>
            <w:b/>
            <w:i/>
            <w:color w:val="0077CC"/>
            <w:sz w:val="18"/>
            <w:u w:val="single"/>
            <w:shd w:val="clear" w:color="auto" w:fill="FFFFFF"/>
          </w:rPr>
          <w:t>Court</w:t>
        </w:r>
      </w:hyperlink>
      <w:hyperlink r:id="rId95" w:history="1">
        <w:r>
          <w:rPr>
            <w:rFonts w:eastAsia="Arial"/>
            <w:i/>
            <w:color w:val="0077CC"/>
            <w:sz w:val="18"/>
            <w:u w:val="single"/>
            <w:shd w:val="clear" w:color="auto" w:fill="FFFFFF"/>
          </w:rPr>
          <w:t xml:space="preserve">, 339 </w:t>
        </w:r>
      </w:hyperlink>
      <w:hyperlink r:id="rId96" w:history="1">
        <w:r>
          <w:rPr>
            <w:rFonts w:eastAsia="Arial"/>
            <w:b/>
            <w:i/>
            <w:color w:val="0077CC"/>
            <w:sz w:val="18"/>
            <w:u w:val="single"/>
            <w:shd w:val="clear" w:color="auto" w:fill="FFFFFF"/>
          </w:rPr>
          <w:t>U.S.</w:t>
        </w:r>
      </w:hyperlink>
      <w:hyperlink r:id="rId97" w:history="1">
        <w:r>
          <w:rPr>
            <w:rFonts w:eastAsia="Arial"/>
            <w:i/>
            <w:color w:val="0077CC"/>
            <w:sz w:val="18"/>
            <w:u w:val="single"/>
            <w:shd w:val="clear" w:color="auto" w:fill="FFFFFF"/>
          </w:rPr>
          <w:t xml:space="preserve"> 844, 845 (1950)</w:t>
        </w:r>
      </w:hyperlink>
      <w:r>
        <w:rPr>
          <w:rFonts w:eastAsia="Arial"/>
          <w:color w:val="000000"/>
          <w:sz w:val="18"/>
        </w:rPr>
        <w:t xml:space="preserve"> (per curiam) (holding that a conviction does not strip a prisoner of her right to proceed in federal </w:t>
      </w:r>
      <w:r>
        <w:rPr>
          <w:rFonts w:eastAsia="Arial"/>
          <w:b/>
          <w:i/>
          <w:color w:val="000000"/>
          <w:sz w:val="18"/>
          <w:u w:val="single"/>
        </w:rPr>
        <w:t>court</w:t>
      </w:r>
      <w:r>
        <w:rPr>
          <w:rFonts w:eastAsia="Arial"/>
          <w:color w:val="000000"/>
          <w:sz w:val="18"/>
        </w:rPr>
        <w:t xml:space="preserve"> in forma pauperis); </w:t>
      </w:r>
      <w:hyperlink r:id="rId98" w:history="1">
        <w:r>
          <w:rPr>
            <w:rFonts w:eastAsia="Arial"/>
            <w:i/>
            <w:color w:val="0077CC"/>
            <w:sz w:val="18"/>
            <w:u w:val="single"/>
            <w:shd w:val="clear" w:color="auto" w:fill="FFFFFF"/>
          </w:rPr>
          <w:t>Thompson v. Bond, 421 F. Supp. 878, 882 (W.D. Mo. 1976)</w:t>
        </w:r>
      </w:hyperlink>
      <w:r>
        <w:rPr>
          <w:rFonts w:eastAsia="Arial"/>
          <w:color w:val="000000"/>
          <w:sz w:val="18"/>
        </w:rPr>
        <w:t xml:space="preserve"> ("[A] state statute, which … deprives all state inmates of the right to file any type of civil action in state </w:t>
      </w:r>
      <w:r>
        <w:rPr>
          <w:rFonts w:eastAsia="Arial"/>
          <w:b/>
          <w:i/>
          <w:color w:val="000000"/>
          <w:sz w:val="18"/>
          <w:u w:val="single"/>
        </w:rPr>
        <w:t>court</w:t>
      </w:r>
      <w:r>
        <w:rPr>
          <w:rFonts w:eastAsia="Arial"/>
          <w:color w:val="000000"/>
          <w:sz w:val="18"/>
        </w:rPr>
        <w:t xml:space="preserve"> contravenes the constitutional imperative that citizens are entitled to reasonable access to </w:t>
      </w:r>
      <w:r>
        <w:rPr>
          <w:rFonts w:eastAsia="Arial"/>
          <w:b/>
          <w:i/>
          <w:color w:val="000000"/>
          <w:sz w:val="18"/>
          <w:u w:val="single"/>
        </w:rPr>
        <w:t>courts</w:t>
      </w:r>
      <w:r>
        <w:rPr>
          <w:rFonts w:eastAsia="Arial"/>
          <w:color w:val="000000"/>
          <w:sz w:val="18"/>
        </w:rPr>
        <w:t xml:space="preserve">."); </w:t>
      </w:r>
      <w:r>
        <w:rPr>
          <w:rFonts w:eastAsia="Arial"/>
          <w:b/>
          <w:i/>
          <w:color w:val="000000"/>
          <w:sz w:val="18"/>
        </w:rPr>
        <w:t>Sabin v. Butter, 493 So. 2d 469, 469-70 (Fla. App. 1986)</w:t>
      </w:r>
      <w:r>
        <w:rPr>
          <w:rFonts w:eastAsia="Arial"/>
          <w:color w:val="000000"/>
          <w:sz w:val="18"/>
        </w:rPr>
        <w:t xml:space="preserve"> (holding that a state law limiting access to state </w:t>
      </w:r>
      <w:r>
        <w:rPr>
          <w:rFonts w:eastAsia="Arial"/>
          <w:b/>
          <w:i/>
          <w:color w:val="000000"/>
          <w:sz w:val="18"/>
          <w:u w:val="single"/>
        </w:rPr>
        <w:t>court</w:t>
      </w:r>
      <w:r>
        <w:rPr>
          <w:rFonts w:eastAsia="Arial"/>
          <w:color w:val="000000"/>
          <w:sz w:val="18"/>
        </w:rPr>
        <w:t xml:space="preserve"> was unconstitutional). But see Joan Dayan, Held in the Body of the State: Prisons and the Law (suggesting that elimination of prison law libraries effectively eliminated prisoners' right to sue), in History, Memory, and the Law 183, 244-47 (Austin Sarat &amp; Thomas R. Kearns eds., 1999). </w:t>
      </w:r>
    </w:p>
  </w:footnote>
  <w:footnote w:id="32">
    <w:p w14:paraId="4A5D7055" w14:textId="77777777" w:rsidR="005C4509" w:rsidRDefault="005C4509" w:rsidP="00603BBE">
      <w:pPr>
        <w:spacing w:before="240" w:line="240" w:lineRule="atLeast"/>
        <w:jc w:val="both"/>
      </w:pPr>
      <w:r>
        <w:rPr>
          <w:rFonts w:eastAsia="Arial"/>
          <w:color w:val="000000"/>
          <w:sz w:val="18"/>
          <w:vertAlign w:val="superscript"/>
        </w:rPr>
        <w:t>65 </w:t>
      </w:r>
      <w:r>
        <w:rPr>
          <w:rFonts w:eastAsia="Arial"/>
          <w:color w:val="000000"/>
          <w:sz w:val="18"/>
        </w:rPr>
        <w:t xml:space="preserve"> For example, Afroyim v. Rusk held that a citizen cannot be deprived of citizenship status involuntarily. </w:t>
      </w:r>
      <w:hyperlink r:id="rId99" w:history="1">
        <w:r>
          <w:rPr>
            <w:rFonts w:eastAsia="Arial"/>
            <w:i/>
            <w:color w:val="0077CC"/>
            <w:sz w:val="18"/>
            <w:u w:val="single"/>
            <w:shd w:val="clear" w:color="auto" w:fill="FFFFFF"/>
          </w:rPr>
          <w:t xml:space="preserve">387 </w:t>
        </w:r>
      </w:hyperlink>
      <w:hyperlink r:id="rId100" w:history="1">
        <w:r>
          <w:rPr>
            <w:rFonts w:eastAsia="Arial"/>
            <w:b/>
            <w:i/>
            <w:color w:val="0077CC"/>
            <w:sz w:val="18"/>
            <w:u w:val="single"/>
            <w:shd w:val="clear" w:color="auto" w:fill="FFFFFF"/>
          </w:rPr>
          <w:t>U.S.</w:t>
        </w:r>
      </w:hyperlink>
      <w:hyperlink r:id="rId101" w:history="1">
        <w:r>
          <w:rPr>
            <w:rFonts w:eastAsia="Arial"/>
            <w:i/>
            <w:color w:val="0077CC"/>
            <w:sz w:val="18"/>
            <w:u w:val="single"/>
            <w:shd w:val="clear" w:color="auto" w:fill="FFFFFF"/>
          </w:rPr>
          <w:t xml:space="preserve"> 253, 257 (1967).</w:t>
        </w:r>
      </w:hyperlink>
      <w:r>
        <w:rPr>
          <w:rFonts w:eastAsia="Arial"/>
          <w:color w:val="000000"/>
          <w:sz w:val="18"/>
        </w:rPr>
        <w:t xml:space="preserve"> However, this difference may not be significant to the extent that people with convictions remain subject to residential restrictions and post-release civil incarceration. See infra notes 121, 133, 136. </w:t>
      </w:r>
    </w:p>
  </w:footnote>
  <w:footnote w:id="33">
    <w:p w14:paraId="7DAB38C7" w14:textId="77777777" w:rsidR="005C4509" w:rsidRDefault="005C4509" w:rsidP="00603BBE">
      <w:pPr>
        <w:spacing w:before="120" w:line="240" w:lineRule="atLeast"/>
        <w:jc w:val="both"/>
      </w:pPr>
      <w:r>
        <w:rPr>
          <w:rFonts w:eastAsia="Arial"/>
          <w:color w:val="000000"/>
          <w:sz w:val="18"/>
          <w:vertAlign w:val="superscript"/>
        </w:rPr>
        <w:t>66 </w:t>
      </w:r>
      <w:r>
        <w:rPr>
          <w:rFonts w:eastAsia="Arial"/>
          <w:color w:val="000000"/>
          <w:sz w:val="18"/>
        </w:rPr>
        <w:t xml:space="preserve"> Charles A. Reich, The New Property, 73 Yale L.J. 733, 734-37 (1964).  </w:t>
      </w:r>
    </w:p>
  </w:footnote>
  <w:footnote w:id="34">
    <w:p w14:paraId="2CAE2A92" w14:textId="77777777" w:rsidR="005C4509" w:rsidRDefault="005C4509" w:rsidP="00603BBE">
      <w:pPr>
        <w:spacing w:before="240" w:line="240" w:lineRule="atLeast"/>
        <w:jc w:val="both"/>
      </w:pPr>
      <w:r>
        <w:rPr>
          <w:rFonts w:eastAsia="Arial"/>
          <w:color w:val="000000"/>
          <w:sz w:val="18"/>
          <w:vertAlign w:val="superscript"/>
        </w:rPr>
        <w:t>67 </w:t>
      </w:r>
      <w:r>
        <w:rPr>
          <w:rFonts w:eastAsia="Arial"/>
          <w:color w:val="000000"/>
          <w:sz w:val="18"/>
        </w:rPr>
        <w:t xml:space="preserve"> See, e.g., </w:t>
      </w:r>
      <w:hyperlink r:id="rId102" w:history="1">
        <w:r>
          <w:rPr>
            <w:rFonts w:eastAsia="Arial"/>
            <w:i/>
            <w:color w:val="0077CC"/>
            <w:sz w:val="18"/>
            <w:u w:val="single"/>
            <w:shd w:val="clear" w:color="auto" w:fill="FFFFFF"/>
          </w:rPr>
          <w:t xml:space="preserve">Goldberg v. Kelly, 397 </w:t>
        </w:r>
      </w:hyperlink>
      <w:hyperlink r:id="rId103" w:history="1">
        <w:r>
          <w:rPr>
            <w:rFonts w:eastAsia="Arial"/>
            <w:b/>
            <w:i/>
            <w:color w:val="0077CC"/>
            <w:sz w:val="18"/>
            <w:u w:val="single"/>
            <w:shd w:val="clear" w:color="auto" w:fill="FFFFFF"/>
          </w:rPr>
          <w:t>U.S.</w:t>
        </w:r>
      </w:hyperlink>
      <w:hyperlink r:id="rId104" w:history="1">
        <w:r>
          <w:rPr>
            <w:rFonts w:eastAsia="Arial"/>
            <w:i/>
            <w:color w:val="0077CC"/>
            <w:sz w:val="18"/>
            <w:u w:val="single"/>
            <w:shd w:val="clear" w:color="auto" w:fill="FFFFFF"/>
          </w:rPr>
          <w:t xml:space="preserve"> 254, 262 n.8 (1970)</w:t>
        </w:r>
      </w:hyperlink>
      <w:r>
        <w:rPr>
          <w:rFonts w:eastAsia="Arial"/>
          <w:color w:val="000000"/>
          <w:sz w:val="18"/>
        </w:rPr>
        <w:t xml:space="preserve"> ("Society today is built around entitlement … . Many of the most important of these entitlements now flow from government … ." (alteration omitted) (quoting Charles A. Reich, Individual Rights and Social Welfare: The Emerging Legal Issues, 74 Yale L.J. 1245, 1255 (1965))).  </w:t>
      </w:r>
    </w:p>
  </w:footnote>
  <w:footnote w:id="35">
    <w:p w14:paraId="30A3FBAE" w14:textId="77777777" w:rsidR="005C4509" w:rsidRDefault="005C4509" w:rsidP="00603BBE">
      <w:pPr>
        <w:spacing w:before="200" w:line="240" w:lineRule="atLeast"/>
        <w:jc w:val="both"/>
      </w:pPr>
      <w:r>
        <w:rPr>
          <w:rFonts w:eastAsia="Arial"/>
          <w:color w:val="000000"/>
          <w:sz w:val="18"/>
          <w:vertAlign w:val="superscript"/>
        </w:rPr>
        <w:t>68 </w:t>
      </w:r>
      <w:r>
        <w:rPr>
          <w:rFonts w:eastAsia="Arial"/>
          <w:color w:val="000000"/>
          <w:sz w:val="18"/>
        </w:rPr>
        <w:t xml:space="preserve"> See Margaret Colgate Love, Relief from the Collateral Consequences of a Criminal Conviction: A State by State Resource Guide (2006) ("Pardon is assigned a central role in overcoming the legal barriers to reintegration of criminal offenders in almost every </w:t>
      </w:r>
      <w:r>
        <w:rPr>
          <w:rFonts w:eastAsia="Arial"/>
          <w:b/>
          <w:i/>
          <w:color w:val="000000"/>
          <w:sz w:val="18"/>
          <w:u w:val="single"/>
        </w:rPr>
        <w:t>U.S.</w:t>
      </w:r>
      <w:r>
        <w:rPr>
          <w:rFonts w:eastAsia="Arial"/>
          <w:color w:val="000000"/>
          <w:sz w:val="18"/>
        </w:rPr>
        <w:t xml:space="preserve"> jurisdiction[]; indeed, in most jurisdictions it is the only mechanism by which adult felony offenders can avoid or mitigate collateral penalties and disabilities."). </w:t>
      </w:r>
    </w:p>
  </w:footnote>
  <w:footnote w:id="36">
    <w:p w14:paraId="1DFB177B" w14:textId="77777777" w:rsidR="005C4509" w:rsidRDefault="005C4509" w:rsidP="00603BBE">
      <w:pPr>
        <w:spacing w:before="240" w:line="240" w:lineRule="atLeast"/>
        <w:jc w:val="both"/>
      </w:pPr>
      <w:r>
        <w:rPr>
          <w:rFonts w:eastAsia="Arial"/>
          <w:color w:val="000000"/>
          <w:sz w:val="18"/>
          <w:vertAlign w:val="superscript"/>
        </w:rPr>
        <w:t>69 </w:t>
      </w:r>
      <w:r>
        <w:rPr>
          <w:rFonts w:eastAsia="Arial"/>
          <w:color w:val="000000"/>
          <w:sz w:val="18"/>
        </w:rPr>
        <w:t xml:space="preserve"> See Margaret Colgate Love, The Twilight of the Pardon Power, </w:t>
      </w:r>
      <w:hyperlink r:id="rId105" w:history="1">
        <w:r>
          <w:rPr>
            <w:rFonts w:eastAsia="Arial"/>
            <w:i/>
            <w:color w:val="0077CC"/>
            <w:sz w:val="18"/>
            <w:u w:val="single"/>
            <w:shd w:val="clear" w:color="auto" w:fill="FFFFFF"/>
          </w:rPr>
          <w:t>100 J. Crim. L. &amp; Criminology 1169, 1181-82 (2010)</w:t>
        </w:r>
      </w:hyperlink>
      <w:r>
        <w:rPr>
          <w:rFonts w:eastAsia="Arial"/>
          <w:color w:val="000000"/>
          <w:sz w:val="18"/>
        </w:rPr>
        <w:t xml:space="preserve"> ("In most years between 1900 and 1936, more than half of the thousands of petitions filed were sent forward to the White House with a favorable official recommendation. At the White House, the president usually approved cases recommended favorably … and sometimes was more inclined to leniency." (footnote omitted)); </w:t>
      </w:r>
      <w:hyperlink r:id="rId106" w:history="1">
        <w:r>
          <w:rPr>
            <w:rFonts w:eastAsia="Arial"/>
            <w:i/>
            <w:color w:val="0077CC"/>
            <w:sz w:val="18"/>
            <w:u w:val="single"/>
            <w:shd w:val="clear" w:color="auto" w:fill="FFFFFF"/>
          </w:rPr>
          <w:t>id. at 1192</w:t>
        </w:r>
      </w:hyperlink>
      <w:r>
        <w:rPr>
          <w:rFonts w:eastAsia="Arial"/>
          <w:color w:val="000000"/>
          <w:sz w:val="18"/>
        </w:rPr>
        <w:t xml:space="preserve"> (noting that during the administrations of Presidents Kennedy through Carter, pardon grant rates ranged from thirty to forty percent); see also Love, supra note 68, at 18-38 (discussing pardon practices in the states). </w:t>
      </w:r>
    </w:p>
  </w:footnote>
  <w:footnote w:id="37">
    <w:p w14:paraId="44C09849" w14:textId="77777777" w:rsidR="005C4509" w:rsidRDefault="005C4509" w:rsidP="00603BBE">
      <w:pPr>
        <w:spacing w:before="240" w:line="240" w:lineRule="atLeast"/>
        <w:jc w:val="both"/>
      </w:pPr>
      <w:r>
        <w:rPr>
          <w:rFonts w:eastAsia="Arial"/>
          <w:color w:val="000000"/>
          <w:sz w:val="18"/>
          <w:vertAlign w:val="superscript"/>
        </w:rPr>
        <w:t>70 </w:t>
      </w:r>
      <w:r>
        <w:rPr>
          <w:rFonts w:eastAsia="Arial"/>
          <w:color w:val="000000"/>
          <w:sz w:val="18"/>
        </w:rPr>
        <w:t xml:space="preserve"> See </w:t>
      </w:r>
      <w:hyperlink r:id="rId107" w:history="1">
        <w:r>
          <w:rPr>
            <w:rFonts w:eastAsia="Arial"/>
            <w:i/>
            <w:color w:val="0077CC"/>
            <w:sz w:val="18"/>
            <w:u w:val="single"/>
            <w:shd w:val="clear" w:color="auto" w:fill="FFFFFF"/>
          </w:rPr>
          <w:t xml:space="preserve">Huntington v. Attrill, 146 </w:t>
        </w:r>
      </w:hyperlink>
      <w:hyperlink r:id="rId108" w:history="1">
        <w:r>
          <w:rPr>
            <w:rFonts w:eastAsia="Arial"/>
            <w:b/>
            <w:i/>
            <w:color w:val="0077CC"/>
            <w:sz w:val="18"/>
            <w:u w:val="single"/>
            <w:shd w:val="clear" w:color="auto" w:fill="FFFFFF"/>
          </w:rPr>
          <w:t>U.S.</w:t>
        </w:r>
      </w:hyperlink>
      <w:hyperlink r:id="rId109" w:history="1">
        <w:r>
          <w:rPr>
            <w:rFonts w:eastAsia="Arial"/>
            <w:i/>
            <w:color w:val="0077CC"/>
            <w:sz w:val="18"/>
            <w:u w:val="single"/>
            <w:shd w:val="clear" w:color="auto" w:fill="FFFFFF"/>
          </w:rPr>
          <w:t xml:space="preserve"> 657, 673 (1892)</w:t>
        </w:r>
      </w:hyperlink>
      <w:r>
        <w:rPr>
          <w:rFonts w:eastAsia="Arial"/>
          <w:color w:val="000000"/>
          <w:sz w:val="18"/>
        </w:rPr>
        <w:t xml:space="preserve"> ("And personal disabilities imposed by the law of a State, as an incident or consequence of a judicial sentence or decree, by way of punishment of an offender, and not for the benefit of any other person … are doubtless strictly penal, and therefore have no extra-territorial operation."). </w:t>
      </w:r>
    </w:p>
  </w:footnote>
  <w:footnote w:id="38">
    <w:p w14:paraId="2B9EF0C1" w14:textId="77777777" w:rsidR="005C4509" w:rsidRDefault="005C4509" w:rsidP="00603BBE">
      <w:pPr>
        <w:spacing w:before="240" w:line="240" w:lineRule="atLeast"/>
        <w:jc w:val="both"/>
      </w:pPr>
      <w:r>
        <w:rPr>
          <w:rFonts w:eastAsia="Arial"/>
          <w:color w:val="000000"/>
          <w:sz w:val="18"/>
          <w:vertAlign w:val="superscript"/>
        </w:rPr>
        <w:t>71 </w:t>
      </w:r>
      <w:r>
        <w:rPr>
          <w:rFonts w:eastAsia="Arial"/>
          <w:color w:val="000000"/>
          <w:sz w:val="18"/>
        </w:rPr>
        <w:t xml:space="preserve"> See, e.g., </w:t>
      </w:r>
      <w:hyperlink r:id="rId110" w:history="1">
        <w:r>
          <w:rPr>
            <w:rFonts w:eastAsia="Arial"/>
            <w:i/>
            <w:color w:val="0077CC"/>
            <w:sz w:val="18"/>
            <w:u w:val="single"/>
            <w:shd w:val="clear" w:color="auto" w:fill="FFFFFF"/>
          </w:rPr>
          <w:t>Fla. Stat. Ann. § 790.23(1)(e)</w:t>
        </w:r>
      </w:hyperlink>
      <w:r>
        <w:rPr>
          <w:rFonts w:eastAsia="Arial"/>
          <w:color w:val="000000"/>
          <w:sz w:val="18"/>
        </w:rPr>
        <w:t xml:space="preserve"> (West Supp. 2009) (denying firearms to those convicted in other states). </w:t>
      </w:r>
    </w:p>
  </w:footnote>
  <w:footnote w:id="39">
    <w:p w14:paraId="0B86D37D" w14:textId="77777777" w:rsidR="005C4509" w:rsidRDefault="005C4509" w:rsidP="00603BBE">
      <w:pPr>
        <w:spacing w:before="240" w:line="240" w:lineRule="atLeast"/>
        <w:jc w:val="both"/>
      </w:pPr>
      <w:r>
        <w:rPr>
          <w:rFonts w:eastAsia="Arial"/>
          <w:color w:val="000000"/>
          <w:sz w:val="18"/>
          <w:vertAlign w:val="superscript"/>
        </w:rPr>
        <w:t>72 </w:t>
      </w:r>
      <w:r>
        <w:rPr>
          <w:rFonts w:eastAsia="Arial"/>
          <w:color w:val="000000"/>
          <w:sz w:val="18"/>
        </w:rPr>
        <w:t xml:space="preserve"> In Logan v. </w:t>
      </w:r>
      <w:r>
        <w:rPr>
          <w:rFonts w:eastAsia="Arial"/>
          <w:b/>
          <w:i/>
          <w:color w:val="000000"/>
          <w:sz w:val="18"/>
          <w:u w:val="single"/>
        </w:rPr>
        <w:t>United States</w:t>
      </w:r>
      <w:r>
        <w:rPr>
          <w:rFonts w:eastAsia="Arial"/>
          <w:color w:val="000000"/>
          <w:sz w:val="18"/>
        </w:rPr>
        <w:t xml:space="preserve">, for example, a defendant with three state battery convictions was prohibited from possessing firearms under federal law, despite the fact that the law in his state of conviction imposed no such prohibition. </w:t>
      </w:r>
      <w:hyperlink r:id="rId111" w:history="1">
        <w:r>
          <w:rPr>
            <w:rFonts w:eastAsia="Arial"/>
            <w:i/>
            <w:color w:val="0077CC"/>
            <w:sz w:val="18"/>
            <w:u w:val="single"/>
            <w:shd w:val="clear" w:color="auto" w:fill="FFFFFF"/>
          </w:rPr>
          <w:t xml:space="preserve">552 </w:t>
        </w:r>
      </w:hyperlink>
      <w:hyperlink r:id="rId112" w:history="1">
        <w:r>
          <w:rPr>
            <w:rFonts w:eastAsia="Arial"/>
            <w:b/>
            <w:i/>
            <w:color w:val="0077CC"/>
            <w:sz w:val="18"/>
            <w:u w:val="single"/>
            <w:shd w:val="clear" w:color="auto" w:fill="FFFFFF"/>
          </w:rPr>
          <w:t>U.S.</w:t>
        </w:r>
      </w:hyperlink>
      <w:hyperlink r:id="rId113" w:history="1">
        <w:r>
          <w:rPr>
            <w:rFonts w:eastAsia="Arial"/>
            <w:i/>
            <w:color w:val="0077CC"/>
            <w:sz w:val="18"/>
            <w:u w:val="single"/>
            <w:shd w:val="clear" w:color="auto" w:fill="FFFFFF"/>
          </w:rPr>
          <w:t xml:space="preserve"> 23, 26 (2007);</w:t>
        </w:r>
      </w:hyperlink>
      <w:r>
        <w:rPr>
          <w:rFonts w:eastAsia="Arial"/>
          <w:color w:val="000000"/>
          <w:sz w:val="18"/>
        </w:rPr>
        <w:t xml:space="preserve"> see also, e.g., </w:t>
      </w:r>
      <w:hyperlink r:id="rId114" w:history="1">
        <w:r>
          <w:rPr>
            <w:rFonts w:eastAsia="Arial"/>
            <w:i/>
            <w:color w:val="0077CC"/>
            <w:sz w:val="18"/>
            <w:u w:val="single"/>
            <w:shd w:val="clear" w:color="auto" w:fill="FFFFFF"/>
          </w:rPr>
          <w:t>Haw. Rev. Stat. § 846E-1</w:t>
        </w:r>
      </w:hyperlink>
      <w:r>
        <w:rPr>
          <w:rFonts w:eastAsia="Arial"/>
          <w:color w:val="000000"/>
          <w:sz w:val="18"/>
        </w:rPr>
        <w:t xml:space="preserve"> (Supp. 2007) (defining "sexual offense" to include "any federal, military, or out-of-state conviction for any offense that under the laws of this State would be a sexual offense"); Jeffrey B. Kuck, Annotation, Elections: Effect of Conviction Under Federal Law, or Law of Another State or Country, on Right to Vote or Hold Public Office, 39 A.L.R.3d 303, 313-14 (1971) (discussing cases holding that under the law of one state, conviction in another state can trigger disenfranchisement). </w:t>
      </w:r>
    </w:p>
  </w:footnote>
  <w:footnote w:id="40">
    <w:p w14:paraId="0A0EDD68" w14:textId="77777777" w:rsidR="005C4509" w:rsidRDefault="005C4509" w:rsidP="0020575E">
      <w:pPr>
        <w:spacing w:before="200" w:line="240" w:lineRule="atLeast"/>
        <w:jc w:val="both"/>
      </w:pPr>
      <w:r>
        <w:rPr>
          <w:rFonts w:eastAsia="Arial"/>
          <w:color w:val="000000"/>
          <w:sz w:val="18"/>
          <w:vertAlign w:val="superscript"/>
        </w:rPr>
        <w:t>62 </w:t>
      </w:r>
      <w:r>
        <w:rPr>
          <w:rFonts w:eastAsia="Arial"/>
          <w:color w:val="000000"/>
          <w:sz w:val="18"/>
        </w:rPr>
        <w:t xml:space="preserve">  </w:t>
      </w:r>
      <w:r>
        <w:rPr>
          <w:rFonts w:eastAsia="Arial"/>
          <w:i/>
          <w:color w:val="000000"/>
          <w:sz w:val="18"/>
        </w:rPr>
        <w:t>See</w:t>
      </w:r>
      <w:r>
        <w:rPr>
          <w:rFonts w:eastAsia="Arial"/>
          <w:color w:val="000000"/>
          <w:sz w:val="18"/>
        </w:rPr>
        <w:t xml:space="preserve"> HUMAN RIGHTS WATCH &amp; THE SENTENCING PROJECT, LOSING THE VOTE 1 (1998). Federalism, the history of race relations, and the impact of criminal justice reforms in the 1960s have led to a "'crazyquilt'" of disenfranchisement laws. </w:t>
      </w:r>
      <w:r>
        <w:rPr>
          <w:rFonts w:eastAsia="Arial"/>
          <w:i/>
          <w:color w:val="000000"/>
          <w:sz w:val="18"/>
        </w:rPr>
        <w:t>Id.</w:t>
      </w:r>
      <w:r>
        <w:rPr>
          <w:rFonts w:eastAsia="Arial"/>
          <w:color w:val="000000"/>
          <w:sz w:val="18"/>
        </w:rPr>
        <w:t xml:space="preserve"> at 6.</w:t>
      </w:r>
    </w:p>
  </w:footnote>
  <w:footnote w:id="41">
    <w:p w14:paraId="77508571" w14:textId="77777777" w:rsidR="005C4509" w:rsidRDefault="005C4509" w:rsidP="0020575E">
      <w:pPr>
        <w:spacing w:before="240" w:line="240" w:lineRule="atLeast"/>
        <w:jc w:val="both"/>
      </w:pPr>
      <w:r>
        <w:rPr>
          <w:rFonts w:eastAsia="Arial"/>
          <w:color w:val="000000"/>
          <w:sz w:val="18"/>
          <w:vertAlign w:val="superscript"/>
        </w:rPr>
        <w:t>63 </w:t>
      </w:r>
      <w:r>
        <w:rPr>
          <w:rFonts w:eastAsia="Arial"/>
          <w:color w:val="000000"/>
          <w:sz w:val="18"/>
        </w:rPr>
        <w:t xml:space="preserve">  </w:t>
      </w:r>
      <w:r>
        <w:rPr>
          <w:rFonts w:eastAsia="Arial"/>
          <w:i/>
          <w:color w:val="000000"/>
          <w:sz w:val="18"/>
        </w:rPr>
        <w:t>See, e.g.</w:t>
      </w:r>
      <w:r>
        <w:rPr>
          <w:rFonts w:eastAsia="Arial"/>
          <w:color w:val="000000"/>
          <w:sz w:val="18"/>
        </w:rPr>
        <w:t xml:space="preserve">, </w:t>
      </w:r>
      <w:hyperlink r:id="rId115" w:history="1">
        <w:r>
          <w:rPr>
            <w:rFonts w:eastAsia="Arial"/>
            <w:b/>
            <w:i/>
            <w:color w:val="0077CC"/>
            <w:sz w:val="18"/>
            <w:u w:val="single"/>
            <w:shd w:val="clear" w:color="auto" w:fill="FFFFFF"/>
          </w:rPr>
          <w:t>U.S.</w:t>
        </w:r>
      </w:hyperlink>
      <w:hyperlink r:id="rId116" w:history="1">
        <w:r>
          <w:rPr>
            <w:rFonts w:eastAsia="Arial"/>
            <w:i/>
            <w:color w:val="0077CC"/>
            <w:sz w:val="18"/>
            <w:u w:val="single"/>
            <w:shd w:val="clear" w:color="auto" w:fill="FFFFFF"/>
          </w:rPr>
          <w:t xml:space="preserve"> CONST. amends. XV</w:t>
        </w:r>
      </w:hyperlink>
      <w:r>
        <w:rPr>
          <w:rFonts w:eastAsia="Arial"/>
          <w:color w:val="000000"/>
          <w:sz w:val="18"/>
        </w:rPr>
        <w:t xml:space="preserve"> (1870) (right of citizens to vote not to be denied or abridged on account of race); XIX (1920) (right of citizens to vote not to be denied or abridged on account of sex); XXIV (1964) (right of citizens to vote not to be denied or abridged for failure to pay poll tax or other tax); XXVI (1971) (right of citizens to vote not to be denied or abridged on account of age).</w:t>
      </w:r>
    </w:p>
    <w:p w14:paraId="671C35C3" w14:textId="77777777" w:rsidR="005C4509" w:rsidRDefault="005C4509" w:rsidP="0020575E">
      <w:pPr>
        <w:spacing w:before="120" w:line="240" w:lineRule="atLeast"/>
        <w:jc w:val="both"/>
      </w:pPr>
      <w:r>
        <w:rPr>
          <w:rFonts w:eastAsia="Arial"/>
          <w:color w:val="000000"/>
          <w:sz w:val="18"/>
        </w:rPr>
        <w:t>Should the possession of a firearm be viewed as the right of a citizen under the Second Amendment, as some argue, then the denial of firearms licenses to ex-offenders can be deemed a restriction on political membership.</w:t>
      </w:r>
    </w:p>
  </w:footnote>
  <w:footnote w:id="42">
    <w:p w14:paraId="40476177" w14:textId="77777777" w:rsidR="005C4509" w:rsidRDefault="005C4509" w:rsidP="0020575E">
      <w:pPr>
        <w:spacing w:before="200" w:line="240" w:lineRule="atLeast"/>
        <w:jc w:val="both"/>
      </w:pPr>
      <w:r>
        <w:rPr>
          <w:rFonts w:eastAsia="Arial"/>
          <w:color w:val="000000"/>
          <w:sz w:val="18"/>
          <w:vertAlign w:val="superscript"/>
        </w:rPr>
        <w:t>64 </w:t>
      </w:r>
      <w:r>
        <w:rPr>
          <w:rFonts w:eastAsia="Arial"/>
          <w:color w:val="000000"/>
          <w:sz w:val="18"/>
        </w:rPr>
        <w:t xml:space="preserve">  </w:t>
      </w:r>
      <w:r>
        <w:rPr>
          <w:rFonts w:eastAsia="Arial"/>
          <w:i/>
          <w:color w:val="000000"/>
          <w:sz w:val="18"/>
        </w:rPr>
        <w:t>Compare, e.g.</w:t>
      </w:r>
      <w:r>
        <w:rPr>
          <w:rFonts w:eastAsia="Arial"/>
          <w:color w:val="000000"/>
          <w:sz w:val="18"/>
        </w:rPr>
        <w:t xml:space="preserve">, Delaware (right to serve on jury and to vote restored only through pardon) </w:t>
      </w:r>
      <w:r>
        <w:rPr>
          <w:rFonts w:eastAsia="Arial"/>
          <w:i/>
          <w:color w:val="000000"/>
          <w:sz w:val="18"/>
        </w:rPr>
        <w:t>with</w:t>
      </w:r>
      <w:r>
        <w:rPr>
          <w:rFonts w:eastAsia="Arial"/>
          <w:color w:val="000000"/>
          <w:sz w:val="18"/>
        </w:rPr>
        <w:t xml:space="preserve"> California (right to vote restored upon completion of sentence). CIVIL DISABILITIES OF CONVICTED FELONS, </w:t>
      </w:r>
      <w:r>
        <w:rPr>
          <w:rFonts w:eastAsia="Arial"/>
          <w:i/>
          <w:color w:val="000000"/>
          <w:sz w:val="18"/>
        </w:rPr>
        <w:t>supra</w:t>
      </w:r>
      <w:r>
        <w:rPr>
          <w:rFonts w:eastAsia="Arial"/>
          <w:color w:val="000000"/>
          <w:sz w:val="18"/>
        </w:rPr>
        <w:t xml:space="preserve"> note 7, at A-1; </w:t>
      </w:r>
      <w:r>
        <w:rPr>
          <w:rFonts w:eastAsia="Arial"/>
          <w:i/>
          <w:color w:val="000000"/>
          <w:sz w:val="18"/>
        </w:rPr>
        <w:t>see generally id.</w:t>
      </w:r>
      <w:r>
        <w:rPr>
          <w:rFonts w:eastAsia="Arial"/>
          <w:color w:val="000000"/>
          <w:sz w:val="18"/>
        </w:rPr>
        <w:t xml:space="preserve"> at app. A (detailing laws on the loss and restoration of political rights in all 50 states and the District of Columbia).</w:t>
      </w:r>
    </w:p>
  </w:footnote>
  <w:footnote w:id="43">
    <w:p w14:paraId="0D72F417" w14:textId="77777777" w:rsidR="005C4509" w:rsidRDefault="005C4509" w:rsidP="0020575E">
      <w:pPr>
        <w:spacing w:before="200" w:line="240" w:lineRule="atLeast"/>
        <w:jc w:val="both"/>
      </w:pPr>
      <w:r>
        <w:rPr>
          <w:rFonts w:eastAsia="Arial"/>
          <w:color w:val="000000"/>
          <w:sz w:val="18"/>
          <w:vertAlign w:val="superscript"/>
        </w:rPr>
        <w:t>65 </w:t>
      </w:r>
      <w:r>
        <w:rPr>
          <w:rFonts w:eastAsia="Arial"/>
          <w:color w:val="000000"/>
          <w:sz w:val="18"/>
        </w:rPr>
        <w:t xml:space="preserve">  </w:t>
      </w:r>
      <w:r>
        <w:rPr>
          <w:rFonts w:eastAsia="Arial"/>
          <w:i/>
          <w:color w:val="000000"/>
          <w:sz w:val="18"/>
        </w:rPr>
        <w:t>See supra</w:t>
      </w:r>
      <w:r>
        <w:rPr>
          <w:rFonts w:eastAsia="Arial"/>
          <w:color w:val="000000"/>
          <w:sz w:val="18"/>
        </w:rPr>
        <w:t xml:space="preserve"> notes 33-35 and accompanying text (pardons have generally been available only to a limited number of offenders).</w:t>
      </w:r>
    </w:p>
  </w:footnote>
  <w:footnote w:id="44">
    <w:p w14:paraId="0E0AD260" w14:textId="77777777" w:rsidR="005C4509" w:rsidRDefault="005C4509" w:rsidP="0020575E">
      <w:pPr>
        <w:spacing w:before="200" w:line="240" w:lineRule="atLeast"/>
        <w:jc w:val="both"/>
      </w:pPr>
      <w:r>
        <w:rPr>
          <w:rFonts w:eastAsia="Arial"/>
          <w:color w:val="000000"/>
          <w:sz w:val="18"/>
          <w:vertAlign w:val="superscript"/>
        </w:rPr>
        <w:t>66 </w:t>
      </w:r>
      <w:r>
        <w:rPr>
          <w:rFonts w:eastAsia="Arial"/>
          <w:color w:val="000000"/>
          <w:sz w:val="18"/>
        </w:rPr>
        <w:t xml:space="preserve"> HUMAN RIGHTS WATCH &amp; THE SENTENCING PROJECT, </w:t>
      </w:r>
      <w:r>
        <w:rPr>
          <w:rFonts w:eastAsia="Arial"/>
          <w:i/>
          <w:color w:val="000000"/>
          <w:sz w:val="18"/>
        </w:rPr>
        <w:t>supra</w:t>
      </w:r>
      <w:r>
        <w:rPr>
          <w:rFonts w:eastAsia="Arial"/>
          <w:color w:val="000000"/>
          <w:sz w:val="18"/>
        </w:rPr>
        <w:t xml:space="preserve"> note 62, at 2-3 (discussing civil disabilities imposed on offenders that were brought to North America by English colonists).</w:t>
      </w:r>
    </w:p>
  </w:footnote>
  <w:footnote w:id="45">
    <w:p w14:paraId="5035734F" w14:textId="77777777" w:rsidR="005C4509" w:rsidRDefault="005C4509" w:rsidP="0020575E">
      <w:pPr>
        <w:spacing w:before="240" w:line="240" w:lineRule="atLeast"/>
        <w:jc w:val="both"/>
      </w:pPr>
      <w:r>
        <w:rPr>
          <w:rFonts w:eastAsia="Arial"/>
          <w:color w:val="000000"/>
          <w:sz w:val="18"/>
          <w:vertAlign w:val="superscript"/>
        </w:rPr>
        <w:t>67 </w:t>
      </w:r>
      <w:r>
        <w:rPr>
          <w:rFonts w:eastAsia="Arial"/>
          <w:color w:val="000000"/>
          <w:sz w:val="18"/>
        </w:rPr>
        <w:t xml:space="preserve">  </w:t>
      </w:r>
      <w:r>
        <w:rPr>
          <w:rFonts w:eastAsia="Arial"/>
          <w:i/>
          <w:color w:val="000000"/>
          <w:sz w:val="18"/>
        </w:rPr>
        <w:t>See</w:t>
      </w:r>
      <w:r>
        <w:rPr>
          <w:rFonts w:eastAsia="Arial"/>
          <w:color w:val="000000"/>
          <w:sz w:val="18"/>
        </w:rPr>
        <w:t xml:space="preserve"> Andrew L. Shapiro, </w:t>
      </w:r>
      <w:r>
        <w:rPr>
          <w:rFonts w:eastAsia="Arial"/>
          <w:i/>
          <w:color w:val="000000"/>
          <w:sz w:val="18"/>
        </w:rPr>
        <w:t>Challenging Criminal Disenfranchisement Under the Voting Rights Act: A New Strategy</w:t>
      </w:r>
      <w:r>
        <w:rPr>
          <w:rFonts w:eastAsia="Arial"/>
          <w:color w:val="000000"/>
          <w:sz w:val="18"/>
        </w:rPr>
        <w:t xml:space="preserve">, </w:t>
      </w:r>
      <w:hyperlink r:id="rId117" w:history="1">
        <w:r>
          <w:rPr>
            <w:rFonts w:eastAsia="Arial"/>
            <w:i/>
            <w:color w:val="0077CC"/>
            <w:sz w:val="18"/>
            <w:u w:val="single"/>
            <w:shd w:val="clear" w:color="auto" w:fill="FFFFFF"/>
          </w:rPr>
          <w:t>103 YALE L. J. 537, 561 (1993).</w:t>
        </w:r>
      </w:hyperlink>
    </w:p>
  </w:footnote>
  <w:footnote w:id="46">
    <w:p w14:paraId="2D956DA6" w14:textId="77777777" w:rsidR="005C4509" w:rsidRDefault="005C4509" w:rsidP="0020575E">
      <w:pPr>
        <w:spacing w:before="200" w:line="240" w:lineRule="atLeast"/>
        <w:jc w:val="both"/>
      </w:pPr>
      <w:r>
        <w:rPr>
          <w:rFonts w:eastAsia="Arial"/>
          <w:color w:val="000000"/>
          <w:sz w:val="18"/>
          <w:vertAlign w:val="superscript"/>
        </w:rPr>
        <w:t>68 </w:t>
      </w:r>
      <w:r>
        <w:rPr>
          <w:rFonts w:eastAsia="Arial"/>
          <w:color w:val="000000"/>
          <w:sz w:val="18"/>
        </w:rPr>
        <w:t xml:space="preserve">  </w:t>
      </w:r>
      <w:r>
        <w:rPr>
          <w:rFonts w:eastAsia="Arial"/>
          <w:i/>
          <w:color w:val="000000"/>
          <w:sz w:val="18"/>
        </w:rPr>
        <w:t>See</w:t>
      </w:r>
      <w:r>
        <w:rPr>
          <w:rFonts w:eastAsia="Arial"/>
          <w:color w:val="000000"/>
          <w:sz w:val="18"/>
        </w:rPr>
        <w:t xml:space="preserve">  </w:t>
      </w:r>
      <w:hyperlink r:id="rId118" w:history="1">
        <w:r>
          <w:rPr>
            <w:rFonts w:eastAsia="Arial"/>
            <w:i/>
            <w:color w:val="0077CC"/>
            <w:sz w:val="18"/>
            <w:u w:val="single"/>
            <w:shd w:val="clear" w:color="auto" w:fill="FFFFFF"/>
          </w:rPr>
          <w:t>Green v. Bd. of Elections, 380 F.2d 445, 451 (2d Cir. 1967),</w:t>
        </w:r>
      </w:hyperlink>
      <w:r>
        <w:rPr>
          <w:rFonts w:eastAsia="Arial"/>
          <w:color w:val="000000"/>
          <w:sz w:val="18"/>
        </w:rPr>
        <w:t xml:space="preserve">  </w:t>
      </w:r>
      <w:r>
        <w:rPr>
          <w:rFonts w:eastAsia="Arial"/>
          <w:i/>
          <w:color w:val="000000"/>
          <w:sz w:val="18"/>
        </w:rPr>
        <w:t>cert. denied</w:t>
      </w:r>
      <w:r>
        <w:rPr>
          <w:rFonts w:eastAsia="Arial"/>
          <w:color w:val="000000"/>
          <w:sz w:val="18"/>
        </w:rPr>
        <w:t xml:space="preserve">, </w:t>
      </w:r>
      <w:r>
        <w:rPr>
          <w:rFonts w:eastAsia="Arial"/>
          <w:b/>
          <w:i/>
          <w:color w:val="000000"/>
          <w:sz w:val="18"/>
        </w:rPr>
        <w:t xml:space="preserve">389 </w:t>
      </w:r>
      <w:r>
        <w:rPr>
          <w:rFonts w:eastAsia="Arial"/>
          <w:b/>
          <w:i/>
          <w:color w:val="000000"/>
          <w:sz w:val="18"/>
          <w:u w:val="single"/>
        </w:rPr>
        <w:t>U.S.</w:t>
      </w:r>
      <w:r>
        <w:rPr>
          <w:rFonts w:eastAsia="Arial"/>
          <w:b/>
          <w:i/>
          <w:color w:val="000000"/>
          <w:sz w:val="18"/>
        </w:rPr>
        <w:t xml:space="preserve"> 1048 (1968)</w:t>
      </w:r>
      <w:r>
        <w:rPr>
          <w:rFonts w:eastAsia="Arial"/>
          <w:color w:val="000000"/>
          <w:sz w:val="18"/>
        </w:rPr>
        <w:t xml:space="preserve"> (noting that "it can scarcely be deemed unreasonable for a state to decide that perpetrators of serious crimes shall not take part in electing the legislators who make the laws, the executives who enforce these, the prosecutors who must try them for further violations, or the judges who are to consider their cases.").</w:t>
      </w:r>
    </w:p>
  </w:footnote>
  <w:footnote w:id="47">
    <w:p w14:paraId="589C4BE0" w14:textId="77777777" w:rsidR="005C4509" w:rsidRDefault="005C4509" w:rsidP="0020575E">
      <w:pPr>
        <w:spacing w:before="200" w:line="240" w:lineRule="atLeast"/>
        <w:jc w:val="both"/>
      </w:pPr>
      <w:r>
        <w:rPr>
          <w:rFonts w:eastAsia="Arial"/>
          <w:color w:val="000000"/>
          <w:sz w:val="18"/>
          <w:vertAlign w:val="superscript"/>
        </w:rPr>
        <w:t>69 </w:t>
      </w:r>
      <w:r>
        <w:rPr>
          <w:rFonts w:eastAsia="Arial"/>
          <w:color w:val="000000"/>
          <w:sz w:val="18"/>
        </w:rPr>
        <w:t xml:space="preserve">  </w:t>
      </w:r>
      <w:r>
        <w:rPr>
          <w:rFonts w:eastAsia="Arial"/>
          <w:i/>
          <w:color w:val="000000"/>
          <w:sz w:val="18"/>
        </w:rPr>
        <w:t>See</w:t>
      </w:r>
      <w:r>
        <w:rPr>
          <w:rFonts w:eastAsia="Arial"/>
          <w:color w:val="000000"/>
          <w:sz w:val="18"/>
        </w:rPr>
        <w:t xml:space="preserve"> Note, </w:t>
      </w:r>
      <w:r>
        <w:rPr>
          <w:rFonts w:eastAsia="Arial"/>
          <w:i/>
          <w:color w:val="000000"/>
          <w:sz w:val="18"/>
        </w:rPr>
        <w:t>Disenfranchisement of Ex-Felons, supra</w:t>
      </w:r>
      <w:r>
        <w:rPr>
          <w:rFonts w:eastAsia="Arial"/>
          <w:color w:val="000000"/>
          <w:sz w:val="18"/>
        </w:rPr>
        <w:t xml:space="preserve"> note 5, at 1303.</w:t>
      </w:r>
    </w:p>
  </w:footnote>
  <w:footnote w:id="48">
    <w:p w14:paraId="7F17B0A8" w14:textId="77777777" w:rsidR="005C4509" w:rsidRDefault="005C4509" w:rsidP="0020575E">
      <w:pPr>
        <w:spacing w:before="200" w:line="240" w:lineRule="atLeast"/>
        <w:jc w:val="both"/>
      </w:pPr>
      <w:r>
        <w:rPr>
          <w:rFonts w:eastAsia="Arial"/>
          <w:color w:val="000000"/>
          <w:sz w:val="18"/>
          <w:vertAlign w:val="superscript"/>
        </w:rPr>
        <w:t>70 </w:t>
      </w:r>
      <w:r>
        <w:rPr>
          <w:rFonts w:eastAsia="Arial"/>
          <w:color w:val="000000"/>
          <w:sz w:val="18"/>
        </w:rPr>
        <w:t xml:space="preserve">  </w:t>
      </w:r>
      <w:r>
        <w:rPr>
          <w:rFonts w:eastAsia="Arial"/>
          <w:i/>
          <w:color w:val="000000"/>
          <w:sz w:val="18"/>
        </w:rPr>
        <w:t>See</w:t>
      </w:r>
      <w:r>
        <w:rPr>
          <w:rFonts w:eastAsia="Arial"/>
          <w:color w:val="000000"/>
          <w:sz w:val="18"/>
        </w:rPr>
        <w:t xml:space="preserve"> HUMAN RIGHTS WATCH &amp; THE SENTENCING PROJECT, </w:t>
      </w:r>
      <w:r>
        <w:rPr>
          <w:rFonts w:eastAsia="Arial"/>
          <w:i/>
          <w:color w:val="000000"/>
          <w:sz w:val="18"/>
        </w:rPr>
        <w:t>supra</w:t>
      </w:r>
      <w:r>
        <w:rPr>
          <w:rFonts w:eastAsia="Arial"/>
          <w:color w:val="000000"/>
          <w:sz w:val="18"/>
        </w:rPr>
        <w:t xml:space="preserve"> note 62, at 3; Shapiro, </w:t>
      </w:r>
      <w:r>
        <w:rPr>
          <w:rFonts w:eastAsia="Arial"/>
          <w:i/>
          <w:color w:val="000000"/>
          <w:sz w:val="18"/>
        </w:rPr>
        <w:t>supra</w:t>
      </w:r>
      <w:r>
        <w:rPr>
          <w:rFonts w:eastAsia="Arial"/>
          <w:color w:val="000000"/>
          <w:sz w:val="18"/>
        </w:rPr>
        <w:t xml:space="preserve"> note 67, at 538-42.</w:t>
      </w:r>
    </w:p>
  </w:footnote>
  <w:footnote w:id="49">
    <w:p w14:paraId="4AE10688" w14:textId="77777777" w:rsidR="005C4509" w:rsidRDefault="005C4509" w:rsidP="0020575E">
      <w:pPr>
        <w:spacing w:before="240" w:line="240" w:lineRule="atLeast"/>
        <w:jc w:val="both"/>
      </w:pPr>
      <w:r>
        <w:rPr>
          <w:rFonts w:eastAsia="Arial"/>
          <w:color w:val="000000"/>
          <w:sz w:val="18"/>
          <w:vertAlign w:val="superscript"/>
        </w:rPr>
        <w:t>71 </w:t>
      </w:r>
      <w:r>
        <w:rPr>
          <w:rFonts w:eastAsia="Arial"/>
          <w:color w:val="000000"/>
          <w:sz w:val="18"/>
        </w:rPr>
        <w:t xml:space="preserve">  </w:t>
      </w:r>
      <w:hyperlink r:id="rId119" w:history="1">
        <w:r>
          <w:rPr>
            <w:rFonts w:eastAsia="Arial"/>
            <w:i/>
            <w:color w:val="0077CC"/>
            <w:sz w:val="18"/>
            <w:u w:val="single"/>
            <w:shd w:val="clear" w:color="auto" w:fill="FFFFFF"/>
          </w:rPr>
          <w:t xml:space="preserve">418 </w:t>
        </w:r>
      </w:hyperlink>
      <w:hyperlink r:id="rId120" w:history="1">
        <w:r>
          <w:rPr>
            <w:rFonts w:eastAsia="Arial"/>
            <w:b/>
            <w:i/>
            <w:color w:val="0077CC"/>
            <w:sz w:val="18"/>
            <w:u w:val="single"/>
            <w:shd w:val="clear" w:color="auto" w:fill="FFFFFF"/>
          </w:rPr>
          <w:t>U.S.</w:t>
        </w:r>
      </w:hyperlink>
      <w:hyperlink r:id="rId121" w:history="1">
        <w:r>
          <w:rPr>
            <w:rFonts w:eastAsia="Arial"/>
            <w:i/>
            <w:color w:val="0077CC"/>
            <w:sz w:val="18"/>
            <w:u w:val="single"/>
            <w:shd w:val="clear" w:color="auto" w:fill="FFFFFF"/>
          </w:rPr>
          <w:t xml:space="preserve"> 24 (1974).</w:t>
        </w:r>
      </w:hyperlink>
    </w:p>
  </w:footnote>
  <w:footnote w:id="50">
    <w:p w14:paraId="35C45FA8" w14:textId="77777777" w:rsidR="005C4509" w:rsidRDefault="005C4509" w:rsidP="0020575E">
      <w:pPr>
        <w:spacing w:before="240" w:line="240" w:lineRule="atLeast"/>
        <w:jc w:val="both"/>
      </w:pPr>
      <w:r>
        <w:rPr>
          <w:rFonts w:eastAsia="Arial"/>
          <w:color w:val="000000"/>
          <w:sz w:val="18"/>
          <w:vertAlign w:val="superscript"/>
        </w:rPr>
        <w:t>72 </w:t>
      </w:r>
      <w:r>
        <w:rPr>
          <w:rFonts w:eastAsia="Arial"/>
          <w:color w:val="000000"/>
          <w:sz w:val="18"/>
        </w:rPr>
        <w:t xml:space="preserve">  </w:t>
      </w:r>
      <w:hyperlink r:id="rId122" w:history="1">
        <w:r>
          <w:rPr>
            <w:rFonts w:eastAsia="Arial"/>
            <w:i/>
            <w:color w:val="0077CC"/>
            <w:sz w:val="18"/>
            <w:u w:val="single"/>
            <w:shd w:val="clear" w:color="auto" w:fill="FFFFFF"/>
          </w:rPr>
          <w:t xml:space="preserve">471 </w:t>
        </w:r>
      </w:hyperlink>
      <w:hyperlink r:id="rId123" w:history="1">
        <w:r>
          <w:rPr>
            <w:rFonts w:eastAsia="Arial"/>
            <w:b/>
            <w:i/>
            <w:color w:val="0077CC"/>
            <w:sz w:val="18"/>
            <w:u w:val="single"/>
            <w:shd w:val="clear" w:color="auto" w:fill="FFFFFF"/>
          </w:rPr>
          <w:t>U.S.</w:t>
        </w:r>
      </w:hyperlink>
      <w:hyperlink r:id="rId124" w:history="1">
        <w:r>
          <w:rPr>
            <w:rFonts w:eastAsia="Arial"/>
            <w:i/>
            <w:color w:val="0077CC"/>
            <w:sz w:val="18"/>
            <w:u w:val="single"/>
            <w:shd w:val="clear" w:color="auto" w:fill="FFFFFF"/>
          </w:rPr>
          <w:t xml:space="preserve"> 222 (1985).</w:t>
        </w:r>
      </w:hyperlink>
    </w:p>
  </w:footnote>
  <w:footnote w:id="51">
    <w:p w14:paraId="4996781D" w14:textId="77777777" w:rsidR="005C4509" w:rsidRDefault="005C4509" w:rsidP="0020575E">
      <w:pPr>
        <w:spacing w:before="200" w:line="240" w:lineRule="atLeast"/>
        <w:jc w:val="both"/>
      </w:pPr>
      <w:r>
        <w:rPr>
          <w:rFonts w:eastAsia="Arial"/>
          <w:color w:val="000000"/>
          <w:sz w:val="18"/>
          <w:vertAlign w:val="superscript"/>
        </w:rPr>
        <w:t>73 </w:t>
      </w:r>
      <w:r>
        <w:rPr>
          <w:rFonts w:eastAsia="Arial"/>
          <w:color w:val="000000"/>
          <w:sz w:val="18"/>
        </w:rPr>
        <w:t xml:space="preserve">  </w:t>
      </w:r>
      <w:r>
        <w:rPr>
          <w:rFonts w:eastAsia="Arial"/>
          <w:i/>
          <w:color w:val="000000"/>
          <w:sz w:val="18"/>
        </w:rPr>
        <w:t>See</w:t>
      </w:r>
      <w:r>
        <w:rPr>
          <w:rFonts w:eastAsia="Arial"/>
          <w:color w:val="000000"/>
          <w:sz w:val="18"/>
        </w:rPr>
        <w:t xml:space="preserve"> HUMAN RIGHTS WATCH &amp; THE SENTENCING PROJECT, </w:t>
      </w:r>
      <w:r>
        <w:rPr>
          <w:rFonts w:eastAsia="Arial"/>
          <w:i/>
          <w:color w:val="000000"/>
          <w:sz w:val="18"/>
        </w:rPr>
        <w:t>supra</w:t>
      </w:r>
      <w:r>
        <w:rPr>
          <w:rFonts w:eastAsia="Arial"/>
          <w:color w:val="000000"/>
          <w:sz w:val="18"/>
        </w:rPr>
        <w:t xml:space="preserve"> note 62, at 1.</w:t>
      </w:r>
    </w:p>
  </w:footnote>
  <w:footnote w:id="52">
    <w:p w14:paraId="2C8AC056" w14:textId="77777777" w:rsidR="005C4509" w:rsidRDefault="005C4509" w:rsidP="0020575E">
      <w:pPr>
        <w:spacing w:before="240" w:line="240" w:lineRule="atLeast"/>
        <w:jc w:val="both"/>
      </w:pPr>
      <w:r>
        <w:rPr>
          <w:rFonts w:eastAsia="Arial"/>
          <w:color w:val="000000"/>
          <w:sz w:val="18"/>
          <w:vertAlign w:val="superscript"/>
        </w:rPr>
        <w:t>74 </w:t>
      </w:r>
      <w:r>
        <w:rPr>
          <w:rFonts w:eastAsia="Arial"/>
          <w:color w:val="000000"/>
          <w:sz w:val="18"/>
        </w:rPr>
        <w:t xml:space="preserve">  </w:t>
      </w:r>
      <w:hyperlink r:id="rId125" w:history="1">
        <w:r>
          <w:rPr>
            <w:rFonts w:eastAsia="Arial"/>
            <w:b/>
            <w:i/>
            <w:color w:val="0077CC"/>
            <w:sz w:val="18"/>
            <w:u w:val="single"/>
            <w:shd w:val="clear" w:color="auto" w:fill="FFFFFF"/>
          </w:rPr>
          <w:t>U.S.</w:t>
        </w:r>
      </w:hyperlink>
      <w:hyperlink r:id="rId126" w:history="1">
        <w:r>
          <w:rPr>
            <w:rFonts w:eastAsia="Arial"/>
            <w:i/>
            <w:color w:val="0077CC"/>
            <w:sz w:val="18"/>
            <w:u w:val="single"/>
            <w:shd w:val="clear" w:color="auto" w:fill="FFFFFF"/>
          </w:rPr>
          <w:t xml:space="preserve"> CONST. amends. XV</w:t>
        </w:r>
      </w:hyperlink>
      <w:r>
        <w:rPr>
          <w:rFonts w:eastAsia="Arial"/>
          <w:color w:val="000000"/>
          <w:sz w:val="18"/>
        </w:rPr>
        <w:t xml:space="preserve"> (1870), XIX (1920), XXIV (1964), XXVI (1971).</w:t>
      </w:r>
    </w:p>
  </w:footnote>
  <w:footnote w:id="53">
    <w:p w14:paraId="620167E0" w14:textId="77777777" w:rsidR="005C4509" w:rsidRDefault="005C4509" w:rsidP="0020575E">
      <w:pPr>
        <w:spacing w:before="240" w:line="240" w:lineRule="atLeast"/>
        <w:jc w:val="both"/>
      </w:pPr>
      <w:r>
        <w:rPr>
          <w:rFonts w:eastAsia="Arial"/>
          <w:color w:val="000000"/>
          <w:sz w:val="18"/>
          <w:vertAlign w:val="superscript"/>
        </w:rPr>
        <w:t>75 </w:t>
      </w:r>
      <w:r>
        <w:rPr>
          <w:rFonts w:eastAsia="Arial"/>
          <w:color w:val="000000"/>
          <w:sz w:val="18"/>
        </w:rPr>
        <w:t xml:space="preserve">  </w:t>
      </w:r>
      <w:r>
        <w:rPr>
          <w:rFonts w:eastAsia="Arial"/>
          <w:i/>
          <w:color w:val="000000"/>
          <w:sz w:val="18"/>
        </w:rPr>
        <w:t>See, e.g.</w:t>
      </w:r>
      <w:r>
        <w:rPr>
          <w:rFonts w:eastAsia="Arial"/>
          <w:color w:val="000000"/>
          <w:sz w:val="18"/>
        </w:rPr>
        <w:t xml:space="preserve">, </w:t>
      </w:r>
      <w:hyperlink r:id="rId127" w:history="1">
        <w:r>
          <w:rPr>
            <w:rFonts w:eastAsia="Arial"/>
            <w:i/>
            <w:color w:val="0077CC"/>
            <w:sz w:val="18"/>
            <w:u w:val="single"/>
            <w:shd w:val="clear" w:color="auto" w:fill="FFFFFF"/>
          </w:rPr>
          <w:t xml:space="preserve">42 </w:t>
        </w:r>
      </w:hyperlink>
      <w:hyperlink r:id="rId128" w:history="1">
        <w:r>
          <w:rPr>
            <w:rFonts w:eastAsia="Arial"/>
            <w:b/>
            <w:i/>
            <w:color w:val="0077CC"/>
            <w:sz w:val="18"/>
            <w:u w:val="single"/>
            <w:shd w:val="clear" w:color="auto" w:fill="FFFFFF"/>
          </w:rPr>
          <w:t>U.S.</w:t>
        </w:r>
      </w:hyperlink>
      <w:hyperlink r:id="rId129" w:history="1">
        <w:r>
          <w:rPr>
            <w:rFonts w:eastAsia="Arial"/>
            <w:i/>
            <w:color w:val="0077CC"/>
            <w:sz w:val="18"/>
            <w:u w:val="single"/>
            <w:shd w:val="clear" w:color="auto" w:fill="FFFFFF"/>
          </w:rPr>
          <w:t>C. § 1971</w:t>
        </w:r>
      </w:hyperlink>
      <w:r>
        <w:rPr>
          <w:rFonts w:eastAsia="Arial"/>
          <w:color w:val="000000"/>
          <w:sz w:val="18"/>
        </w:rPr>
        <w:t>-</w:t>
      </w:r>
      <w:hyperlink r:id="rId130" w:history="1">
        <w:r>
          <w:rPr>
            <w:rFonts w:eastAsia="Arial"/>
            <w:i/>
            <w:color w:val="0077CC"/>
            <w:sz w:val="18"/>
            <w:u w:val="single"/>
            <w:shd w:val="clear" w:color="auto" w:fill="FFFFFF"/>
          </w:rPr>
          <w:t>19</w:t>
        </w:r>
      </w:hyperlink>
      <w:hyperlink r:id="rId131" w:history="1">
        <w:r>
          <w:rPr>
            <w:rFonts w:eastAsia="Arial"/>
            <w:i/>
            <w:color w:val="0077CC"/>
            <w:sz w:val="18"/>
            <w:u w:val="single"/>
            <w:shd w:val="clear" w:color="auto" w:fill="FFFFFF"/>
          </w:rPr>
          <w:t>7</w:t>
        </w:r>
      </w:hyperlink>
      <w:hyperlink r:id="rId132" w:history="1">
        <w:r>
          <w:rPr>
            <w:rFonts w:eastAsia="Arial"/>
            <w:i/>
            <w:color w:val="0077CC"/>
            <w:sz w:val="18"/>
            <w:u w:val="single"/>
            <w:shd w:val="clear" w:color="auto" w:fill="FFFFFF"/>
          </w:rPr>
          <w:t>4</w:t>
        </w:r>
      </w:hyperlink>
      <w:r>
        <w:rPr>
          <w:rFonts w:eastAsia="Arial"/>
          <w:color w:val="000000"/>
          <w:sz w:val="18"/>
        </w:rPr>
        <w:t>e (1999) (codification of Voting Rights Act and its amendments).</w:t>
      </w:r>
    </w:p>
  </w:footnote>
  <w:footnote w:id="54">
    <w:p w14:paraId="6AFAE4E6" w14:textId="77777777" w:rsidR="005C4509" w:rsidRDefault="005C4509" w:rsidP="0020575E">
      <w:pPr>
        <w:spacing w:before="120" w:line="240" w:lineRule="atLeast"/>
        <w:jc w:val="both"/>
      </w:pPr>
      <w:r>
        <w:rPr>
          <w:rFonts w:eastAsia="Arial"/>
          <w:color w:val="000000"/>
          <w:sz w:val="18"/>
          <w:vertAlign w:val="superscript"/>
        </w:rPr>
        <w:t>76 </w:t>
      </w:r>
      <w:r>
        <w:rPr>
          <w:rFonts w:eastAsia="Arial"/>
          <w:color w:val="000000"/>
          <w:sz w:val="18"/>
        </w:rPr>
        <w:t xml:space="preserve"> JUDITH N. SHKLAR, AMERICAN CITIZENSHIP 2 (1991).</w:t>
      </w:r>
    </w:p>
  </w:footnote>
  <w:footnote w:id="55">
    <w:p w14:paraId="362C344E" w14:textId="77777777" w:rsidR="005C4509" w:rsidRDefault="005C4509" w:rsidP="0020575E">
      <w:pPr>
        <w:spacing w:before="200" w:line="240" w:lineRule="atLeast"/>
        <w:jc w:val="both"/>
      </w:pPr>
      <w:r>
        <w:rPr>
          <w:rFonts w:eastAsia="Arial"/>
          <w:color w:val="000000"/>
          <w:sz w:val="18"/>
          <w:vertAlign w:val="superscript"/>
        </w:rPr>
        <w:t>77 </w:t>
      </w:r>
      <w:r>
        <w:rPr>
          <w:rFonts w:eastAsia="Arial"/>
          <w:color w:val="000000"/>
          <w:sz w:val="18"/>
        </w:rPr>
        <w:t xml:space="preserve"> Heather Lardy, </w:t>
      </w:r>
      <w:r>
        <w:rPr>
          <w:rFonts w:eastAsia="Arial"/>
          <w:i/>
          <w:color w:val="000000"/>
          <w:sz w:val="18"/>
        </w:rPr>
        <w:t>Citizenship and the Right to Vote</w:t>
      </w:r>
      <w:r>
        <w:rPr>
          <w:rFonts w:eastAsia="Arial"/>
          <w:color w:val="000000"/>
          <w:sz w:val="18"/>
        </w:rPr>
        <w:t>, 17 OXFORD J. LEGAL STUD. 74, 86 n. 48 (1997).</w:t>
      </w:r>
    </w:p>
  </w:footnote>
  <w:footnote w:id="56">
    <w:p w14:paraId="58DF6BC7" w14:textId="77777777" w:rsidR="005C4509" w:rsidRDefault="005C4509" w:rsidP="0020575E">
      <w:pPr>
        <w:spacing w:before="200" w:line="240" w:lineRule="atLeast"/>
        <w:jc w:val="both"/>
      </w:pPr>
      <w:r>
        <w:rPr>
          <w:rFonts w:eastAsia="Arial"/>
          <w:color w:val="000000"/>
          <w:sz w:val="18"/>
          <w:vertAlign w:val="superscript"/>
        </w:rPr>
        <w:t>78 </w:t>
      </w:r>
      <w:r>
        <w:rPr>
          <w:rFonts w:eastAsia="Arial"/>
          <w:color w:val="000000"/>
          <w:sz w:val="18"/>
        </w:rPr>
        <w:t xml:space="preserve">  </w:t>
      </w:r>
      <w:r>
        <w:rPr>
          <w:rFonts w:eastAsia="Arial"/>
          <w:i/>
          <w:color w:val="000000"/>
          <w:sz w:val="18"/>
        </w:rPr>
        <w:t>See</w:t>
      </w:r>
      <w:r>
        <w:rPr>
          <w:rFonts w:eastAsia="Arial"/>
          <w:color w:val="000000"/>
          <w:sz w:val="18"/>
        </w:rPr>
        <w:t xml:space="preserve"> SHKLAR, </w:t>
      </w:r>
      <w:r>
        <w:rPr>
          <w:rFonts w:eastAsia="Arial"/>
          <w:i/>
          <w:color w:val="000000"/>
          <w:sz w:val="18"/>
        </w:rPr>
        <w:t>supra</w:t>
      </w:r>
      <w:r>
        <w:rPr>
          <w:rFonts w:eastAsia="Arial"/>
          <w:color w:val="000000"/>
          <w:sz w:val="18"/>
        </w:rPr>
        <w:t xml:space="preserve"> note 76, at 3.</w:t>
      </w:r>
    </w:p>
  </w:footnote>
  <w:footnote w:id="57">
    <w:p w14:paraId="0E368A29" w14:textId="77777777" w:rsidR="005C4509" w:rsidRDefault="005C4509" w:rsidP="0020575E">
      <w:pPr>
        <w:spacing w:before="200" w:line="240" w:lineRule="atLeast"/>
        <w:jc w:val="both"/>
      </w:pPr>
      <w:r>
        <w:rPr>
          <w:rFonts w:eastAsia="Arial"/>
          <w:color w:val="000000"/>
          <w:sz w:val="18"/>
          <w:vertAlign w:val="superscript"/>
        </w:rPr>
        <w:t>79 </w:t>
      </w:r>
      <w:r>
        <w:rPr>
          <w:rFonts w:eastAsia="Arial"/>
          <w:color w:val="000000"/>
          <w:sz w:val="18"/>
        </w:rPr>
        <w:t xml:space="preserve"> HUMAN RIGHTS WATCH &amp; THE SENTENCING PROJECT, </w:t>
      </w:r>
      <w:r>
        <w:rPr>
          <w:rFonts w:eastAsia="Arial"/>
          <w:i/>
          <w:color w:val="000000"/>
          <w:sz w:val="18"/>
        </w:rPr>
        <w:t>supra</w:t>
      </w:r>
      <w:r>
        <w:rPr>
          <w:rFonts w:eastAsia="Arial"/>
          <w:color w:val="000000"/>
          <w:sz w:val="18"/>
        </w:rPr>
        <w:t xml:space="preserve"> note 62, at 2.</w:t>
      </w:r>
    </w:p>
  </w:footnote>
  <w:footnote w:id="58">
    <w:p w14:paraId="5D5F0AB4" w14:textId="77777777" w:rsidR="005C4509" w:rsidRDefault="005C4509" w:rsidP="0020575E">
      <w:pPr>
        <w:spacing w:before="200" w:line="240" w:lineRule="atLeast"/>
        <w:jc w:val="both"/>
      </w:pPr>
      <w:r>
        <w:rPr>
          <w:rFonts w:eastAsia="Arial"/>
          <w:color w:val="000000"/>
          <w:sz w:val="18"/>
          <w:vertAlign w:val="superscript"/>
        </w:rPr>
        <w:t>80 </w:t>
      </w:r>
      <w:r>
        <w:rPr>
          <w:rFonts w:eastAsia="Arial"/>
          <w:color w:val="000000"/>
          <w:sz w:val="18"/>
        </w:rPr>
        <w:t xml:space="preserve">  </w:t>
      </w:r>
      <w:r>
        <w:rPr>
          <w:rFonts w:eastAsia="Arial"/>
          <w:i/>
          <w:color w:val="000000"/>
          <w:sz w:val="18"/>
        </w:rPr>
        <w:t>Id.</w:t>
      </w:r>
    </w:p>
  </w:footnote>
  <w:footnote w:id="59">
    <w:p w14:paraId="222A83FE" w14:textId="77777777" w:rsidR="005C4509" w:rsidRDefault="005C4509" w:rsidP="0020575E">
      <w:pPr>
        <w:spacing w:before="200" w:line="240" w:lineRule="atLeast"/>
        <w:jc w:val="both"/>
      </w:pPr>
      <w:r>
        <w:rPr>
          <w:rFonts w:eastAsia="Arial"/>
          <w:color w:val="000000"/>
          <w:sz w:val="18"/>
          <w:vertAlign w:val="superscript"/>
        </w:rPr>
        <w:t>81 </w:t>
      </w:r>
      <w:r>
        <w:rPr>
          <w:rFonts w:eastAsia="Arial"/>
          <w:color w:val="000000"/>
          <w:sz w:val="18"/>
        </w:rPr>
        <w:t xml:space="preserve"> Andrew L. Shapiro, </w:t>
      </w:r>
      <w:r>
        <w:rPr>
          <w:rFonts w:eastAsia="Arial"/>
          <w:i/>
          <w:color w:val="000000"/>
          <w:sz w:val="18"/>
        </w:rPr>
        <w:t>The Disenfranchised</w:t>
      </w:r>
      <w:r>
        <w:rPr>
          <w:rFonts w:eastAsia="Arial"/>
          <w:color w:val="000000"/>
          <w:sz w:val="18"/>
        </w:rPr>
        <w:t>, THE AM. PROSPECT, Nov./Dec. 1997, at 60, 62.</w:t>
      </w:r>
    </w:p>
  </w:footnote>
  <w:footnote w:id="60">
    <w:p w14:paraId="541670A1" w14:textId="77777777" w:rsidR="005C4509" w:rsidRDefault="005C4509" w:rsidP="0020575E">
      <w:pPr>
        <w:spacing w:before="200" w:line="240" w:lineRule="atLeast"/>
        <w:jc w:val="both"/>
      </w:pPr>
      <w:r>
        <w:rPr>
          <w:rFonts w:eastAsia="Arial"/>
          <w:color w:val="000000"/>
          <w:sz w:val="18"/>
          <w:vertAlign w:val="superscript"/>
        </w:rPr>
        <w:t>82 </w:t>
      </w:r>
      <w:r>
        <w:rPr>
          <w:rFonts w:eastAsia="Arial"/>
          <w:color w:val="000000"/>
          <w:sz w:val="18"/>
        </w:rPr>
        <w:t xml:space="preserve"> </w:t>
      </w:r>
      <w:r>
        <w:rPr>
          <w:rFonts w:eastAsia="Arial"/>
          <w:b/>
          <w:i/>
          <w:color w:val="000000"/>
          <w:sz w:val="18"/>
          <w:u w:val="single"/>
        </w:rPr>
        <w:t>U.S.</w:t>
      </w:r>
      <w:r>
        <w:rPr>
          <w:rFonts w:eastAsia="Arial"/>
          <w:color w:val="000000"/>
          <w:sz w:val="18"/>
        </w:rPr>
        <w:t xml:space="preserve"> CONST. arts. I, II; </w:t>
      </w:r>
      <w:hyperlink r:id="rId133" w:history="1">
        <w:r>
          <w:rPr>
            <w:rFonts w:eastAsia="Arial"/>
            <w:i/>
            <w:color w:val="0077CC"/>
            <w:sz w:val="18"/>
            <w:u w:val="single"/>
            <w:shd w:val="clear" w:color="auto" w:fill="FFFFFF"/>
          </w:rPr>
          <w:t>amends. XIII</w:t>
        </w:r>
      </w:hyperlink>
      <w:r>
        <w:rPr>
          <w:rFonts w:eastAsia="Arial"/>
          <w:color w:val="000000"/>
          <w:sz w:val="18"/>
        </w:rPr>
        <w:t xml:space="preserve">, </w:t>
      </w:r>
      <w:hyperlink r:id="rId134" w:history="1">
        <w:r>
          <w:rPr>
            <w:rFonts w:eastAsia="Arial"/>
            <w:i/>
            <w:color w:val="0077CC"/>
            <w:sz w:val="18"/>
            <w:u w:val="single"/>
            <w:shd w:val="clear" w:color="auto" w:fill="FFFFFF"/>
          </w:rPr>
          <w:t>XIX</w:t>
        </w:r>
      </w:hyperlink>
      <w:r>
        <w:rPr>
          <w:rFonts w:eastAsia="Arial"/>
          <w:color w:val="000000"/>
          <w:sz w:val="18"/>
        </w:rPr>
        <w:t xml:space="preserve">, </w:t>
      </w:r>
      <w:hyperlink r:id="rId135" w:history="1">
        <w:r>
          <w:rPr>
            <w:rFonts w:eastAsia="Arial"/>
            <w:i/>
            <w:color w:val="0077CC"/>
            <w:sz w:val="18"/>
            <w:u w:val="single"/>
            <w:shd w:val="clear" w:color="auto" w:fill="FFFFFF"/>
          </w:rPr>
          <w:t>XVII</w:t>
        </w:r>
      </w:hyperlink>
      <w:r>
        <w:rPr>
          <w:rFonts w:eastAsia="Arial"/>
          <w:color w:val="000000"/>
          <w:sz w:val="18"/>
        </w:rPr>
        <w:t xml:space="preserve">, </w:t>
      </w:r>
      <w:hyperlink r:id="rId136" w:history="1">
        <w:r>
          <w:rPr>
            <w:rFonts w:eastAsia="Arial"/>
            <w:i/>
            <w:color w:val="0077CC"/>
            <w:sz w:val="18"/>
            <w:u w:val="single"/>
            <w:shd w:val="clear" w:color="auto" w:fill="FFFFFF"/>
          </w:rPr>
          <w:t>XXVI</w:t>
        </w:r>
      </w:hyperlink>
      <w:r>
        <w:rPr>
          <w:rFonts w:eastAsia="Arial"/>
          <w:color w:val="000000"/>
          <w:sz w:val="18"/>
        </w:rPr>
        <w:t xml:space="preserve">. </w:t>
      </w:r>
      <w:r>
        <w:rPr>
          <w:rFonts w:eastAsia="Arial"/>
          <w:i/>
          <w:color w:val="000000"/>
          <w:sz w:val="18"/>
        </w:rPr>
        <w:t>See also</w:t>
      </w:r>
      <w:r>
        <w:rPr>
          <w:rFonts w:eastAsia="Arial"/>
          <w:color w:val="000000"/>
          <w:sz w:val="18"/>
        </w:rPr>
        <w:t xml:space="preserve"> Nora V. Demleitner, </w:t>
      </w:r>
      <w:r>
        <w:rPr>
          <w:rFonts w:eastAsia="Arial"/>
          <w:i/>
          <w:color w:val="000000"/>
          <w:sz w:val="18"/>
        </w:rPr>
        <w:t>Continuing Payment on One's Debts to Society: The German Model of Felon Disenfranchisement</w:t>
      </w:r>
      <w:r>
        <w:rPr>
          <w:rFonts w:eastAsia="Arial"/>
          <w:color w:val="000000"/>
          <w:sz w:val="18"/>
        </w:rPr>
        <w:t xml:space="preserve">, 84 MINN. L. REV. (forthcoming spring 2000) (manuscript at 4, on file with the </w:t>
      </w:r>
      <w:r>
        <w:rPr>
          <w:rFonts w:eastAsia="Arial"/>
          <w:i/>
          <w:color w:val="000000"/>
          <w:sz w:val="18"/>
        </w:rPr>
        <w:t>Stanford Law &amp; Policy Review</w:t>
      </w:r>
      <w:r>
        <w:rPr>
          <w:rFonts w:eastAsia="Arial"/>
          <w:color w:val="000000"/>
          <w:sz w:val="18"/>
        </w:rPr>
        <w:t xml:space="preserve">) [hereinafter Demleitner, </w:t>
      </w:r>
      <w:r>
        <w:rPr>
          <w:rFonts w:eastAsia="Arial"/>
          <w:i/>
          <w:color w:val="000000"/>
          <w:sz w:val="18"/>
        </w:rPr>
        <w:t>Continuing Payment on One's Debts to Society</w:t>
      </w:r>
      <w:r>
        <w:rPr>
          <w:rFonts w:eastAsia="Arial"/>
          <w:color w:val="000000"/>
          <w:sz w:val="18"/>
        </w:rPr>
        <w:t>].</w:t>
      </w:r>
    </w:p>
  </w:footnote>
  <w:footnote w:id="61">
    <w:p w14:paraId="41DE9B3E" w14:textId="77777777" w:rsidR="005C4509" w:rsidRDefault="005C4509" w:rsidP="0020575E">
      <w:pPr>
        <w:spacing w:before="240" w:line="240" w:lineRule="atLeast"/>
        <w:jc w:val="both"/>
      </w:pPr>
      <w:r>
        <w:rPr>
          <w:rFonts w:eastAsia="Arial"/>
          <w:color w:val="000000"/>
          <w:sz w:val="18"/>
          <w:vertAlign w:val="superscript"/>
        </w:rPr>
        <w:t>83 </w:t>
      </w:r>
      <w:r>
        <w:rPr>
          <w:rFonts w:eastAsia="Arial"/>
          <w:color w:val="000000"/>
          <w:sz w:val="18"/>
        </w:rPr>
        <w:t xml:space="preserve">  </w:t>
      </w:r>
      <w:r>
        <w:rPr>
          <w:rFonts w:eastAsia="Arial"/>
          <w:i/>
          <w:color w:val="000000"/>
          <w:sz w:val="18"/>
        </w:rPr>
        <w:t>See</w:t>
      </w:r>
      <w:r>
        <w:rPr>
          <w:rFonts w:eastAsia="Arial"/>
          <w:color w:val="000000"/>
          <w:sz w:val="18"/>
        </w:rPr>
        <w:t xml:space="preserve">  </w:t>
      </w:r>
      <w:hyperlink r:id="rId137" w:history="1">
        <w:r>
          <w:rPr>
            <w:rFonts w:eastAsia="Arial"/>
            <w:i/>
            <w:color w:val="0077CC"/>
            <w:sz w:val="18"/>
            <w:u w:val="single"/>
            <w:shd w:val="clear" w:color="auto" w:fill="FFFFFF"/>
          </w:rPr>
          <w:t xml:space="preserve">21 </w:t>
        </w:r>
      </w:hyperlink>
      <w:hyperlink r:id="rId138" w:history="1">
        <w:r>
          <w:rPr>
            <w:rFonts w:eastAsia="Arial"/>
            <w:b/>
            <w:i/>
            <w:color w:val="0077CC"/>
            <w:sz w:val="18"/>
            <w:u w:val="single"/>
            <w:shd w:val="clear" w:color="auto" w:fill="FFFFFF"/>
          </w:rPr>
          <w:t>U.S.</w:t>
        </w:r>
      </w:hyperlink>
      <w:hyperlink r:id="rId139" w:history="1">
        <w:r>
          <w:rPr>
            <w:rFonts w:eastAsia="Arial"/>
            <w:i/>
            <w:color w:val="0077CC"/>
            <w:sz w:val="18"/>
            <w:u w:val="single"/>
            <w:shd w:val="clear" w:color="auto" w:fill="FFFFFF"/>
          </w:rPr>
          <w:t>C. § 862</w:t>
        </w:r>
      </w:hyperlink>
      <w:r>
        <w:rPr>
          <w:rFonts w:eastAsia="Arial"/>
          <w:color w:val="000000"/>
          <w:sz w:val="18"/>
        </w:rPr>
        <w:t>(a)(1)(A), (B) (1999).</w:t>
      </w:r>
    </w:p>
  </w:footnote>
  <w:footnote w:id="62">
    <w:p w14:paraId="13F67E74" w14:textId="77777777" w:rsidR="005C4509" w:rsidRDefault="005C4509" w:rsidP="0020575E">
      <w:pPr>
        <w:spacing w:before="240" w:line="240" w:lineRule="atLeast"/>
        <w:jc w:val="both"/>
      </w:pPr>
      <w:r>
        <w:rPr>
          <w:rFonts w:eastAsia="Arial"/>
          <w:color w:val="000000"/>
          <w:sz w:val="18"/>
          <w:vertAlign w:val="superscript"/>
        </w:rPr>
        <w:t>84 </w:t>
      </w:r>
      <w:r>
        <w:rPr>
          <w:rFonts w:eastAsia="Arial"/>
          <w:color w:val="000000"/>
          <w:sz w:val="18"/>
        </w:rPr>
        <w:t xml:space="preserve">  </w:t>
      </w:r>
      <w:r>
        <w:rPr>
          <w:rFonts w:eastAsia="Arial"/>
          <w:i/>
          <w:color w:val="000000"/>
          <w:sz w:val="18"/>
        </w:rPr>
        <w:t>See</w:t>
      </w:r>
      <w:r>
        <w:rPr>
          <w:rFonts w:eastAsia="Arial"/>
          <w:color w:val="000000"/>
          <w:sz w:val="18"/>
        </w:rPr>
        <w:t xml:space="preserve">  </w:t>
      </w:r>
      <w:hyperlink r:id="rId140" w:history="1">
        <w:r>
          <w:rPr>
            <w:rFonts w:eastAsia="Arial"/>
            <w:i/>
            <w:color w:val="0077CC"/>
            <w:sz w:val="18"/>
            <w:u w:val="single"/>
            <w:shd w:val="clear" w:color="auto" w:fill="FFFFFF"/>
          </w:rPr>
          <w:t xml:space="preserve">21 </w:t>
        </w:r>
      </w:hyperlink>
      <w:hyperlink r:id="rId141" w:history="1">
        <w:r>
          <w:rPr>
            <w:rFonts w:eastAsia="Arial"/>
            <w:b/>
            <w:i/>
            <w:color w:val="0077CC"/>
            <w:sz w:val="18"/>
            <w:u w:val="single"/>
            <w:shd w:val="clear" w:color="auto" w:fill="FFFFFF"/>
          </w:rPr>
          <w:t>U.S.</w:t>
        </w:r>
      </w:hyperlink>
      <w:hyperlink r:id="rId142" w:history="1">
        <w:r>
          <w:rPr>
            <w:rFonts w:eastAsia="Arial"/>
            <w:i/>
            <w:color w:val="0077CC"/>
            <w:sz w:val="18"/>
            <w:u w:val="single"/>
            <w:shd w:val="clear" w:color="auto" w:fill="FFFFFF"/>
          </w:rPr>
          <w:t>C. § 862</w:t>
        </w:r>
      </w:hyperlink>
      <w:r>
        <w:rPr>
          <w:rFonts w:eastAsia="Arial"/>
          <w:color w:val="000000"/>
          <w:sz w:val="18"/>
        </w:rPr>
        <w:t>(a)(1)(C) (1999).</w:t>
      </w:r>
    </w:p>
  </w:footnote>
  <w:footnote w:id="63">
    <w:p w14:paraId="725DF550" w14:textId="77777777" w:rsidR="005C4509" w:rsidRDefault="005C4509" w:rsidP="0020575E">
      <w:pPr>
        <w:spacing w:before="240" w:line="240" w:lineRule="atLeast"/>
        <w:jc w:val="both"/>
      </w:pPr>
      <w:r>
        <w:rPr>
          <w:rFonts w:eastAsia="Arial"/>
          <w:color w:val="000000"/>
          <w:sz w:val="18"/>
          <w:vertAlign w:val="superscript"/>
        </w:rPr>
        <w:t>85 </w:t>
      </w:r>
      <w:r>
        <w:rPr>
          <w:rFonts w:eastAsia="Arial"/>
          <w:color w:val="000000"/>
          <w:sz w:val="18"/>
        </w:rPr>
        <w:t xml:space="preserve">  </w:t>
      </w:r>
      <w:r>
        <w:rPr>
          <w:rFonts w:eastAsia="Arial"/>
          <w:i/>
          <w:color w:val="000000"/>
          <w:sz w:val="18"/>
        </w:rPr>
        <w:t>See</w:t>
      </w:r>
      <w:r>
        <w:rPr>
          <w:rFonts w:eastAsia="Arial"/>
          <w:color w:val="000000"/>
          <w:sz w:val="18"/>
        </w:rPr>
        <w:t xml:space="preserve">  </w:t>
      </w:r>
      <w:hyperlink r:id="rId143" w:history="1">
        <w:r>
          <w:rPr>
            <w:rFonts w:eastAsia="Arial"/>
            <w:i/>
            <w:color w:val="0077CC"/>
            <w:sz w:val="18"/>
            <w:u w:val="single"/>
            <w:shd w:val="clear" w:color="auto" w:fill="FFFFFF"/>
          </w:rPr>
          <w:t xml:space="preserve">21 </w:t>
        </w:r>
      </w:hyperlink>
      <w:hyperlink r:id="rId144" w:history="1">
        <w:r>
          <w:rPr>
            <w:rFonts w:eastAsia="Arial"/>
            <w:b/>
            <w:i/>
            <w:color w:val="0077CC"/>
            <w:sz w:val="18"/>
            <w:u w:val="single"/>
            <w:shd w:val="clear" w:color="auto" w:fill="FFFFFF"/>
          </w:rPr>
          <w:t>U.S.</w:t>
        </w:r>
      </w:hyperlink>
      <w:hyperlink r:id="rId145" w:history="1">
        <w:r>
          <w:rPr>
            <w:rFonts w:eastAsia="Arial"/>
            <w:i/>
            <w:color w:val="0077CC"/>
            <w:sz w:val="18"/>
            <w:u w:val="single"/>
            <w:shd w:val="clear" w:color="auto" w:fill="FFFFFF"/>
          </w:rPr>
          <w:t>C. § 862</w:t>
        </w:r>
      </w:hyperlink>
      <w:r>
        <w:rPr>
          <w:rFonts w:eastAsia="Arial"/>
          <w:color w:val="000000"/>
          <w:sz w:val="18"/>
        </w:rPr>
        <w:t xml:space="preserve">(b)(1) (1999). The statute permits exceptions for drug addicts who go into treatment programs. It does not cover numerous benefit programs, such as survival-type welfare programs, public housing, and participatory retirement, health, disability, and veterans' benefits. </w:t>
      </w:r>
      <w:r>
        <w:rPr>
          <w:rFonts w:eastAsia="Arial"/>
          <w:i/>
          <w:color w:val="000000"/>
          <w:sz w:val="18"/>
        </w:rPr>
        <w:t>See</w:t>
      </w:r>
      <w:r>
        <w:rPr>
          <w:rFonts w:eastAsia="Arial"/>
          <w:color w:val="000000"/>
          <w:sz w:val="18"/>
        </w:rPr>
        <w:t xml:space="preserve">  </w:t>
      </w:r>
      <w:hyperlink r:id="rId146" w:history="1">
        <w:r>
          <w:rPr>
            <w:rFonts w:eastAsia="Arial"/>
            <w:i/>
            <w:color w:val="0077CC"/>
            <w:sz w:val="18"/>
            <w:u w:val="single"/>
            <w:shd w:val="clear" w:color="auto" w:fill="FFFFFF"/>
          </w:rPr>
          <w:t xml:space="preserve">21 </w:t>
        </w:r>
      </w:hyperlink>
      <w:hyperlink r:id="rId147" w:history="1">
        <w:r>
          <w:rPr>
            <w:rFonts w:eastAsia="Arial"/>
            <w:b/>
            <w:i/>
            <w:color w:val="0077CC"/>
            <w:sz w:val="18"/>
            <w:u w:val="single"/>
            <w:shd w:val="clear" w:color="auto" w:fill="FFFFFF"/>
          </w:rPr>
          <w:t>U.S.</w:t>
        </w:r>
      </w:hyperlink>
      <w:hyperlink r:id="rId148" w:history="1">
        <w:r>
          <w:rPr>
            <w:rFonts w:eastAsia="Arial"/>
            <w:i/>
            <w:color w:val="0077CC"/>
            <w:sz w:val="18"/>
            <w:u w:val="single"/>
            <w:shd w:val="clear" w:color="auto" w:fill="FFFFFF"/>
          </w:rPr>
          <w:t>C. §§ 862</w:t>
        </w:r>
      </w:hyperlink>
      <w:r>
        <w:rPr>
          <w:rFonts w:eastAsia="Arial"/>
          <w:color w:val="000000"/>
          <w:sz w:val="18"/>
        </w:rPr>
        <w:t>(a)(2), (b)(2), (d) (1999).</w:t>
      </w:r>
    </w:p>
  </w:footnote>
  <w:footnote w:id="64">
    <w:p w14:paraId="199901B7" w14:textId="77777777" w:rsidR="005C4509" w:rsidRDefault="005C4509" w:rsidP="0020575E">
      <w:pPr>
        <w:spacing w:before="240" w:line="240" w:lineRule="atLeast"/>
        <w:jc w:val="both"/>
      </w:pPr>
      <w:r>
        <w:rPr>
          <w:rFonts w:eastAsia="Arial"/>
          <w:color w:val="000000"/>
          <w:sz w:val="18"/>
          <w:vertAlign w:val="superscript"/>
        </w:rPr>
        <w:t>86 </w:t>
      </w:r>
      <w:r>
        <w:rPr>
          <w:rFonts w:eastAsia="Arial"/>
          <w:color w:val="000000"/>
          <w:sz w:val="18"/>
        </w:rPr>
        <w:t xml:space="preserve">  </w:t>
      </w:r>
      <w:r>
        <w:rPr>
          <w:rFonts w:eastAsia="Arial"/>
          <w:i/>
          <w:color w:val="000000"/>
          <w:sz w:val="18"/>
        </w:rPr>
        <w:t>See</w:t>
      </w:r>
      <w:r>
        <w:rPr>
          <w:rFonts w:eastAsia="Arial"/>
          <w:color w:val="000000"/>
          <w:sz w:val="18"/>
        </w:rPr>
        <w:t xml:space="preserve"> Sandra Guerra, </w:t>
      </w:r>
      <w:r>
        <w:rPr>
          <w:rFonts w:eastAsia="Arial"/>
          <w:i/>
          <w:color w:val="000000"/>
          <w:sz w:val="18"/>
        </w:rPr>
        <w:t>The Myth of Dual Sovereignty: Multijurisdictional Drug Law Enforcement and Double Jeopardy</w:t>
      </w:r>
      <w:r>
        <w:rPr>
          <w:rFonts w:eastAsia="Arial"/>
          <w:color w:val="000000"/>
          <w:sz w:val="18"/>
        </w:rPr>
        <w:t xml:space="preserve">, </w:t>
      </w:r>
      <w:hyperlink r:id="rId149" w:history="1">
        <w:r>
          <w:rPr>
            <w:rFonts w:eastAsia="Arial"/>
            <w:i/>
            <w:color w:val="0077CC"/>
            <w:sz w:val="18"/>
            <w:u w:val="single"/>
            <w:shd w:val="clear" w:color="auto" w:fill="FFFFFF"/>
          </w:rPr>
          <w:t>73 N.C. L. REV. 1160, 1168 n.34 (1995)</w:t>
        </w:r>
      </w:hyperlink>
      <w:r>
        <w:rPr>
          <w:rFonts w:eastAsia="Arial"/>
          <w:color w:val="000000"/>
          <w:sz w:val="18"/>
        </w:rPr>
        <w:t xml:space="preserve"> (citing Office of Nat'l Drug Control Pol'y, Executive Office of the President, National Drug Control Strategy (1991) which found that ex-offenders could lose over 462 deniable benefits from 53 federal agencies). </w:t>
      </w:r>
      <w:r>
        <w:rPr>
          <w:rFonts w:eastAsia="Arial"/>
          <w:i/>
          <w:color w:val="000000"/>
          <w:sz w:val="18"/>
        </w:rPr>
        <w:t>See also</w:t>
      </w:r>
      <w:r>
        <w:rPr>
          <w:rFonts w:eastAsia="Arial"/>
          <w:color w:val="000000"/>
          <w:sz w:val="18"/>
        </w:rPr>
        <w:t xml:space="preserve"> Stephen Burd, </w:t>
      </w:r>
      <w:r>
        <w:rPr>
          <w:rFonts w:eastAsia="Arial"/>
          <w:i/>
          <w:color w:val="000000"/>
          <w:sz w:val="18"/>
        </w:rPr>
        <w:t xml:space="preserve">Law Barring </w:t>
      </w:r>
      <w:r>
        <w:rPr>
          <w:rFonts w:eastAsia="Arial"/>
          <w:b/>
          <w:i/>
          <w:color w:val="000000"/>
          <w:sz w:val="18"/>
          <w:u w:val="single"/>
        </w:rPr>
        <w:t>U.S.</w:t>
      </w:r>
      <w:r>
        <w:rPr>
          <w:rFonts w:eastAsia="Arial"/>
          <w:i/>
          <w:color w:val="000000"/>
          <w:sz w:val="18"/>
        </w:rPr>
        <w:t xml:space="preserve"> Aid to Drug Offenders Concerns Administrators and Activists</w:t>
      </w:r>
      <w:r>
        <w:rPr>
          <w:rFonts w:eastAsia="Arial"/>
          <w:color w:val="000000"/>
          <w:sz w:val="18"/>
        </w:rPr>
        <w:t xml:space="preserve">, CHRON. HIGHER EDUC., Apr. 30, 1999, at A30. The </w:t>
      </w:r>
      <w:r>
        <w:rPr>
          <w:rFonts w:eastAsia="Arial"/>
          <w:b/>
          <w:i/>
          <w:color w:val="000000"/>
          <w:sz w:val="18"/>
          <w:u w:val="single"/>
        </w:rPr>
        <w:t>U.S.</w:t>
      </w:r>
      <w:r>
        <w:rPr>
          <w:rFonts w:eastAsia="Arial"/>
          <w:color w:val="000000"/>
          <w:sz w:val="18"/>
        </w:rPr>
        <w:t xml:space="preserve"> Department of Education recently published regulations restricting access to student loans to applicants convicted of drug offenses. </w:t>
      </w:r>
      <w:hyperlink r:id="rId150" w:history="1">
        <w:r>
          <w:rPr>
            <w:rFonts w:eastAsia="Arial"/>
            <w:i/>
            <w:color w:val="0077CC"/>
            <w:sz w:val="18"/>
            <w:u w:val="single"/>
            <w:shd w:val="clear" w:color="auto" w:fill="FFFFFF"/>
          </w:rPr>
          <w:t>34 C.F.R. § 668.40 (1999)</w:t>
        </w:r>
      </w:hyperlink>
      <w:r>
        <w:rPr>
          <w:rFonts w:eastAsia="Arial"/>
          <w:color w:val="000000"/>
          <w:sz w:val="18"/>
        </w:rPr>
        <w:t>.</w:t>
      </w:r>
    </w:p>
  </w:footnote>
  <w:footnote w:id="65">
    <w:p w14:paraId="1DE38281" w14:textId="77777777" w:rsidR="005C4509" w:rsidRDefault="005C4509" w:rsidP="0020575E">
      <w:pPr>
        <w:spacing w:before="240" w:line="240" w:lineRule="atLeast"/>
        <w:jc w:val="both"/>
      </w:pPr>
      <w:r>
        <w:rPr>
          <w:rFonts w:eastAsia="Arial"/>
          <w:color w:val="000000"/>
          <w:sz w:val="18"/>
          <w:vertAlign w:val="superscript"/>
        </w:rPr>
        <w:t>87 </w:t>
      </w:r>
      <w:r>
        <w:rPr>
          <w:rFonts w:eastAsia="Arial"/>
          <w:color w:val="000000"/>
          <w:sz w:val="18"/>
        </w:rPr>
        <w:t xml:space="preserve">  </w:t>
      </w:r>
      <w:r>
        <w:rPr>
          <w:rFonts w:eastAsia="Arial"/>
          <w:i/>
          <w:color w:val="000000"/>
          <w:sz w:val="18"/>
        </w:rPr>
        <w:t>See</w:t>
      </w:r>
      <w:r>
        <w:rPr>
          <w:rFonts w:eastAsia="Arial"/>
          <w:color w:val="000000"/>
          <w:sz w:val="18"/>
        </w:rPr>
        <w:t xml:space="preserve">  </w:t>
      </w:r>
      <w:hyperlink r:id="rId151" w:history="1">
        <w:r>
          <w:rPr>
            <w:rFonts w:eastAsia="Arial"/>
            <w:i/>
            <w:color w:val="0077CC"/>
            <w:sz w:val="18"/>
            <w:u w:val="single"/>
            <w:shd w:val="clear" w:color="auto" w:fill="FFFFFF"/>
          </w:rPr>
          <w:t xml:space="preserve">21 </w:t>
        </w:r>
      </w:hyperlink>
      <w:hyperlink r:id="rId152" w:history="1">
        <w:r>
          <w:rPr>
            <w:rFonts w:eastAsia="Arial"/>
            <w:b/>
            <w:i/>
            <w:color w:val="0077CC"/>
            <w:sz w:val="18"/>
            <w:u w:val="single"/>
            <w:shd w:val="clear" w:color="auto" w:fill="FFFFFF"/>
          </w:rPr>
          <w:t>U.S.</w:t>
        </w:r>
      </w:hyperlink>
      <w:hyperlink r:id="rId153" w:history="1">
        <w:r>
          <w:rPr>
            <w:rFonts w:eastAsia="Arial"/>
            <w:i/>
            <w:color w:val="0077CC"/>
            <w:sz w:val="18"/>
            <w:u w:val="single"/>
            <w:shd w:val="clear" w:color="auto" w:fill="FFFFFF"/>
          </w:rPr>
          <w:t>C. § 862a</w:t>
        </w:r>
      </w:hyperlink>
      <w:r>
        <w:rPr>
          <w:rFonts w:eastAsia="Arial"/>
          <w:color w:val="000000"/>
          <w:sz w:val="18"/>
        </w:rPr>
        <w:t xml:space="preserve">(a) (1999). This law includes an opt-out provision, which allows states to exempt any of its residents from coverage. </w:t>
      </w:r>
      <w:hyperlink r:id="rId154" w:history="1">
        <w:r>
          <w:rPr>
            <w:rFonts w:eastAsia="Arial"/>
            <w:i/>
            <w:color w:val="0077CC"/>
            <w:sz w:val="18"/>
            <w:u w:val="single"/>
            <w:shd w:val="clear" w:color="auto" w:fill="FFFFFF"/>
          </w:rPr>
          <w:t xml:space="preserve">21 </w:t>
        </w:r>
      </w:hyperlink>
      <w:hyperlink r:id="rId155" w:history="1">
        <w:r>
          <w:rPr>
            <w:rFonts w:eastAsia="Arial"/>
            <w:b/>
            <w:i/>
            <w:color w:val="0077CC"/>
            <w:sz w:val="18"/>
            <w:u w:val="single"/>
            <w:shd w:val="clear" w:color="auto" w:fill="FFFFFF"/>
          </w:rPr>
          <w:t>U.S.</w:t>
        </w:r>
      </w:hyperlink>
      <w:hyperlink r:id="rId156" w:history="1">
        <w:r>
          <w:rPr>
            <w:rFonts w:eastAsia="Arial"/>
            <w:i/>
            <w:color w:val="0077CC"/>
            <w:sz w:val="18"/>
            <w:u w:val="single"/>
            <w:shd w:val="clear" w:color="auto" w:fill="FFFFFF"/>
          </w:rPr>
          <w:t>C. § 862a</w:t>
        </w:r>
      </w:hyperlink>
      <w:r>
        <w:rPr>
          <w:rFonts w:eastAsia="Arial"/>
          <w:color w:val="000000"/>
          <w:sz w:val="18"/>
        </w:rPr>
        <w:t xml:space="preserve">(d)(1)(A) (1999). Alternatively, states may limit the length of time for which the exclusion is to apply to their citizens. </w:t>
      </w:r>
      <w:hyperlink r:id="rId157" w:history="1">
        <w:r>
          <w:rPr>
            <w:rFonts w:eastAsia="Arial"/>
            <w:i/>
            <w:color w:val="0077CC"/>
            <w:sz w:val="18"/>
            <w:u w:val="single"/>
            <w:shd w:val="clear" w:color="auto" w:fill="FFFFFF"/>
          </w:rPr>
          <w:t xml:space="preserve">21 </w:t>
        </w:r>
      </w:hyperlink>
      <w:hyperlink r:id="rId158" w:history="1">
        <w:r>
          <w:rPr>
            <w:rFonts w:eastAsia="Arial"/>
            <w:b/>
            <w:i/>
            <w:color w:val="0077CC"/>
            <w:sz w:val="18"/>
            <w:u w:val="single"/>
            <w:shd w:val="clear" w:color="auto" w:fill="FFFFFF"/>
          </w:rPr>
          <w:t>U.S.</w:t>
        </w:r>
      </w:hyperlink>
      <w:hyperlink r:id="rId159" w:history="1">
        <w:r>
          <w:rPr>
            <w:rFonts w:eastAsia="Arial"/>
            <w:i/>
            <w:color w:val="0077CC"/>
            <w:sz w:val="18"/>
            <w:u w:val="single"/>
            <w:shd w:val="clear" w:color="auto" w:fill="FFFFFF"/>
          </w:rPr>
          <w:t>C. § 862a</w:t>
        </w:r>
      </w:hyperlink>
      <w:r>
        <w:rPr>
          <w:rFonts w:eastAsia="Arial"/>
          <w:color w:val="000000"/>
          <w:sz w:val="18"/>
        </w:rPr>
        <w:t>(d)(1)(B) (1999).</w:t>
      </w:r>
    </w:p>
  </w:footnote>
  <w:footnote w:id="66">
    <w:p w14:paraId="3C124B1B" w14:textId="77777777" w:rsidR="005C4509" w:rsidRDefault="005C4509" w:rsidP="0020575E">
      <w:pPr>
        <w:spacing w:before="200" w:line="240" w:lineRule="atLeast"/>
        <w:jc w:val="both"/>
      </w:pPr>
      <w:r>
        <w:rPr>
          <w:rFonts w:eastAsia="Arial"/>
          <w:color w:val="000000"/>
          <w:sz w:val="18"/>
          <w:vertAlign w:val="superscript"/>
        </w:rPr>
        <w:t>88 </w:t>
      </w:r>
      <w:r>
        <w:rPr>
          <w:rFonts w:eastAsia="Arial"/>
          <w:color w:val="000000"/>
          <w:sz w:val="18"/>
        </w:rPr>
        <w:t xml:space="preserve">  </w:t>
      </w:r>
      <w:r>
        <w:rPr>
          <w:rFonts w:eastAsia="Arial"/>
          <w:i/>
          <w:color w:val="000000"/>
          <w:sz w:val="18"/>
        </w:rPr>
        <w:t>See</w:t>
      </w:r>
      <w:r>
        <w:rPr>
          <w:rFonts w:eastAsia="Arial"/>
          <w:color w:val="000000"/>
          <w:sz w:val="18"/>
        </w:rPr>
        <w:t xml:space="preserve"> Recent Legislation, </w:t>
      </w:r>
      <w:r>
        <w:rPr>
          <w:rFonts w:eastAsia="Arial"/>
          <w:i/>
          <w:color w:val="000000"/>
          <w:sz w:val="18"/>
        </w:rPr>
        <w:t>Welfare Reform - Punishment of Drug Offenders - Congress Denies Cash Assistance and Food Stamps to Drug Felons - Personal Responsibility and Work Opportunity Reconciliation Act of 1996</w:t>
      </w:r>
      <w:r>
        <w:rPr>
          <w:rFonts w:eastAsia="Arial"/>
          <w:color w:val="000000"/>
          <w:sz w:val="18"/>
        </w:rPr>
        <w:t xml:space="preserve">, </w:t>
      </w:r>
      <w:hyperlink r:id="rId160" w:history="1">
        <w:r>
          <w:rPr>
            <w:rFonts w:eastAsia="Arial"/>
            <w:i/>
            <w:color w:val="0077CC"/>
            <w:sz w:val="18"/>
            <w:u w:val="single"/>
            <w:shd w:val="clear" w:color="auto" w:fill="FFFFFF"/>
          </w:rPr>
          <w:t>110 HARV. L. REV. 983, 984 n.11 (1997).</w:t>
        </w:r>
      </w:hyperlink>
      <w:r>
        <w:rPr>
          <w:rFonts w:eastAsia="Arial"/>
          <w:color w:val="000000"/>
          <w:sz w:val="18"/>
        </w:rPr>
        <w:t xml:space="preserve"> The provision also will have a racially disparate effect because of the high percentage of African-Americans convicted of drug offenses. </w:t>
      </w:r>
      <w:r>
        <w:rPr>
          <w:rFonts w:eastAsia="Arial"/>
          <w:i/>
          <w:color w:val="000000"/>
          <w:sz w:val="18"/>
        </w:rPr>
        <w:t xml:space="preserve">See </w:t>
      </w:r>
      <w:r>
        <w:rPr>
          <w:rFonts w:eastAsia="Arial"/>
          <w:color w:val="000000"/>
          <w:sz w:val="18"/>
        </w:rPr>
        <w:t>id. at 985.</w:t>
      </w:r>
    </w:p>
    <w:p w14:paraId="24D82626" w14:textId="77777777" w:rsidR="005C4509" w:rsidRDefault="005C4509" w:rsidP="0020575E">
      <w:pPr>
        <w:spacing w:before="240" w:line="240" w:lineRule="atLeast"/>
        <w:jc w:val="both"/>
      </w:pPr>
      <w:r>
        <w:rPr>
          <w:rFonts w:eastAsia="Arial"/>
          <w:color w:val="000000"/>
          <w:sz w:val="18"/>
        </w:rPr>
        <w:t xml:space="preserve">One of the 1988 Amendments to the 1986 Drug-Abuse Act directly affects family members of drug offenders who live in public housing. It provides for their eviction if any member or guest of their household was involved in certain drug offenses. A criminal conviction of the offender is not a prerequisite for the family's eviction. </w:t>
      </w:r>
      <w:r>
        <w:rPr>
          <w:rFonts w:eastAsia="Arial"/>
          <w:i/>
          <w:color w:val="000000"/>
          <w:sz w:val="18"/>
        </w:rPr>
        <w:t>See</w:t>
      </w:r>
      <w:r>
        <w:rPr>
          <w:rFonts w:eastAsia="Arial"/>
          <w:color w:val="000000"/>
          <w:sz w:val="18"/>
        </w:rPr>
        <w:t xml:space="preserve">  </w:t>
      </w:r>
      <w:hyperlink r:id="rId161" w:history="1">
        <w:r>
          <w:rPr>
            <w:rFonts w:eastAsia="Arial"/>
            <w:i/>
            <w:color w:val="0077CC"/>
            <w:sz w:val="18"/>
            <w:u w:val="single"/>
            <w:shd w:val="clear" w:color="auto" w:fill="FFFFFF"/>
          </w:rPr>
          <w:t xml:space="preserve">42 </w:t>
        </w:r>
      </w:hyperlink>
      <w:hyperlink r:id="rId162" w:history="1">
        <w:r>
          <w:rPr>
            <w:rFonts w:eastAsia="Arial"/>
            <w:b/>
            <w:i/>
            <w:color w:val="0077CC"/>
            <w:sz w:val="18"/>
            <w:u w:val="single"/>
            <w:shd w:val="clear" w:color="auto" w:fill="FFFFFF"/>
          </w:rPr>
          <w:t>U.S.</w:t>
        </w:r>
      </w:hyperlink>
      <w:hyperlink r:id="rId163" w:history="1">
        <w:r>
          <w:rPr>
            <w:rFonts w:eastAsia="Arial"/>
            <w:i/>
            <w:color w:val="0077CC"/>
            <w:sz w:val="18"/>
            <w:u w:val="single"/>
            <w:shd w:val="clear" w:color="auto" w:fill="FFFFFF"/>
          </w:rPr>
          <w:t>C. § 1437d</w:t>
        </w:r>
      </w:hyperlink>
      <w:r>
        <w:rPr>
          <w:rFonts w:eastAsia="Arial"/>
          <w:color w:val="000000"/>
          <w:sz w:val="18"/>
        </w:rPr>
        <w:t>(l)(6) (1999).</w:t>
      </w:r>
    </w:p>
  </w:footnote>
  <w:footnote w:id="67">
    <w:p w14:paraId="609BC279" w14:textId="77777777" w:rsidR="005C4509" w:rsidRDefault="005C4509" w:rsidP="001C0CA6">
      <w:pPr>
        <w:spacing w:before="200" w:line="240" w:lineRule="atLeast"/>
        <w:jc w:val="both"/>
      </w:pPr>
      <w:r>
        <w:rPr>
          <w:rFonts w:eastAsia="Arial"/>
          <w:color w:val="000000"/>
          <w:sz w:val="18"/>
          <w:vertAlign w:val="superscript"/>
        </w:rPr>
        <w:t>47 </w:t>
      </w:r>
      <w:r>
        <w:rPr>
          <w:rFonts w:eastAsia="Arial"/>
          <w:color w:val="000000"/>
          <w:sz w:val="18"/>
        </w:rPr>
        <w:t xml:space="preserve">  </w:t>
      </w:r>
      <w:r>
        <w:rPr>
          <w:rFonts w:eastAsia="Arial"/>
          <w:i/>
          <w:color w:val="000000"/>
          <w:sz w:val="18"/>
        </w:rPr>
        <w:t>See</w:t>
      </w:r>
      <w:r>
        <w:rPr>
          <w:rFonts w:eastAsia="Arial"/>
          <w:color w:val="000000"/>
          <w:sz w:val="18"/>
        </w:rPr>
        <w:t xml:space="preserve"> JAMES W. HUNT ET AL., AMERICAN BAR ASS'N, LAWS, LICENSES, AND THE OFFENDER'S RIGHT TO WORK 5 (1974) (discussing three types of prohibitions on licensing ex-offenders: provisions that specifically deny licenses to convicted felons, provisions that require "good moral character," and provisions denying licenses to those convicted of offenses involving "moral turpitude").</w:t>
      </w:r>
    </w:p>
  </w:footnote>
  <w:footnote w:id="68">
    <w:p w14:paraId="528080F6" w14:textId="77777777" w:rsidR="005C4509" w:rsidRDefault="005C4509" w:rsidP="001C0CA6">
      <w:pPr>
        <w:spacing w:before="200" w:line="240" w:lineRule="atLeast"/>
        <w:jc w:val="both"/>
      </w:pPr>
      <w:r>
        <w:rPr>
          <w:rFonts w:eastAsia="Arial"/>
          <w:color w:val="000000"/>
          <w:sz w:val="18"/>
          <w:vertAlign w:val="superscript"/>
        </w:rPr>
        <w:t>48 </w:t>
      </w:r>
      <w:r>
        <w:rPr>
          <w:rFonts w:eastAsia="Arial"/>
          <w:color w:val="000000"/>
          <w:sz w:val="18"/>
        </w:rPr>
        <w:t xml:space="preserve">  </w:t>
      </w:r>
      <w:r>
        <w:rPr>
          <w:rFonts w:eastAsia="Arial"/>
          <w:i/>
          <w:color w:val="000000"/>
          <w:sz w:val="18"/>
        </w:rPr>
        <w:t>See id.</w:t>
      </w:r>
      <w:r>
        <w:rPr>
          <w:rFonts w:eastAsia="Arial"/>
          <w:color w:val="000000"/>
          <w:sz w:val="18"/>
        </w:rPr>
        <w:t xml:space="preserve"> at app. A (listing licensed occupations that exclude former offenders).</w:t>
      </w:r>
    </w:p>
  </w:footnote>
  <w:footnote w:id="69">
    <w:p w14:paraId="26E03183" w14:textId="77777777" w:rsidR="005C4509" w:rsidRDefault="005C4509" w:rsidP="001C0CA6">
      <w:pPr>
        <w:spacing w:before="200" w:line="240" w:lineRule="atLeast"/>
        <w:jc w:val="both"/>
      </w:pPr>
      <w:r>
        <w:rPr>
          <w:rFonts w:eastAsia="Arial"/>
          <w:color w:val="000000"/>
          <w:sz w:val="18"/>
          <w:vertAlign w:val="superscript"/>
        </w:rPr>
        <w:t>49 </w:t>
      </w:r>
      <w:r>
        <w:rPr>
          <w:rFonts w:eastAsia="Arial"/>
          <w:color w:val="000000"/>
          <w:sz w:val="18"/>
        </w:rPr>
        <w:t xml:space="preserve"> Note, </w:t>
      </w:r>
      <w:r>
        <w:rPr>
          <w:rFonts w:eastAsia="Arial"/>
          <w:i/>
          <w:color w:val="000000"/>
          <w:sz w:val="18"/>
        </w:rPr>
        <w:t>Civil Disabilities of Felons</w:t>
      </w:r>
      <w:r>
        <w:rPr>
          <w:rFonts w:eastAsia="Arial"/>
          <w:color w:val="000000"/>
          <w:sz w:val="18"/>
        </w:rPr>
        <w:t xml:space="preserve">, 53 VA. L. REV. 403, 406 (1967) [hereinafter Note, </w:t>
      </w:r>
      <w:r>
        <w:rPr>
          <w:rFonts w:eastAsia="Arial"/>
          <w:i/>
          <w:color w:val="000000"/>
          <w:sz w:val="18"/>
        </w:rPr>
        <w:t>Civil Disabilities of Felons</w:t>
      </w:r>
      <w:r>
        <w:rPr>
          <w:rFonts w:eastAsia="Arial"/>
          <w:color w:val="000000"/>
          <w:sz w:val="18"/>
        </w:rPr>
        <w:t>].</w:t>
      </w:r>
    </w:p>
  </w:footnote>
  <w:footnote w:id="70">
    <w:p w14:paraId="01D847C2" w14:textId="77777777" w:rsidR="005C4509" w:rsidRDefault="005C4509" w:rsidP="001C0CA6">
      <w:pPr>
        <w:spacing w:before="200" w:line="240" w:lineRule="atLeast"/>
        <w:jc w:val="both"/>
      </w:pPr>
      <w:r>
        <w:rPr>
          <w:rFonts w:eastAsia="Arial"/>
          <w:color w:val="000000"/>
          <w:sz w:val="18"/>
          <w:vertAlign w:val="superscript"/>
        </w:rPr>
        <w:t>50 </w:t>
      </w:r>
      <w:r>
        <w:rPr>
          <w:rFonts w:eastAsia="Arial"/>
          <w:color w:val="000000"/>
          <w:sz w:val="18"/>
        </w:rPr>
        <w:t xml:space="preserve"> Neil P. Cohen &amp; Dean Hill Rivkin, </w:t>
      </w:r>
      <w:r>
        <w:rPr>
          <w:rFonts w:eastAsia="Arial"/>
          <w:i/>
          <w:color w:val="000000"/>
          <w:sz w:val="18"/>
        </w:rPr>
        <w:t>Civil Disabilities: The Forgotten Punishment</w:t>
      </w:r>
      <w:r>
        <w:rPr>
          <w:rFonts w:eastAsia="Arial"/>
          <w:color w:val="000000"/>
          <w:sz w:val="18"/>
        </w:rPr>
        <w:t>, FED. PROBATION, June 1971, at 19, 21.</w:t>
      </w:r>
    </w:p>
  </w:footnote>
  <w:footnote w:id="71">
    <w:p w14:paraId="614596CC" w14:textId="77777777" w:rsidR="005C4509" w:rsidRDefault="005C4509" w:rsidP="001C0CA6">
      <w:pPr>
        <w:spacing w:before="240" w:line="240" w:lineRule="atLeast"/>
        <w:jc w:val="both"/>
      </w:pPr>
      <w:r>
        <w:rPr>
          <w:rFonts w:eastAsia="Arial"/>
          <w:color w:val="000000"/>
          <w:sz w:val="18"/>
          <w:vertAlign w:val="superscript"/>
        </w:rPr>
        <w:t>51 </w:t>
      </w:r>
      <w:r>
        <w:rPr>
          <w:rFonts w:eastAsia="Arial"/>
          <w:color w:val="000000"/>
          <w:sz w:val="18"/>
        </w:rPr>
        <w:t xml:space="preserve">  </w:t>
      </w:r>
      <w:r>
        <w:rPr>
          <w:rFonts w:eastAsia="Arial"/>
          <w:i/>
          <w:color w:val="000000"/>
          <w:sz w:val="18"/>
        </w:rPr>
        <w:t>See</w:t>
      </w:r>
      <w:r>
        <w:rPr>
          <w:rFonts w:eastAsia="Arial"/>
          <w:color w:val="000000"/>
          <w:sz w:val="18"/>
        </w:rPr>
        <w:t xml:space="preserve">  </w:t>
      </w:r>
      <w:hyperlink r:id="rId164" w:history="1">
        <w:r>
          <w:rPr>
            <w:rFonts w:eastAsia="Arial"/>
            <w:i/>
            <w:color w:val="0077CC"/>
            <w:sz w:val="18"/>
            <w:u w:val="single"/>
            <w:shd w:val="clear" w:color="auto" w:fill="FFFFFF"/>
          </w:rPr>
          <w:t xml:space="preserve">DeVeau v. Braisted, 363 </w:t>
        </w:r>
      </w:hyperlink>
      <w:hyperlink r:id="rId165" w:history="1">
        <w:r>
          <w:rPr>
            <w:rFonts w:eastAsia="Arial"/>
            <w:b/>
            <w:i/>
            <w:color w:val="0077CC"/>
            <w:sz w:val="18"/>
            <w:u w:val="single"/>
            <w:shd w:val="clear" w:color="auto" w:fill="FFFFFF"/>
          </w:rPr>
          <w:t>U.S.</w:t>
        </w:r>
      </w:hyperlink>
      <w:hyperlink r:id="rId166" w:history="1">
        <w:r>
          <w:rPr>
            <w:rFonts w:eastAsia="Arial"/>
            <w:i/>
            <w:color w:val="0077CC"/>
            <w:sz w:val="18"/>
            <w:u w:val="single"/>
            <w:shd w:val="clear" w:color="auto" w:fill="FFFFFF"/>
          </w:rPr>
          <w:t xml:space="preserve"> 144 (1960)</w:t>
        </w:r>
      </w:hyperlink>
      <w:r>
        <w:rPr>
          <w:rFonts w:eastAsia="Arial"/>
          <w:color w:val="000000"/>
          <w:sz w:val="18"/>
        </w:rPr>
        <w:t xml:space="preserve"> (finding exclusion of convicted felons from positions at waterfront union office did not violate Fourteenth Amendment's Due Process Clause); </w:t>
      </w:r>
      <w:hyperlink r:id="rId167" w:history="1">
        <w:r>
          <w:rPr>
            <w:rFonts w:eastAsia="Arial"/>
            <w:i/>
            <w:color w:val="0077CC"/>
            <w:sz w:val="18"/>
            <w:u w:val="single"/>
            <w:shd w:val="clear" w:color="auto" w:fill="FFFFFF"/>
          </w:rPr>
          <w:t xml:space="preserve">Hawker v. New York, 170 </w:t>
        </w:r>
      </w:hyperlink>
      <w:hyperlink r:id="rId168" w:history="1">
        <w:r>
          <w:rPr>
            <w:rFonts w:eastAsia="Arial"/>
            <w:b/>
            <w:i/>
            <w:color w:val="0077CC"/>
            <w:sz w:val="18"/>
            <w:u w:val="single"/>
            <w:shd w:val="clear" w:color="auto" w:fill="FFFFFF"/>
          </w:rPr>
          <w:t>U.S.</w:t>
        </w:r>
      </w:hyperlink>
      <w:hyperlink r:id="rId169" w:history="1">
        <w:r>
          <w:rPr>
            <w:rFonts w:eastAsia="Arial"/>
            <w:i/>
            <w:color w:val="0077CC"/>
            <w:sz w:val="18"/>
            <w:u w:val="single"/>
            <w:shd w:val="clear" w:color="auto" w:fill="FFFFFF"/>
          </w:rPr>
          <w:t xml:space="preserve"> 189, 197 (1898)</w:t>
        </w:r>
      </w:hyperlink>
      <w:r>
        <w:rPr>
          <w:rFonts w:eastAsia="Arial"/>
          <w:color w:val="000000"/>
          <w:sz w:val="18"/>
        </w:rPr>
        <w:t xml:space="preserve"> (noting that a felony conviction "is evidence of the unfitness" of ex-offenders to gain professional license). </w:t>
      </w:r>
      <w:r>
        <w:rPr>
          <w:rFonts w:eastAsia="Arial"/>
          <w:i/>
          <w:color w:val="000000"/>
          <w:sz w:val="18"/>
        </w:rPr>
        <w:t>But see</w:t>
      </w:r>
      <w:r>
        <w:rPr>
          <w:rFonts w:eastAsia="Arial"/>
          <w:color w:val="000000"/>
          <w:sz w:val="18"/>
        </w:rPr>
        <w:t xml:space="preserve">  </w:t>
      </w:r>
      <w:hyperlink r:id="rId170" w:history="1">
        <w:r>
          <w:rPr>
            <w:rFonts w:eastAsia="Arial"/>
            <w:i/>
            <w:color w:val="0077CC"/>
            <w:sz w:val="18"/>
            <w:u w:val="single"/>
            <w:shd w:val="clear" w:color="auto" w:fill="FFFFFF"/>
          </w:rPr>
          <w:t xml:space="preserve">Schware v. Board of Bar Examiners, 353 </w:t>
        </w:r>
      </w:hyperlink>
      <w:hyperlink r:id="rId171" w:history="1">
        <w:r>
          <w:rPr>
            <w:rFonts w:eastAsia="Arial"/>
            <w:b/>
            <w:i/>
            <w:color w:val="0077CC"/>
            <w:sz w:val="18"/>
            <w:u w:val="single"/>
            <w:shd w:val="clear" w:color="auto" w:fill="FFFFFF"/>
          </w:rPr>
          <w:t>U.S.</w:t>
        </w:r>
      </w:hyperlink>
      <w:hyperlink r:id="rId172" w:history="1">
        <w:r>
          <w:rPr>
            <w:rFonts w:eastAsia="Arial"/>
            <w:i/>
            <w:color w:val="0077CC"/>
            <w:sz w:val="18"/>
            <w:u w:val="single"/>
            <w:shd w:val="clear" w:color="auto" w:fill="FFFFFF"/>
          </w:rPr>
          <w:t xml:space="preserve"> 232 (1957)</w:t>
        </w:r>
      </w:hyperlink>
      <w:r>
        <w:rPr>
          <w:rFonts w:eastAsia="Arial"/>
          <w:color w:val="000000"/>
          <w:sz w:val="18"/>
        </w:rPr>
        <w:t xml:space="preserve"> (holding exclusion from state bar violates Fourteenth Amendment Due Process Clause if it is based merely on arrest record, past membership in the Communist Party, and past use of aliases).</w:t>
      </w:r>
    </w:p>
  </w:footnote>
  <w:footnote w:id="72">
    <w:p w14:paraId="45B6E83A" w14:textId="77777777" w:rsidR="005C4509" w:rsidRDefault="005C4509" w:rsidP="001C0CA6">
      <w:pPr>
        <w:spacing w:before="200" w:line="240" w:lineRule="atLeast"/>
        <w:jc w:val="both"/>
      </w:pPr>
      <w:r>
        <w:rPr>
          <w:rFonts w:eastAsia="Arial"/>
          <w:color w:val="000000"/>
          <w:sz w:val="18"/>
          <w:vertAlign w:val="superscript"/>
        </w:rPr>
        <w:t>52 </w:t>
      </w:r>
      <w:r>
        <w:rPr>
          <w:rFonts w:eastAsia="Arial"/>
          <w:color w:val="000000"/>
          <w:sz w:val="18"/>
        </w:rPr>
        <w:t xml:space="preserve"> Cohen &amp; Rivkin, </w:t>
      </w:r>
      <w:r>
        <w:rPr>
          <w:rFonts w:eastAsia="Arial"/>
          <w:i/>
          <w:color w:val="000000"/>
          <w:sz w:val="18"/>
        </w:rPr>
        <w:t>supra</w:t>
      </w:r>
      <w:r>
        <w:rPr>
          <w:rFonts w:eastAsia="Arial"/>
          <w:color w:val="000000"/>
          <w:sz w:val="18"/>
        </w:rPr>
        <w:t xml:space="preserve"> note 50, at 20.</w:t>
      </w:r>
    </w:p>
  </w:footnote>
  <w:footnote w:id="73">
    <w:p w14:paraId="14F7DAEE" w14:textId="77777777" w:rsidR="005C4509" w:rsidRDefault="005C4509" w:rsidP="001C0CA6">
      <w:pPr>
        <w:spacing w:before="120" w:line="240" w:lineRule="atLeast"/>
        <w:jc w:val="both"/>
      </w:pPr>
      <w:r>
        <w:rPr>
          <w:rFonts w:eastAsia="Arial"/>
          <w:color w:val="000000"/>
          <w:sz w:val="18"/>
          <w:vertAlign w:val="superscript"/>
        </w:rPr>
        <w:t>53 </w:t>
      </w:r>
      <w:r>
        <w:rPr>
          <w:rFonts w:eastAsia="Arial"/>
          <w:color w:val="000000"/>
          <w:sz w:val="18"/>
        </w:rPr>
        <w:t xml:space="preserve"> Among positions that may require the handling of firearms are private security services, private investigators, and bodyguards. For other employment, such as certain night work, the ability to handle a gun may not be a job prerequisite but may be considered an advantage.</w:t>
      </w:r>
    </w:p>
  </w:footnote>
  <w:footnote w:id="74">
    <w:p w14:paraId="0396987C" w14:textId="77777777" w:rsidR="005C4509" w:rsidRDefault="005C4509" w:rsidP="001C0CA6">
      <w:pPr>
        <w:spacing w:before="240" w:line="240" w:lineRule="atLeast"/>
        <w:jc w:val="both"/>
      </w:pPr>
      <w:r>
        <w:rPr>
          <w:rFonts w:eastAsia="Arial"/>
          <w:color w:val="000000"/>
          <w:sz w:val="18"/>
          <w:vertAlign w:val="superscript"/>
        </w:rPr>
        <w:t>54 </w:t>
      </w:r>
      <w:r>
        <w:rPr>
          <w:rFonts w:eastAsia="Arial"/>
          <w:color w:val="000000"/>
          <w:sz w:val="18"/>
        </w:rPr>
        <w:t xml:space="preserve">  </w:t>
      </w:r>
      <w:hyperlink r:id="rId173" w:history="1">
        <w:r>
          <w:rPr>
            <w:rFonts w:eastAsia="Arial"/>
            <w:i/>
            <w:color w:val="0077CC"/>
            <w:sz w:val="18"/>
            <w:u w:val="single"/>
            <w:shd w:val="clear" w:color="auto" w:fill="FFFFFF"/>
          </w:rPr>
          <w:t xml:space="preserve">Parker v. Ellis, 362 </w:t>
        </w:r>
      </w:hyperlink>
      <w:hyperlink r:id="rId174" w:history="1">
        <w:r>
          <w:rPr>
            <w:rFonts w:eastAsia="Arial"/>
            <w:b/>
            <w:i/>
            <w:color w:val="0077CC"/>
            <w:sz w:val="18"/>
            <w:u w:val="single"/>
            <w:shd w:val="clear" w:color="auto" w:fill="FFFFFF"/>
          </w:rPr>
          <w:t>U.S.</w:t>
        </w:r>
      </w:hyperlink>
      <w:hyperlink r:id="rId175" w:history="1">
        <w:r>
          <w:rPr>
            <w:rFonts w:eastAsia="Arial"/>
            <w:i/>
            <w:color w:val="0077CC"/>
            <w:sz w:val="18"/>
            <w:u w:val="single"/>
            <w:shd w:val="clear" w:color="auto" w:fill="FFFFFF"/>
          </w:rPr>
          <w:t xml:space="preserve"> 574, 593-94 (1960)</w:t>
        </w:r>
      </w:hyperlink>
      <w:r>
        <w:rPr>
          <w:rFonts w:eastAsia="Arial"/>
          <w:color w:val="000000"/>
          <w:sz w:val="18"/>
        </w:rPr>
        <w:t xml:space="preserve"> (Warren, C.J., dissenting).</w:t>
      </w:r>
    </w:p>
  </w:footnote>
  <w:footnote w:id="75">
    <w:p w14:paraId="43646D1E" w14:textId="77777777" w:rsidR="005C4509" w:rsidRDefault="005C4509" w:rsidP="001C0CA6">
      <w:pPr>
        <w:spacing w:before="200" w:line="240" w:lineRule="atLeast"/>
        <w:jc w:val="both"/>
      </w:pPr>
      <w:r>
        <w:rPr>
          <w:rFonts w:eastAsia="Arial"/>
          <w:color w:val="000000"/>
          <w:sz w:val="18"/>
          <w:vertAlign w:val="superscript"/>
        </w:rPr>
        <w:t>55 </w:t>
      </w:r>
      <w:r>
        <w:rPr>
          <w:rFonts w:eastAsia="Arial"/>
          <w:color w:val="000000"/>
          <w:sz w:val="18"/>
        </w:rPr>
        <w:t xml:space="preserve">  </w:t>
      </w:r>
      <w:r>
        <w:rPr>
          <w:rFonts w:eastAsia="Arial"/>
          <w:i/>
          <w:color w:val="000000"/>
          <w:sz w:val="18"/>
        </w:rPr>
        <w:t>See</w:t>
      </w:r>
      <w:r>
        <w:rPr>
          <w:rFonts w:eastAsia="Arial"/>
          <w:color w:val="000000"/>
          <w:sz w:val="18"/>
        </w:rPr>
        <w:t xml:space="preserve"> HEBENTON &amp; THOMAS, </w:t>
      </w:r>
      <w:r>
        <w:rPr>
          <w:rFonts w:eastAsia="Arial"/>
          <w:i/>
          <w:color w:val="000000"/>
          <w:sz w:val="18"/>
        </w:rPr>
        <w:t>supra</w:t>
      </w:r>
      <w:r>
        <w:rPr>
          <w:rFonts w:eastAsia="Arial"/>
          <w:color w:val="000000"/>
          <w:sz w:val="18"/>
        </w:rPr>
        <w:t xml:space="preserve"> note 46, at 109.</w:t>
      </w:r>
    </w:p>
  </w:footnote>
  <w:footnote w:id="76">
    <w:p w14:paraId="7EBAE7D8" w14:textId="77777777" w:rsidR="005C4509" w:rsidRDefault="005C4509" w:rsidP="001C0CA6">
      <w:pPr>
        <w:spacing w:before="240" w:line="240" w:lineRule="atLeast"/>
        <w:jc w:val="both"/>
      </w:pPr>
      <w:r>
        <w:rPr>
          <w:rFonts w:eastAsia="Arial"/>
          <w:color w:val="000000"/>
          <w:sz w:val="18"/>
          <w:vertAlign w:val="superscript"/>
        </w:rPr>
        <w:t>56 </w:t>
      </w:r>
      <w:r>
        <w:rPr>
          <w:rFonts w:eastAsia="Arial"/>
          <w:color w:val="000000"/>
          <w:sz w:val="18"/>
        </w:rPr>
        <w:t xml:space="preserve">  </w:t>
      </w:r>
      <w:hyperlink r:id="rId176" w:history="1">
        <w:r>
          <w:rPr>
            <w:rFonts w:eastAsia="Arial"/>
            <w:i/>
            <w:color w:val="0077CC"/>
            <w:sz w:val="18"/>
            <w:u w:val="single"/>
            <w:shd w:val="clear" w:color="auto" w:fill="FFFFFF"/>
          </w:rPr>
          <w:t xml:space="preserve">42 </w:t>
        </w:r>
      </w:hyperlink>
      <w:hyperlink r:id="rId177" w:history="1">
        <w:r>
          <w:rPr>
            <w:rFonts w:eastAsia="Arial"/>
            <w:b/>
            <w:i/>
            <w:color w:val="0077CC"/>
            <w:sz w:val="18"/>
            <w:u w:val="single"/>
            <w:shd w:val="clear" w:color="auto" w:fill="FFFFFF"/>
          </w:rPr>
          <w:t>U.S.</w:t>
        </w:r>
      </w:hyperlink>
      <w:hyperlink r:id="rId178" w:history="1">
        <w:r>
          <w:rPr>
            <w:rFonts w:eastAsia="Arial"/>
            <w:i/>
            <w:color w:val="0077CC"/>
            <w:sz w:val="18"/>
            <w:u w:val="single"/>
            <w:shd w:val="clear" w:color="auto" w:fill="FFFFFF"/>
          </w:rPr>
          <w:t>C. § 1320a-7a</w:t>
        </w:r>
      </w:hyperlink>
      <w:r>
        <w:rPr>
          <w:rFonts w:eastAsia="Arial"/>
          <w:color w:val="000000"/>
          <w:sz w:val="18"/>
        </w:rPr>
        <w:t xml:space="preserve"> (1999). </w:t>
      </w:r>
      <w:r>
        <w:rPr>
          <w:rFonts w:eastAsia="Arial"/>
          <w:i/>
          <w:color w:val="000000"/>
          <w:sz w:val="18"/>
        </w:rPr>
        <w:t>See</w:t>
      </w:r>
      <w:r>
        <w:rPr>
          <w:rFonts w:eastAsia="Arial"/>
          <w:color w:val="000000"/>
          <w:sz w:val="18"/>
        </w:rPr>
        <w:t xml:space="preserve"> James M. Becker et al., </w:t>
      </w:r>
      <w:r>
        <w:rPr>
          <w:rFonts w:eastAsia="Arial"/>
          <w:i/>
          <w:color w:val="000000"/>
          <w:sz w:val="18"/>
        </w:rPr>
        <w:t>Avoiding Multiple Sanctions and Collateral Consequences When Settling Fraud and Abuse Cases</w:t>
      </w:r>
      <w:r>
        <w:rPr>
          <w:rFonts w:eastAsia="Arial"/>
          <w:color w:val="000000"/>
          <w:sz w:val="18"/>
        </w:rPr>
        <w:t xml:space="preserve">, 1993 HEALTH L. HANDBOOK 187, 194 (Alice G. Gosfield ed., 1993). For other examples of exclusions from governmental programs because of criminal convictions, </w:t>
      </w:r>
      <w:r>
        <w:rPr>
          <w:rFonts w:eastAsia="Arial"/>
          <w:i/>
          <w:color w:val="000000"/>
          <w:sz w:val="18"/>
        </w:rPr>
        <w:t>see, e.g.</w:t>
      </w:r>
      <w:r>
        <w:rPr>
          <w:rFonts w:eastAsia="Arial"/>
          <w:color w:val="000000"/>
          <w:sz w:val="18"/>
        </w:rPr>
        <w:t xml:space="preserve">, </w:t>
      </w:r>
      <w:hyperlink r:id="rId179" w:history="1">
        <w:r>
          <w:rPr>
            <w:rFonts w:eastAsia="Arial"/>
            <w:i/>
            <w:color w:val="0077CC"/>
            <w:sz w:val="18"/>
            <w:u w:val="single"/>
            <w:shd w:val="clear" w:color="auto" w:fill="FFFFFF"/>
          </w:rPr>
          <w:t xml:space="preserve">10 </w:t>
        </w:r>
      </w:hyperlink>
      <w:hyperlink r:id="rId180" w:history="1">
        <w:r>
          <w:rPr>
            <w:rFonts w:eastAsia="Arial"/>
            <w:b/>
            <w:i/>
            <w:color w:val="0077CC"/>
            <w:sz w:val="18"/>
            <w:u w:val="single"/>
            <w:shd w:val="clear" w:color="auto" w:fill="FFFFFF"/>
          </w:rPr>
          <w:t>U.S.</w:t>
        </w:r>
      </w:hyperlink>
      <w:hyperlink r:id="rId181" w:history="1">
        <w:r>
          <w:rPr>
            <w:rFonts w:eastAsia="Arial"/>
            <w:i/>
            <w:color w:val="0077CC"/>
            <w:sz w:val="18"/>
            <w:u w:val="single"/>
            <w:shd w:val="clear" w:color="auto" w:fill="FFFFFF"/>
          </w:rPr>
          <w:t>C. § 2408</w:t>
        </w:r>
      </w:hyperlink>
      <w:r>
        <w:rPr>
          <w:rFonts w:eastAsia="Arial"/>
          <w:color w:val="000000"/>
          <w:sz w:val="18"/>
        </w:rPr>
        <w:t xml:space="preserve"> (1999) (prohibition on armed forces to enter into contracts with persons convicted of defense-contract-related felonies); </w:t>
      </w:r>
      <w:hyperlink r:id="rId182" w:history="1">
        <w:r>
          <w:rPr>
            <w:rFonts w:eastAsia="Arial"/>
            <w:i/>
            <w:color w:val="0077CC"/>
            <w:sz w:val="18"/>
            <w:u w:val="single"/>
            <w:shd w:val="clear" w:color="auto" w:fill="FFFFFF"/>
          </w:rPr>
          <w:t xml:space="preserve">25 </w:t>
        </w:r>
      </w:hyperlink>
      <w:hyperlink r:id="rId183" w:history="1">
        <w:r>
          <w:rPr>
            <w:rFonts w:eastAsia="Arial"/>
            <w:b/>
            <w:i/>
            <w:color w:val="0077CC"/>
            <w:sz w:val="18"/>
            <w:u w:val="single"/>
            <w:shd w:val="clear" w:color="auto" w:fill="FFFFFF"/>
          </w:rPr>
          <w:t>U.S.</w:t>
        </w:r>
      </w:hyperlink>
      <w:hyperlink r:id="rId184" w:history="1">
        <w:r>
          <w:rPr>
            <w:rFonts w:eastAsia="Arial"/>
            <w:i/>
            <w:color w:val="0077CC"/>
            <w:sz w:val="18"/>
            <w:u w:val="single"/>
            <w:shd w:val="clear" w:color="auto" w:fill="FFFFFF"/>
          </w:rPr>
          <w:t>C. § 2711</w:t>
        </w:r>
      </w:hyperlink>
      <w:r>
        <w:rPr>
          <w:rFonts w:eastAsia="Arial"/>
          <w:color w:val="000000"/>
          <w:sz w:val="18"/>
        </w:rPr>
        <w:t xml:space="preserve">(e)(1)(B) (1999) (felony conviction as bar to management contracts involving Indian gaming); </w:t>
      </w:r>
      <w:hyperlink r:id="rId185" w:history="1">
        <w:r>
          <w:rPr>
            <w:rFonts w:eastAsia="Arial"/>
            <w:i/>
            <w:color w:val="0077CC"/>
            <w:sz w:val="18"/>
            <w:u w:val="single"/>
            <w:shd w:val="clear" w:color="auto" w:fill="FFFFFF"/>
          </w:rPr>
          <w:t xml:space="preserve">42 </w:t>
        </w:r>
      </w:hyperlink>
      <w:hyperlink r:id="rId186" w:history="1">
        <w:r>
          <w:rPr>
            <w:rFonts w:eastAsia="Arial"/>
            <w:b/>
            <w:i/>
            <w:color w:val="0077CC"/>
            <w:sz w:val="18"/>
            <w:u w:val="single"/>
            <w:shd w:val="clear" w:color="auto" w:fill="FFFFFF"/>
          </w:rPr>
          <w:t>U.S.</w:t>
        </w:r>
      </w:hyperlink>
      <w:hyperlink r:id="rId187" w:history="1">
        <w:r>
          <w:rPr>
            <w:rFonts w:eastAsia="Arial"/>
            <w:i/>
            <w:color w:val="0077CC"/>
            <w:sz w:val="18"/>
            <w:u w:val="single"/>
            <w:shd w:val="clear" w:color="auto" w:fill="FFFFFF"/>
          </w:rPr>
          <w:t>C. § 7606</w:t>
        </w:r>
      </w:hyperlink>
      <w:r>
        <w:rPr>
          <w:rFonts w:eastAsia="Arial"/>
          <w:color w:val="000000"/>
          <w:sz w:val="18"/>
        </w:rPr>
        <w:t xml:space="preserve"> (1999) (certain convictions constitute bar for federal procurement contracts).</w:t>
      </w:r>
    </w:p>
  </w:footnote>
  <w:footnote w:id="77">
    <w:p w14:paraId="635D4267" w14:textId="77777777" w:rsidR="005C4509" w:rsidRDefault="005C4509" w:rsidP="001C0CA6">
      <w:pPr>
        <w:spacing w:before="240" w:line="240" w:lineRule="atLeast"/>
        <w:jc w:val="both"/>
      </w:pPr>
      <w:r>
        <w:rPr>
          <w:rFonts w:eastAsia="Arial"/>
          <w:color w:val="000000"/>
          <w:sz w:val="18"/>
          <w:vertAlign w:val="superscript"/>
        </w:rPr>
        <w:t>57 </w:t>
      </w:r>
      <w:r>
        <w:rPr>
          <w:rFonts w:eastAsia="Arial"/>
          <w:color w:val="000000"/>
          <w:sz w:val="18"/>
        </w:rPr>
        <w:t xml:space="preserve">  </w:t>
      </w:r>
      <w:hyperlink r:id="rId188" w:history="1">
        <w:r>
          <w:rPr>
            <w:rFonts w:eastAsia="Arial"/>
            <w:i/>
            <w:color w:val="0077CC"/>
            <w:sz w:val="18"/>
            <w:u w:val="single"/>
            <w:shd w:val="clear" w:color="auto" w:fill="FFFFFF"/>
          </w:rPr>
          <w:t xml:space="preserve">42 </w:t>
        </w:r>
      </w:hyperlink>
      <w:hyperlink r:id="rId189" w:history="1">
        <w:r>
          <w:rPr>
            <w:rFonts w:eastAsia="Arial"/>
            <w:b/>
            <w:i/>
            <w:color w:val="0077CC"/>
            <w:sz w:val="18"/>
            <w:u w:val="single"/>
            <w:shd w:val="clear" w:color="auto" w:fill="FFFFFF"/>
          </w:rPr>
          <w:t>U.S.</w:t>
        </w:r>
      </w:hyperlink>
      <w:hyperlink r:id="rId190" w:history="1">
        <w:r>
          <w:rPr>
            <w:rFonts w:eastAsia="Arial"/>
            <w:i/>
            <w:color w:val="0077CC"/>
            <w:sz w:val="18"/>
            <w:u w:val="single"/>
            <w:shd w:val="clear" w:color="auto" w:fill="FFFFFF"/>
          </w:rPr>
          <w:t>C. § 1320a-7e</w:t>
        </w:r>
      </w:hyperlink>
      <w:r>
        <w:rPr>
          <w:rFonts w:eastAsia="Arial"/>
          <w:color w:val="000000"/>
          <w:sz w:val="18"/>
        </w:rPr>
        <w:t xml:space="preserve"> (1999).</w:t>
      </w:r>
    </w:p>
  </w:footnote>
  <w:footnote w:id="78">
    <w:p w14:paraId="0BC949DB" w14:textId="77777777" w:rsidR="005C4509" w:rsidRDefault="005C4509" w:rsidP="001C0CA6">
      <w:pPr>
        <w:spacing w:before="240" w:line="240" w:lineRule="atLeast"/>
        <w:jc w:val="both"/>
      </w:pPr>
      <w:r>
        <w:rPr>
          <w:rFonts w:eastAsia="Arial"/>
          <w:color w:val="000000"/>
          <w:sz w:val="18"/>
          <w:vertAlign w:val="superscript"/>
        </w:rPr>
        <w:t>152 </w:t>
      </w:r>
      <w:r>
        <w:rPr>
          <w:rFonts w:eastAsia="Arial"/>
          <w:color w:val="000000"/>
          <w:sz w:val="18"/>
        </w:rPr>
        <w:t xml:space="preserve"> FEDERAL STATUTES, </w:t>
      </w:r>
      <w:r>
        <w:rPr>
          <w:rFonts w:eastAsia="Arial"/>
          <w:i/>
          <w:color w:val="000000"/>
          <w:sz w:val="18"/>
        </w:rPr>
        <w:t>supra</w:t>
      </w:r>
      <w:r>
        <w:rPr>
          <w:rFonts w:eastAsia="Arial"/>
          <w:color w:val="000000"/>
          <w:sz w:val="18"/>
        </w:rPr>
        <w:t xml:space="preserve"> note 46, at 10; </w:t>
      </w:r>
      <w:r>
        <w:rPr>
          <w:rFonts w:eastAsia="Arial"/>
          <w:i/>
          <w:color w:val="000000"/>
          <w:sz w:val="18"/>
        </w:rPr>
        <w:t>see</w:t>
      </w:r>
      <w:r>
        <w:rPr>
          <w:rFonts w:eastAsia="Arial"/>
          <w:color w:val="000000"/>
          <w:sz w:val="18"/>
        </w:rPr>
        <w:t xml:space="preserve">  </w:t>
      </w:r>
      <w:hyperlink r:id="rId191" w:history="1">
        <w:r>
          <w:rPr>
            <w:rFonts w:eastAsia="Arial"/>
            <w:i/>
            <w:color w:val="0077CC"/>
            <w:sz w:val="18"/>
            <w:u w:val="single"/>
            <w:shd w:val="clear" w:color="auto" w:fill="FFFFFF"/>
          </w:rPr>
          <w:t xml:space="preserve">20 </w:t>
        </w:r>
      </w:hyperlink>
      <w:hyperlink r:id="rId192" w:history="1">
        <w:r>
          <w:rPr>
            <w:rFonts w:eastAsia="Arial"/>
            <w:b/>
            <w:i/>
            <w:color w:val="0077CC"/>
            <w:sz w:val="18"/>
            <w:u w:val="single"/>
            <w:shd w:val="clear" w:color="auto" w:fill="FFFFFF"/>
          </w:rPr>
          <w:t>U.S.</w:t>
        </w:r>
      </w:hyperlink>
      <w:hyperlink r:id="rId193" w:history="1">
        <w:r>
          <w:rPr>
            <w:rFonts w:eastAsia="Arial"/>
            <w:i/>
            <w:color w:val="0077CC"/>
            <w:sz w:val="18"/>
            <w:u w:val="single"/>
            <w:shd w:val="clear" w:color="auto" w:fill="FFFFFF"/>
          </w:rPr>
          <w:t>C. § 1091</w:t>
        </w:r>
      </w:hyperlink>
      <w:r>
        <w:rPr>
          <w:rFonts w:eastAsia="Arial"/>
          <w:color w:val="000000"/>
          <w:sz w:val="18"/>
        </w:rPr>
        <w:t>(r)(1) (2004).</w:t>
      </w:r>
    </w:p>
  </w:footnote>
  <w:footnote w:id="79">
    <w:p w14:paraId="44230145" w14:textId="77777777" w:rsidR="005C4509" w:rsidRDefault="005C4509" w:rsidP="001C0CA6">
      <w:pPr>
        <w:spacing w:before="120" w:line="240" w:lineRule="atLeast"/>
        <w:jc w:val="both"/>
      </w:pPr>
      <w:r>
        <w:rPr>
          <w:rFonts w:eastAsia="Arial"/>
          <w:color w:val="000000"/>
          <w:sz w:val="18"/>
          <w:vertAlign w:val="superscript"/>
        </w:rPr>
        <w:t>153 </w:t>
      </w:r>
      <w:r>
        <w:rPr>
          <w:rFonts w:eastAsia="Arial"/>
          <w:color w:val="000000"/>
          <w:sz w:val="18"/>
        </w:rPr>
        <w:t xml:space="preserve"> § 1091(r)(1).</w:t>
      </w:r>
    </w:p>
  </w:footnote>
  <w:footnote w:id="80">
    <w:p w14:paraId="0DF47C13" w14:textId="77777777" w:rsidR="005C4509" w:rsidRDefault="005C4509" w:rsidP="001C0CA6">
      <w:pPr>
        <w:spacing w:before="200" w:line="240" w:lineRule="atLeast"/>
        <w:jc w:val="both"/>
      </w:pPr>
      <w:r>
        <w:rPr>
          <w:rFonts w:eastAsia="Arial"/>
          <w:color w:val="000000"/>
          <w:sz w:val="18"/>
          <w:vertAlign w:val="superscript"/>
        </w:rPr>
        <w:t>154 </w:t>
      </w:r>
      <w:r>
        <w:rPr>
          <w:rFonts w:eastAsia="Arial"/>
          <w:color w:val="000000"/>
          <w:sz w:val="18"/>
        </w:rPr>
        <w:t xml:space="preserve">  </w:t>
      </w:r>
      <w:r>
        <w:rPr>
          <w:rFonts w:eastAsia="Arial"/>
          <w:i/>
          <w:color w:val="000000"/>
          <w:sz w:val="18"/>
        </w:rPr>
        <w:t>Id.</w:t>
      </w:r>
    </w:p>
  </w:footnote>
  <w:footnote w:id="81">
    <w:p w14:paraId="7748ADBB" w14:textId="77777777" w:rsidR="005C4509" w:rsidRDefault="005C4509" w:rsidP="001C0CA6">
      <w:pPr>
        <w:spacing w:before="200" w:line="240" w:lineRule="atLeast"/>
        <w:jc w:val="both"/>
      </w:pPr>
      <w:r>
        <w:rPr>
          <w:rFonts w:eastAsia="Arial"/>
          <w:color w:val="000000"/>
          <w:sz w:val="18"/>
          <w:vertAlign w:val="superscript"/>
        </w:rPr>
        <w:t>155 </w:t>
      </w:r>
      <w:r>
        <w:rPr>
          <w:rFonts w:eastAsia="Arial"/>
          <w:color w:val="000000"/>
          <w:sz w:val="18"/>
        </w:rPr>
        <w:t xml:space="preserve"> Barnett, </w:t>
      </w:r>
      <w:r>
        <w:rPr>
          <w:rFonts w:eastAsia="Arial"/>
          <w:i/>
          <w:color w:val="000000"/>
          <w:sz w:val="18"/>
        </w:rPr>
        <w:t>supra</w:t>
      </w:r>
      <w:r>
        <w:rPr>
          <w:rFonts w:eastAsia="Arial"/>
          <w:color w:val="000000"/>
          <w:sz w:val="18"/>
        </w:rPr>
        <w:t xml:space="preserve"> note 55.</w:t>
      </w:r>
    </w:p>
  </w:footnote>
  <w:footnote w:id="82">
    <w:p w14:paraId="3A3DCE0E" w14:textId="77777777" w:rsidR="005C4509" w:rsidRDefault="005C4509" w:rsidP="001C0CA6">
      <w:pPr>
        <w:spacing w:before="200" w:line="240" w:lineRule="atLeast"/>
        <w:jc w:val="both"/>
      </w:pPr>
      <w:r>
        <w:rPr>
          <w:rFonts w:eastAsia="Arial"/>
          <w:color w:val="000000"/>
          <w:sz w:val="18"/>
          <w:vertAlign w:val="superscript"/>
        </w:rPr>
        <w:t>156 </w:t>
      </w:r>
      <w:r>
        <w:rPr>
          <w:rFonts w:eastAsia="Arial"/>
          <w:color w:val="000000"/>
          <w:sz w:val="18"/>
        </w:rPr>
        <w:t xml:space="preserve"> The Associated Press, </w:t>
      </w:r>
      <w:r>
        <w:rPr>
          <w:rFonts w:eastAsia="Arial"/>
          <w:i/>
          <w:color w:val="000000"/>
          <w:sz w:val="18"/>
        </w:rPr>
        <w:t>43,000 Students with Drug Convictions Face Denial of Aid</w:t>
      </w:r>
      <w:r>
        <w:rPr>
          <w:rFonts w:eastAsia="Arial"/>
          <w:color w:val="000000"/>
          <w:sz w:val="18"/>
        </w:rPr>
        <w:t>, N.Y. TIMES, Dec. 29, 2001, at A11.</w:t>
      </w:r>
    </w:p>
  </w:footnote>
  <w:footnote w:id="83">
    <w:p w14:paraId="7016B0F2" w14:textId="77777777" w:rsidR="005C4509" w:rsidRDefault="005C4509" w:rsidP="001C0CA6">
      <w:pPr>
        <w:spacing w:before="200" w:line="240" w:lineRule="atLeast"/>
        <w:jc w:val="both"/>
      </w:pPr>
      <w:r>
        <w:rPr>
          <w:rFonts w:eastAsia="Arial"/>
          <w:color w:val="000000"/>
          <w:sz w:val="18"/>
          <w:vertAlign w:val="superscript"/>
        </w:rPr>
        <w:t>157 </w:t>
      </w:r>
      <w:r>
        <w:rPr>
          <w:rFonts w:eastAsia="Arial"/>
          <w:color w:val="000000"/>
          <w:sz w:val="18"/>
        </w:rPr>
        <w:t xml:space="preserve">  </w:t>
      </w:r>
      <w:r>
        <w:rPr>
          <w:rFonts w:eastAsia="Arial"/>
          <w:i/>
          <w:color w:val="000000"/>
          <w:sz w:val="18"/>
        </w:rPr>
        <w:t>Id.</w:t>
      </w:r>
    </w:p>
  </w:footnote>
  <w:footnote w:id="84">
    <w:p w14:paraId="318F2728" w14:textId="77777777" w:rsidR="005C4509" w:rsidRDefault="005C4509" w:rsidP="001C0CA6">
      <w:pPr>
        <w:spacing w:before="200" w:line="240" w:lineRule="atLeast"/>
        <w:jc w:val="both"/>
      </w:pPr>
      <w:r>
        <w:rPr>
          <w:rFonts w:eastAsia="Arial"/>
          <w:color w:val="000000"/>
          <w:sz w:val="18"/>
          <w:vertAlign w:val="superscript"/>
        </w:rPr>
        <w:t>158 </w:t>
      </w:r>
      <w:r>
        <w:rPr>
          <w:rFonts w:eastAsia="Arial"/>
          <w:color w:val="000000"/>
          <w:sz w:val="18"/>
        </w:rPr>
        <w:t xml:space="preserve">  </w:t>
      </w:r>
      <w:r>
        <w:rPr>
          <w:rFonts w:eastAsia="Arial"/>
          <w:i/>
          <w:color w:val="000000"/>
          <w:sz w:val="18"/>
        </w:rPr>
        <w:t>Id.</w:t>
      </w:r>
    </w:p>
  </w:footnote>
  <w:footnote w:id="85">
    <w:p w14:paraId="5BDDEB18" w14:textId="77777777" w:rsidR="005C4509" w:rsidRDefault="005C4509" w:rsidP="001C0CA6">
      <w:pPr>
        <w:spacing w:before="120" w:line="240" w:lineRule="atLeast"/>
        <w:jc w:val="both"/>
      </w:pPr>
      <w:r>
        <w:rPr>
          <w:rFonts w:eastAsia="Arial"/>
          <w:color w:val="000000"/>
          <w:sz w:val="18"/>
          <w:vertAlign w:val="superscript"/>
        </w:rPr>
        <w:t>159 </w:t>
      </w:r>
      <w:r>
        <w:rPr>
          <w:rFonts w:eastAsia="Arial"/>
          <w:color w:val="000000"/>
          <w:sz w:val="18"/>
        </w:rPr>
        <w:t xml:space="preserve"> H.R. 5075, 108th Cong. § 204(a) (2004); H.R. 4676, 108th Cong. § 15 (2004); H.R. 696, 108th Cong. (2003); S. 2923, 108th Cong. § 16 (2004); S. 2789, 108th Cong. § 15 (2004); S. 1860, 108th Cong. § 1002(2003).</w:t>
      </w:r>
    </w:p>
  </w:footnote>
  <w:footnote w:id="86">
    <w:p w14:paraId="6B90CF15" w14:textId="77777777" w:rsidR="005C4509" w:rsidRDefault="005C4509" w:rsidP="001C0CA6">
      <w:pPr>
        <w:spacing w:before="120" w:line="240" w:lineRule="atLeast"/>
        <w:jc w:val="both"/>
      </w:pPr>
      <w:r>
        <w:rPr>
          <w:rFonts w:eastAsia="Arial"/>
          <w:color w:val="000000"/>
          <w:sz w:val="18"/>
          <w:vertAlign w:val="superscript"/>
        </w:rPr>
        <w:t>160 </w:t>
      </w:r>
      <w:r>
        <w:rPr>
          <w:rFonts w:eastAsia="Arial"/>
          <w:color w:val="000000"/>
          <w:sz w:val="18"/>
        </w:rPr>
        <w:t xml:space="preserve"> H.R. 685, 108th Cong. (2003); H.R. 3180, 108th Cong. (2003); S. 1793, 108th Cong. (2003).</w:t>
      </w:r>
    </w:p>
  </w:footnote>
  <w:footnote w:id="87">
    <w:p w14:paraId="2D6550E4" w14:textId="77777777" w:rsidR="005C4509" w:rsidRDefault="005C4509" w:rsidP="001C0CA6">
      <w:pPr>
        <w:spacing w:before="120" w:line="240" w:lineRule="atLeast"/>
        <w:jc w:val="both"/>
      </w:pPr>
      <w:r>
        <w:rPr>
          <w:rFonts w:eastAsia="Arial"/>
          <w:color w:val="000000"/>
          <w:sz w:val="18"/>
          <w:vertAlign w:val="superscript"/>
        </w:rPr>
        <w:t>161 </w:t>
      </w:r>
      <w:r>
        <w:rPr>
          <w:rFonts w:eastAsia="Arial"/>
          <w:color w:val="000000"/>
          <w:sz w:val="18"/>
        </w:rPr>
        <w:t xml:space="preserve"> H.R. 2086, 108th Cong. § 3(c)(2)(C)(v) (2003).</w:t>
      </w:r>
    </w:p>
  </w:footnote>
  <w:footnote w:id="88">
    <w:p w14:paraId="22DD02D6" w14:textId="77777777" w:rsidR="005C4509" w:rsidRDefault="005C4509" w:rsidP="001C0CA6">
      <w:pPr>
        <w:spacing w:before="240" w:line="240" w:lineRule="atLeast"/>
        <w:jc w:val="both"/>
      </w:pPr>
      <w:r>
        <w:rPr>
          <w:rFonts w:eastAsia="Arial"/>
          <w:color w:val="000000"/>
          <w:sz w:val="18"/>
          <w:vertAlign w:val="superscript"/>
        </w:rPr>
        <w:t>162 </w:t>
      </w:r>
      <w:r>
        <w:rPr>
          <w:rFonts w:eastAsia="Arial"/>
          <w:color w:val="000000"/>
          <w:sz w:val="18"/>
        </w:rPr>
        <w:t xml:space="preserve"> Eric Blumenson &amp; Eva S. Nilsen, </w:t>
      </w:r>
      <w:r>
        <w:rPr>
          <w:rFonts w:eastAsia="Arial"/>
          <w:i/>
          <w:color w:val="000000"/>
          <w:sz w:val="18"/>
        </w:rPr>
        <w:t>How to Construct an Underclass, or How the War on Drugs Became a War on Education</w:t>
      </w:r>
      <w:r>
        <w:rPr>
          <w:rFonts w:eastAsia="Arial"/>
          <w:color w:val="000000"/>
          <w:sz w:val="18"/>
        </w:rPr>
        <w:t xml:space="preserve">, </w:t>
      </w:r>
      <w:hyperlink r:id="rId194" w:history="1">
        <w:r>
          <w:rPr>
            <w:rFonts w:eastAsia="Arial"/>
            <w:i/>
            <w:color w:val="0077CC"/>
            <w:sz w:val="18"/>
            <w:u w:val="single"/>
            <w:shd w:val="clear" w:color="auto" w:fill="FFFFFF"/>
          </w:rPr>
          <w:t>6 J. GENDER RACE &amp; JUST. 61, 72 (2002).</w:t>
        </w:r>
      </w:hyperlink>
    </w:p>
  </w:footnote>
  <w:footnote w:id="89">
    <w:p w14:paraId="13C29493" w14:textId="77777777" w:rsidR="005C4509" w:rsidRDefault="005C4509" w:rsidP="001C0CA6">
      <w:pPr>
        <w:spacing w:before="240" w:line="240" w:lineRule="atLeast"/>
        <w:jc w:val="both"/>
      </w:pPr>
      <w:r>
        <w:rPr>
          <w:rFonts w:eastAsia="Arial"/>
          <w:color w:val="000000"/>
          <w:sz w:val="18"/>
          <w:vertAlign w:val="superscript"/>
        </w:rPr>
        <w:t>163 </w:t>
      </w:r>
      <w:r>
        <w:rPr>
          <w:rFonts w:eastAsia="Arial"/>
          <w:color w:val="000000"/>
          <w:sz w:val="18"/>
        </w:rPr>
        <w:t xml:space="preserve">  </w:t>
      </w:r>
      <w:hyperlink r:id="rId195" w:history="1">
        <w:r>
          <w:rPr>
            <w:rFonts w:eastAsia="Arial"/>
            <w:i/>
            <w:color w:val="0077CC"/>
            <w:sz w:val="18"/>
            <w:u w:val="single"/>
            <w:shd w:val="clear" w:color="auto" w:fill="FFFFFF"/>
          </w:rPr>
          <w:t>Id. at 77.</w:t>
        </w:r>
      </w:hyperlink>
    </w:p>
  </w:footnote>
  <w:footnote w:id="90">
    <w:p w14:paraId="2ACA9429" w14:textId="77777777" w:rsidR="005C4509" w:rsidRDefault="005C4509" w:rsidP="001C0CA6">
      <w:pPr>
        <w:spacing w:before="240" w:line="240" w:lineRule="atLeast"/>
        <w:jc w:val="both"/>
      </w:pPr>
      <w:r>
        <w:rPr>
          <w:rFonts w:eastAsia="Arial"/>
          <w:color w:val="000000"/>
          <w:sz w:val="18"/>
          <w:vertAlign w:val="superscript"/>
        </w:rPr>
        <w:t>164 </w:t>
      </w:r>
      <w:r>
        <w:rPr>
          <w:rFonts w:eastAsia="Arial"/>
          <w:color w:val="000000"/>
          <w:sz w:val="18"/>
        </w:rPr>
        <w:t xml:space="preserve">  </w:t>
      </w:r>
      <w:hyperlink r:id="rId196" w:history="1">
        <w:r>
          <w:rPr>
            <w:rFonts w:eastAsia="Arial"/>
            <w:i/>
            <w:color w:val="0077CC"/>
            <w:sz w:val="18"/>
            <w:u w:val="single"/>
            <w:shd w:val="clear" w:color="auto" w:fill="FFFFFF"/>
          </w:rPr>
          <w:t>Id. at 77-78.</w:t>
        </w:r>
      </w:hyperlink>
    </w:p>
  </w:footnote>
  <w:footnote w:id="91">
    <w:p w14:paraId="38A2AAAF" w14:textId="77777777" w:rsidR="005C4509" w:rsidRDefault="005C4509" w:rsidP="001C0CA6">
      <w:pPr>
        <w:spacing w:before="200" w:line="240" w:lineRule="atLeast"/>
        <w:jc w:val="both"/>
      </w:pPr>
      <w:r>
        <w:rPr>
          <w:rFonts w:eastAsia="Arial"/>
          <w:color w:val="000000"/>
          <w:sz w:val="18"/>
          <w:vertAlign w:val="superscript"/>
        </w:rPr>
        <w:t>165 </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15.</w:t>
      </w:r>
    </w:p>
  </w:footnote>
  <w:footnote w:id="92">
    <w:p w14:paraId="537AC17B" w14:textId="77777777" w:rsidR="005C4509" w:rsidRDefault="005C4509" w:rsidP="001C0CA6">
      <w:pPr>
        <w:spacing w:before="200" w:line="240" w:lineRule="atLeast"/>
        <w:jc w:val="both"/>
      </w:pPr>
      <w:r>
        <w:rPr>
          <w:rFonts w:eastAsia="Arial"/>
          <w:color w:val="000000"/>
          <w:sz w:val="18"/>
          <w:vertAlign w:val="superscript"/>
        </w:rPr>
        <w:t>166 </w:t>
      </w:r>
      <w:r>
        <w:rPr>
          <w:rFonts w:eastAsia="Arial"/>
          <w:color w:val="000000"/>
          <w:sz w:val="18"/>
        </w:rPr>
        <w:t xml:space="preserve"> Achieving stable employment is important because lack of employment is just one factor that heightens the likelihood that an ex-offender will recidivate. Studies show that "one year after release, as many as 60% of former inmates are not employed in the regular labor market," and the inability to find legitimate work, combined with a lack of access to further education, is a likely contributor to the recidivism of roughly two-thirds of all inmates released on parole that are rearrested within three years. </w:t>
      </w:r>
      <w:r>
        <w:rPr>
          <w:rFonts w:eastAsia="Arial"/>
          <w:i/>
          <w:color w:val="000000"/>
          <w:sz w:val="18"/>
        </w:rPr>
        <w:t>See</w:t>
      </w:r>
      <w:r>
        <w:rPr>
          <w:rFonts w:eastAsia="Arial"/>
          <w:color w:val="000000"/>
          <w:sz w:val="18"/>
        </w:rPr>
        <w:t xml:space="preserve"> Petersilia, </w:t>
      </w:r>
      <w:r>
        <w:rPr>
          <w:rFonts w:eastAsia="Arial"/>
          <w:i/>
          <w:color w:val="000000"/>
          <w:sz w:val="18"/>
        </w:rPr>
        <w:t>supra</w:t>
      </w:r>
      <w:r>
        <w:rPr>
          <w:rFonts w:eastAsia="Arial"/>
          <w:color w:val="000000"/>
          <w:sz w:val="18"/>
        </w:rPr>
        <w:t xml:space="preserve"> note 39, at 4.</w:t>
      </w:r>
    </w:p>
  </w:footnote>
  <w:footnote w:id="93">
    <w:p w14:paraId="275D7795" w14:textId="77777777" w:rsidR="005C4509" w:rsidRDefault="005C4509" w:rsidP="001C0CA6">
      <w:pPr>
        <w:spacing w:before="200" w:line="240" w:lineRule="atLeast"/>
        <w:jc w:val="both"/>
      </w:pPr>
      <w:r>
        <w:rPr>
          <w:rFonts w:eastAsia="Arial"/>
          <w:color w:val="000000"/>
          <w:sz w:val="18"/>
          <w:vertAlign w:val="superscript"/>
        </w:rPr>
        <w:t>125 </w:t>
      </w:r>
      <w:r>
        <w:rPr>
          <w:rFonts w:eastAsia="Arial"/>
          <w:color w:val="000000"/>
          <w:sz w:val="18"/>
        </w:rPr>
        <w:t xml:space="preserve"> Travis, </w:t>
      </w:r>
      <w:r>
        <w:rPr>
          <w:rFonts w:eastAsia="Arial"/>
          <w:i/>
          <w:color w:val="000000"/>
          <w:sz w:val="18"/>
        </w:rPr>
        <w:t>supra</w:t>
      </w:r>
      <w:r>
        <w:rPr>
          <w:rFonts w:eastAsia="Arial"/>
          <w:color w:val="000000"/>
          <w:sz w:val="18"/>
        </w:rPr>
        <w:t xml:space="preserve"> note 58, at 22.</w:t>
      </w:r>
    </w:p>
  </w:footnote>
  <w:footnote w:id="94">
    <w:p w14:paraId="47C1582F" w14:textId="77777777" w:rsidR="005C4509" w:rsidRDefault="005C4509" w:rsidP="001C0CA6">
      <w:pPr>
        <w:spacing w:before="200" w:line="240" w:lineRule="atLeast"/>
        <w:jc w:val="both"/>
      </w:pPr>
      <w:r>
        <w:rPr>
          <w:rFonts w:eastAsia="Arial"/>
          <w:color w:val="000000"/>
          <w:sz w:val="18"/>
          <w:vertAlign w:val="superscript"/>
        </w:rPr>
        <w:t>126 </w:t>
      </w:r>
      <w:r>
        <w:rPr>
          <w:rFonts w:eastAsia="Arial"/>
          <w:color w:val="000000"/>
          <w:sz w:val="18"/>
        </w:rPr>
        <w:t xml:space="preserve"> Bushway, </w:t>
      </w:r>
      <w:r>
        <w:rPr>
          <w:rFonts w:eastAsia="Arial"/>
          <w:i/>
          <w:color w:val="000000"/>
          <w:sz w:val="18"/>
        </w:rPr>
        <w:t>supra</w:t>
      </w:r>
      <w:r>
        <w:rPr>
          <w:rFonts w:eastAsia="Arial"/>
          <w:color w:val="000000"/>
          <w:sz w:val="18"/>
        </w:rPr>
        <w:t xml:space="preserve"> note 49, at 144.</w:t>
      </w:r>
    </w:p>
  </w:footnote>
  <w:footnote w:id="95">
    <w:p w14:paraId="5F60E0BC" w14:textId="77777777" w:rsidR="005C4509" w:rsidRDefault="005C4509" w:rsidP="001C0CA6">
      <w:pPr>
        <w:spacing w:before="200" w:line="240" w:lineRule="atLeast"/>
        <w:jc w:val="both"/>
      </w:pPr>
      <w:r>
        <w:rPr>
          <w:rFonts w:eastAsia="Arial"/>
          <w:color w:val="000000"/>
          <w:sz w:val="18"/>
          <w:vertAlign w:val="superscript"/>
        </w:rPr>
        <w:t>127 </w:t>
      </w:r>
      <w:r>
        <w:rPr>
          <w:rFonts w:eastAsia="Arial"/>
          <w:color w:val="000000"/>
          <w:sz w:val="18"/>
        </w:rPr>
        <w:t xml:space="preserve">  </w:t>
      </w:r>
      <w:r>
        <w:rPr>
          <w:rFonts w:eastAsia="Arial"/>
          <w:i/>
          <w:color w:val="000000"/>
          <w:sz w:val="18"/>
        </w:rPr>
        <w:t>Id.</w:t>
      </w:r>
    </w:p>
  </w:footnote>
  <w:footnote w:id="96">
    <w:p w14:paraId="229A6816" w14:textId="77777777" w:rsidR="005C4509" w:rsidRDefault="005C4509" w:rsidP="001C0CA6">
      <w:pPr>
        <w:spacing w:before="200" w:line="240" w:lineRule="atLeast"/>
        <w:jc w:val="both"/>
      </w:pPr>
      <w:r>
        <w:rPr>
          <w:rFonts w:eastAsia="Arial"/>
          <w:color w:val="000000"/>
          <w:sz w:val="18"/>
          <w:vertAlign w:val="superscript"/>
        </w:rPr>
        <w:t>128 </w:t>
      </w:r>
      <w:r>
        <w:rPr>
          <w:rFonts w:eastAsia="Arial"/>
          <w:color w:val="000000"/>
          <w:sz w:val="18"/>
        </w:rPr>
        <w:t xml:space="preserve">  </w:t>
      </w:r>
      <w:hyperlink r:id="rId197" w:history="1">
        <w:r>
          <w:rPr>
            <w:rFonts w:eastAsia="Arial"/>
            <w:i/>
            <w:color w:val="0077CC"/>
            <w:sz w:val="18"/>
            <w:u w:val="single"/>
            <w:shd w:val="clear" w:color="auto" w:fill="FFFFFF"/>
          </w:rPr>
          <w:t xml:space="preserve">5 </w:t>
        </w:r>
      </w:hyperlink>
      <w:hyperlink r:id="rId198" w:history="1">
        <w:r>
          <w:rPr>
            <w:rFonts w:eastAsia="Arial"/>
            <w:b/>
            <w:i/>
            <w:color w:val="0077CC"/>
            <w:sz w:val="18"/>
            <w:u w:val="single"/>
            <w:shd w:val="clear" w:color="auto" w:fill="FFFFFF"/>
          </w:rPr>
          <w:t>U.S.</w:t>
        </w:r>
      </w:hyperlink>
      <w:hyperlink r:id="rId199" w:history="1">
        <w:r>
          <w:rPr>
            <w:rFonts w:eastAsia="Arial"/>
            <w:i/>
            <w:color w:val="0077CC"/>
            <w:sz w:val="18"/>
            <w:u w:val="single"/>
            <w:shd w:val="clear" w:color="auto" w:fill="FFFFFF"/>
          </w:rPr>
          <w:t>C. § 7313</w:t>
        </w:r>
      </w:hyperlink>
      <w:r>
        <w:rPr>
          <w:rFonts w:eastAsia="Arial"/>
          <w:color w:val="000000"/>
          <w:sz w:val="18"/>
        </w:rPr>
        <w:t xml:space="preserve"> (2004); FEDERAL STATUTES, </w:t>
      </w:r>
      <w:r>
        <w:rPr>
          <w:rFonts w:eastAsia="Arial"/>
          <w:i/>
          <w:color w:val="000000"/>
          <w:sz w:val="18"/>
        </w:rPr>
        <w:t>supra</w:t>
      </w:r>
      <w:r>
        <w:rPr>
          <w:rFonts w:eastAsia="Arial"/>
          <w:color w:val="000000"/>
          <w:sz w:val="18"/>
        </w:rPr>
        <w:t xml:space="preserve"> note 46, at 2.</w:t>
      </w:r>
    </w:p>
  </w:footnote>
  <w:footnote w:id="97">
    <w:p w14:paraId="1897DB07" w14:textId="77777777" w:rsidR="005C4509" w:rsidRDefault="005C4509" w:rsidP="001C0CA6">
      <w:pPr>
        <w:spacing w:before="200" w:line="240" w:lineRule="atLeast"/>
        <w:jc w:val="both"/>
      </w:pPr>
      <w:r>
        <w:rPr>
          <w:rFonts w:eastAsia="Arial"/>
          <w:color w:val="000000"/>
          <w:sz w:val="18"/>
          <w:vertAlign w:val="superscript"/>
        </w:rPr>
        <w:t>129 </w:t>
      </w:r>
      <w:r>
        <w:rPr>
          <w:rFonts w:eastAsia="Arial"/>
          <w:color w:val="000000"/>
          <w:sz w:val="18"/>
        </w:rPr>
        <w:t xml:space="preserve"> 18U.S.C. § 1901 (2004); FEDERAL STATUTES, </w:t>
      </w:r>
      <w:r>
        <w:rPr>
          <w:rFonts w:eastAsia="Arial"/>
          <w:i/>
          <w:color w:val="000000"/>
          <w:sz w:val="18"/>
        </w:rPr>
        <w:t>supra</w:t>
      </w:r>
      <w:r>
        <w:rPr>
          <w:rFonts w:eastAsia="Arial"/>
          <w:color w:val="000000"/>
          <w:sz w:val="18"/>
        </w:rPr>
        <w:t xml:space="preserve"> note 46, at 2.</w:t>
      </w:r>
    </w:p>
  </w:footnote>
  <w:footnote w:id="98">
    <w:p w14:paraId="14BA5684" w14:textId="77777777" w:rsidR="005C4509" w:rsidRDefault="005C4509" w:rsidP="001C0CA6">
      <w:pPr>
        <w:spacing w:before="200" w:line="240" w:lineRule="atLeast"/>
        <w:jc w:val="both"/>
      </w:pPr>
      <w:r>
        <w:rPr>
          <w:rFonts w:eastAsia="Arial"/>
          <w:color w:val="000000"/>
          <w:sz w:val="18"/>
          <w:vertAlign w:val="superscript"/>
        </w:rPr>
        <w:t>130 </w:t>
      </w:r>
      <w:r>
        <w:rPr>
          <w:rFonts w:eastAsia="Arial"/>
          <w:color w:val="000000"/>
          <w:sz w:val="18"/>
        </w:rPr>
        <w:t xml:space="preserve">  </w:t>
      </w:r>
      <w:hyperlink r:id="rId200" w:history="1">
        <w:r>
          <w:rPr>
            <w:rFonts w:eastAsia="Arial"/>
            <w:i/>
            <w:color w:val="0077CC"/>
            <w:sz w:val="18"/>
            <w:u w:val="single"/>
            <w:shd w:val="clear" w:color="auto" w:fill="FFFFFF"/>
          </w:rPr>
          <w:t xml:space="preserve">10 </w:t>
        </w:r>
      </w:hyperlink>
      <w:hyperlink r:id="rId201" w:history="1">
        <w:r>
          <w:rPr>
            <w:rFonts w:eastAsia="Arial"/>
            <w:b/>
            <w:i/>
            <w:color w:val="0077CC"/>
            <w:sz w:val="18"/>
            <w:u w:val="single"/>
            <w:shd w:val="clear" w:color="auto" w:fill="FFFFFF"/>
          </w:rPr>
          <w:t>U.S.</w:t>
        </w:r>
      </w:hyperlink>
      <w:hyperlink r:id="rId202" w:history="1">
        <w:r>
          <w:rPr>
            <w:rFonts w:eastAsia="Arial"/>
            <w:i/>
            <w:color w:val="0077CC"/>
            <w:sz w:val="18"/>
            <w:u w:val="single"/>
            <w:shd w:val="clear" w:color="auto" w:fill="FFFFFF"/>
          </w:rPr>
          <w:t>C. § 504</w:t>
        </w:r>
      </w:hyperlink>
      <w:r>
        <w:rPr>
          <w:rFonts w:eastAsia="Arial"/>
          <w:color w:val="000000"/>
          <w:sz w:val="18"/>
        </w:rPr>
        <w:t xml:space="preserve"> (2004); FEDERAL STATUTES, </w:t>
      </w:r>
      <w:r>
        <w:rPr>
          <w:rFonts w:eastAsia="Arial"/>
          <w:i/>
          <w:color w:val="000000"/>
          <w:sz w:val="18"/>
        </w:rPr>
        <w:t>supra</w:t>
      </w:r>
      <w:r>
        <w:rPr>
          <w:rFonts w:eastAsia="Arial"/>
          <w:color w:val="000000"/>
          <w:sz w:val="18"/>
        </w:rPr>
        <w:t xml:space="preserve"> note 46, at 3.</w:t>
      </w:r>
    </w:p>
  </w:footnote>
  <w:footnote w:id="99">
    <w:p w14:paraId="4B95B78E" w14:textId="77777777" w:rsidR="005C4509" w:rsidRDefault="005C4509" w:rsidP="001C0CA6">
      <w:pPr>
        <w:spacing w:before="200" w:line="240" w:lineRule="atLeast"/>
        <w:jc w:val="both"/>
      </w:pPr>
      <w:r>
        <w:rPr>
          <w:rFonts w:eastAsia="Arial"/>
          <w:color w:val="000000"/>
          <w:sz w:val="18"/>
          <w:vertAlign w:val="superscript"/>
        </w:rPr>
        <w:t>131 </w:t>
      </w:r>
      <w:r>
        <w:rPr>
          <w:rFonts w:eastAsia="Arial"/>
          <w:color w:val="000000"/>
          <w:sz w:val="18"/>
        </w:rPr>
        <w:t xml:space="preserve">  </w:t>
      </w:r>
      <w:r>
        <w:rPr>
          <w:rFonts w:eastAsia="Arial"/>
          <w:i/>
          <w:color w:val="000000"/>
          <w:sz w:val="18"/>
        </w:rPr>
        <w:t>See</w:t>
      </w:r>
      <w:r>
        <w:rPr>
          <w:rFonts w:eastAsia="Arial"/>
          <w:color w:val="000000"/>
          <w:sz w:val="18"/>
        </w:rPr>
        <w:t xml:space="preserve"> FEDERAL STATUTES, </w:t>
      </w:r>
      <w:r>
        <w:rPr>
          <w:rFonts w:eastAsia="Arial"/>
          <w:i/>
          <w:color w:val="000000"/>
          <w:sz w:val="18"/>
        </w:rPr>
        <w:t>supra</w:t>
      </w:r>
      <w:r>
        <w:rPr>
          <w:rFonts w:eastAsia="Arial"/>
          <w:color w:val="000000"/>
          <w:sz w:val="18"/>
        </w:rPr>
        <w:t xml:space="preserve"> note 46, at 3.</w:t>
      </w:r>
    </w:p>
  </w:footnote>
  <w:footnote w:id="100">
    <w:p w14:paraId="49AFA5DE" w14:textId="77777777" w:rsidR="005C4509" w:rsidRDefault="005C4509" w:rsidP="001C0CA6">
      <w:pPr>
        <w:spacing w:before="240" w:line="240" w:lineRule="atLeast"/>
        <w:jc w:val="both"/>
      </w:pPr>
      <w:r>
        <w:rPr>
          <w:rFonts w:eastAsia="Arial"/>
          <w:color w:val="000000"/>
          <w:sz w:val="18"/>
          <w:vertAlign w:val="superscript"/>
        </w:rPr>
        <w:t>132 </w:t>
      </w:r>
      <w:r>
        <w:rPr>
          <w:rFonts w:eastAsia="Arial"/>
          <w:color w:val="000000"/>
          <w:sz w:val="18"/>
        </w:rPr>
        <w:t xml:space="preserve">  </w:t>
      </w:r>
      <w:hyperlink r:id="rId203" w:history="1">
        <w:r>
          <w:rPr>
            <w:rFonts w:eastAsia="Arial"/>
            <w:i/>
            <w:color w:val="0077CC"/>
            <w:sz w:val="18"/>
            <w:u w:val="single"/>
            <w:shd w:val="clear" w:color="auto" w:fill="FFFFFF"/>
          </w:rPr>
          <w:t xml:space="preserve">23 </w:t>
        </w:r>
      </w:hyperlink>
      <w:hyperlink r:id="rId204" w:history="1">
        <w:r>
          <w:rPr>
            <w:rFonts w:eastAsia="Arial"/>
            <w:b/>
            <w:i/>
            <w:color w:val="0077CC"/>
            <w:sz w:val="18"/>
            <w:u w:val="single"/>
            <w:shd w:val="clear" w:color="auto" w:fill="FFFFFF"/>
          </w:rPr>
          <w:t>U.S.</w:t>
        </w:r>
      </w:hyperlink>
      <w:hyperlink r:id="rId205" w:history="1">
        <w:r>
          <w:rPr>
            <w:rFonts w:eastAsia="Arial"/>
            <w:i/>
            <w:color w:val="0077CC"/>
            <w:sz w:val="18"/>
            <w:u w:val="single"/>
            <w:shd w:val="clear" w:color="auto" w:fill="FFFFFF"/>
          </w:rPr>
          <w:t>C. § 159</w:t>
        </w:r>
      </w:hyperlink>
      <w:r>
        <w:rPr>
          <w:rFonts w:eastAsia="Arial"/>
          <w:color w:val="000000"/>
          <w:sz w:val="18"/>
        </w:rPr>
        <w:t xml:space="preserve"> (2004); Mark M. Stavsky, </w:t>
      </w:r>
      <w:r>
        <w:rPr>
          <w:rFonts w:eastAsia="Arial"/>
          <w:i/>
          <w:color w:val="000000"/>
          <w:sz w:val="18"/>
        </w:rPr>
        <w:t>No Guns or Butter for Thomas Bean: Firearms Disabilities and Their Occupational Consequences</w:t>
      </w:r>
      <w:r>
        <w:rPr>
          <w:rFonts w:eastAsia="Arial"/>
          <w:color w:val="000000"/>
          <w:sz w:val="18"/>
        </w:rPr>
        <w:t xml:space="preserve">, </w:t>
      </w:r>
      <w:hyperlink r:id="rId206" w:history="1">
        <w:r>
          <w:rPr>
            <w:rFonts w:eastAsia="Arial"/>
            <w:i/>
            <w:color w:val="0077CC"/>
            <w:sz w:val="18"/>
            <w:u w:val="single"/>
            <w:shd w:val="clear" w:color="auto" w:fill="FFFFFF"/>
          </w:rPr>
          <w:t>30 FORDHAM URB. L.J. 1759, 1761-62 (2003).</w:t>
        </w:r>
      </w:hyperlink>
    </w:p>
  </w:footnote>
  <w:footnote w:id="101">
    <w:p w14:paraId="727B02F9" w14:textId="77777777" w:rsidR="005C4509" w:rsidRDefault="005C4509" w:rsidP="001C0CA6">
      <w:pPr>
        <w:spacing w:before="200" w:line="240" w:lineRule="atLeast"/>
        <w:jc w:val="both"/>
      </w:pPr>
      <w:r>
        <w:rPr>
          <w:rFonts w:eastAsia="Arial"/>
          <w:color w:val="000000"/>
          <w:sz w:val="18"/>
          <w:vertAlign w:val="superscript"/>
        </w:rPr>
        <w:t>133 </w:t>
      </w:r>
      <w:r>
        <w:rPr>
          <w:rFonts w:eastAsia="Arial"/>
          <w:color w:val="000000"/>
          <w:sz w:val="18"/>
        </w:rPr>
        <w:t xml:space="preserve">  </w:t>
      </w:r>
      <w:hyperlink r:id="rId207" w:history="1">
        <w:r>
          <w:rPr>
            <w:rFonts w:eastAsia="Arial"/>
            <w:i/>
            <w:color w:val="0077CC"/>
            <w:sz w:val="18"/>
            <w:u w:val="single"/>
            <w:shd w:val="clear" w:color="auto" w:fill="FFFFFF"/>
          </w:rPr>
          <w:t xml:space="preserve">18 </w:t>
        </w:r>
      </w:hyperlink>
      <w:hyperlink r:id="rId208" w:history="1">
        <w:r>
          <w:rPr>
            <w:rFonts w:eastAsia="Arial"/>
            <w:b/>
            <w:i/>
            <w:color w:val="0077CC"/>
            <w:sz w:val="18"/>
            <w:u w:val="single"/>
            <w:shd w:val="clear" w:color="auto" w:fill="FFFFFF"/>
          </w:rPr>
          <w:t>U.S.</w:t>
        </w:r>
      </w:hyperlink>
      <w:hyperlink r:id="rId209" w:history="1">
        <w:r>
          <w:rPr>
            <w:rFonts w:eastAsia="Arial"/>
            <w:i/>
            <w:color w:val="0077CC"/>
            <w:sz w:val="18"/>
            <w:u w:val="single"/>
            <w:shd w:val="clear" w:color="auto" w:fill="FFFFFF"/>
          </w:rPr>
          <w:t>C. § 922</w:t>
        </w:r>
      </w:hyperlink>
      <w:r>
        <w:rPr>
          <w:rFonts w:eastAsia="Arial"/>
          <w:color w:val="000000"/>
          <w:sz w:val="18"/>
        </w:rPr>
        <w:t xml:space="preserve">(g)(1) (2004); Stavsky, </w:t>
      </w:r>
      <w:r>
        <w:rPr>
          <w:rFonts w:eastAsia="Arial"/>
          <w:i/>
          <w:color w:val="000000"/>
          <w:sz w:val="18"/>
        </w:rPr>
        <w:t>supra</w:t>
      </w:r>
      <w:r>
        <w:rPr>
          <w:rFonts w:eastAsia="Arial"/>
          <w:color w:val="000000"/>
          <w:sz w:val="18"/>
        </w:rPr>
        <w:t xml:space="preserve"> note 132, at 1763; FEDERAL STATUTES, </w:t>
      </w:r>
      <w:r>
        <w:rPr>
          <w:rFonts w:eastAsia="Arial"/>
          <w:i/>
          <w:color w:val="000000"/>
          <w:sz w:val="18"/>
        </w:rPr>
        <w:t>supra</w:t>
      </w:r>
      <w:r>
        <w:rPr>
          <w:rFonts w:eastAsia="Arial"/>
          <w:color w:val="000000"/>
          <w:sz w:val="18"/>
        </w:rPr>
        <w:t xml:space="preserve"> note 46, at 15.</w:t>
      </w:r>
    </w:p>
  </w:footnote>
  <w:footnote w:id="102">
    <w:p w14:paraId="742DF5AD" w14:textId="77777777" w:rsidR="005C4509" w:rsidRDefault="005C4509" w:rsidP="001C0CA6">
      <w:pPr>
        <w:spacing w:before="240" w:line="240" w:lineRule="atLeast"/>
        <w:jc w:val="both"/>
      </w:pPr>
      <w:r>
        <w:rPr>
          <w:rFonts w:eastAsia="Arial"/>
          <w:color w:val="000000"/>
          <w:sz w:val="18"/>
          <w:vertAlign w:val="superscript"/>
        </w:rPr>
        <w:t>134 </w:t>
      </w:r>
      <w:r>
        <w:rPr>
          <w:rFonts w:eastAsia="Arial"/>
          <w:color w:val="000000"/>
          <w:sz w:val="18"/>
        </w:rPr>
        <w:t xml:space="preserve">  </w:t>
      </w:r>
      <w:r>
        <w:rPr>
          <w:rFonts w:eastAsia="Arial"/>
          <w:i/>
          <w:color w:val="000000"/>
          <w:sz w:val="18"/>
        </w:rPr>
        <w:t>See generally</w:t>
      </w:r>
      <w:r>
        <w:rPr>
          <w:rFonts w:eastAsia="Arial"/>
          <w:color w:val="000000"/>
          <w:sz w:val="18"/>
        </w:rPr>
        <w:t xml:space="preserve"> CIVIL DISABILITIES, </w:t>
      </w:r>
      <w:r>
        <w:rPr>
          <w:rFonts w:eastAsia="Arial"/>
          <w:i/>
          <w:color w:val="000000"/>
          <w:sz w:val="18"/>
        </w:rPr>
        <w:t>supra</w:t>
      </w:r>
      <w:r>
        <w:rPr>
          <w:rFonts w:eastAsia="Arial"/>
          <w:color w:val="000000"/>
          <w:sz w:val="18"/>
        </w:rPr>
        <w:t xml:space="preserve"> note 46; DAVID B. ROTTMAN ET AL., </w:t>
      </w:r>
      <w:r>
        <w:rPr>
          <w:rFonts w:eastAsia="Arial"/>
          <w:b/>
          <w:i/>
          <w:color w:val="000000"/>
          <w:sz w:val="18"/>
          <w:u w:val="single"/>
        </w:rPr>
        <w:t>U.S.</w:t>
      </w:r>
      <w:r>
        <w:rPr>
          <w:rFonts w:eastAsia="Arial"/>
          <w:color w:val="000000"/>
          <w:sz w:val="18"/>
        </w:rPr>
        <w:t xml:space="preserve"> DEP'T OF JUSTICE, STATE </w:t>
      </w:r>
      <w:r>
        <w:rPr>
          <w:rFonts w:eastAsia="Arial"/>
          <w:b/>
          <w:i/>
          <w:color w:val="000000"/>
          <w:sz w:val="18"/>
          <w:u w:val="single"/>
        </w:rPr>
        <w:t>COURT</w:t>
      </w:r>
      <w:r>
        <w:rPr>
          <w:rFonts w:eastAsia="Arial"/>
          <w:color w:val="000000"/>
          <w:sz w:val="18"/>
        </w:rPr>
        <w:t xml:space="preserve"> ORGANIZATION 1998, at 308-11 (2000), </w:t>
      </w:r>
      <w:r>
        <w:rPr>
          <w:rFonts w:eastAsia="Arial"/>
          <w:i/>
          <w:color w:val="000000"/>
          <w:sz w:val="18"/>
        </w:rPr>
        <w:t>available at</w:t>
      </w:r>
      <w:r>
        <w:rPr>
          <w:rFonts w:eastAsia="Arial"/>
          <w:color w:val="000000"/>
          <w:sz w:val="18"/>
        </w:rPr>
        <w:t xml:space="preserve"> </w:t>
      </w:r>
      <w:hyperlink r:id="rId210" w:history="1">
        <w:r>
          <w:rPr>
            <w:rFonts w:eastAsia="Arial"/>
            <w:i/>
            <w:color w:val="0077CC"/>
            <w:sz w:val="18"/>
            <w:u w:val="single"/>
            <w:shd w:val="clear" w:color="auto" w:fill="FFFFFF"/>
          </w:rPr>
          <w:t>http://www.ojp.usdoj.gov/bjs/pub/pdf/sco90.pdf</w:t>
        </w:r>
      </w:hyperlink>
      <w:r>
        <w:rPr>
          <w:rFonts w:eastAsia="Arial"/>
          <w:color w:val="000000"/>
          <w:sz w:val="18"/>
        </w:rPr>
        <w:t xml:space="preserve">. </w:t>
      </w:r>
    </w:p>
  </w:footnote>
  <w:footnote w:id="103">
    <w:p w14:paraId="2236EB5B" w14:textId="77777777" w:rsidR="005C4509" w:rsidRDefault="005C4509" w:rsidP="001C0CA6">
      <w:pPr>
        <w:spacing w:before="200" w:line="240" w:lineRule="atLeast"/>
        <w:jc w:val="both"/>
      </w:pPr>
      <w:r>
        <w:rPr>
          <w:rFonts w:eastAsia="Arial"/>
          <w:color w:val="000000"/>
          <w:sz w:val="18"/>
          <w:vertAlign w:val="superscript"/>
        </w:rPr>
        <w:t>135 </w:t>
      </w:r>
      <w:r>
        <w:rPr>
          <w:rFonts w:eastAsia="Arial"/>
          <w:color w:val="000000"/>
          <w:sz w:val="18"/>
        </w:rPr>
        <w:t xml:space="preserve"> A license "is a grant of permission in the nature of a special privilege entitling the licensees to do something they would not ordinarily be entitled to do. Generally, a license is a means for the state to regulate and tax privileges and occupations." May, </w:t>
      </w:r>
      <w:r>
        <w:rPr>
          <w:rFonts w:eastAsia="Arial"/>
          <w:i/>
          <w:color w:val="000000"/>
          <w:sz w:val="18"/>
        </w:rPr>
        <w:t>supra</w:t>
      </w:r>
      <w:r>
        <w:rPr>
          <w:rFonts w:eastAsia="Arial"/>
          <w:color w:val="000000"/>
          <w:sz w:val="18"/>
        </w:rPr>
        <w:t xml:space="preserve"> note 65, at 189. License laws can be classified as revenue-raising, which exist to raise revenue for the state, or regulatory, which exist to "protect the public interest by regulating certain activities." </w:t>
      </w:r>
      <w:r>
        <w:rPr>
          <w:rFonts w:eastAsia="Arial"/>
          <w:i/>
          <w:color w:val="000000"/>
          <w:sz w:val="18"/>
        </w:rPr>
        <w:t>Id.</w:t>
      </w:r>
      <w:r>
        <w:rPr>
          <w:rFonts w:eastAsia="Arial"/>
          <w:color w:val="000000"/>
          <w:sz w:val="18"/>
        </w:rPr>
        <w:t xml:space="preserve"> at 190. A state's power to issue regulatory licenses flows from the state's police powers to protect the health, morals, and welfare of the public, and therefore the state can conceivably regulate any occupation that involves a public interest that the state feels it must act to protect. While ex-offenders are affected by both kinds of licenses, the regulatory license poses the greater challenge by making it harder for ex-offenders to obtain certain jobs as a result of their conviction. </w:t>
      </w:r>
      <w:r>
        <w:rPr>
          <w:rFonts w:eastAsia="Arial"/>
          <w:i/>
          <w:color w:val="000000"/>
          <w:sz w:val="18"/>
        </w:rPr>
        <w:t>See id.</w:t>
      </w:r>
      <w:r>
        <w:rPr>
          <w:rFonts w:eastAsia="Arial"/>
          <w:color w:val="000000"/>
          <w:sz w:val="18"/>
        </w:rPr>
        <w:t xml:space="preserve"> at 189-90.</w:t>
      </w:r>
    </w:p>
  </w:footnote>
  <w:footnote w:id="104">
    <w:p w14:paraId="2FEFBF20" w14:textId="77777777" w:rsidR="005C4509" w:rsidRDefault="005C4509" w:rsidP="001C0CA6">
      <w:pPr>
        <w:spacing w:before="200" w:line="240" w:lineRule="atLeast"/>
        <w:jc w:val="both"/>
      </w:pPr>
      <w:r>
        <w:rPr>
          <w:rFonts w:eastAsia="Arial"/>
          <w:color w:val="000000"/>
          <w:sz w:val="18"/>
          <w:vertAlign w:val="superscript"/>
        </w:rPr>
        <w:t>136 </w:t>
      </w:r>
      <w:r>
        <w:rPr>
          <w:rFonts w:eastAsia="Arial"/>
          <w:color w:val="000000"/>
          <w:sz w:val="18"/>
        </w:rPr>
        <w:t xml:space="preserve">  </w:t>
      </w:r>
      <w:r>
        <w:rPr>
          <w:rFonts w:eastAsia="Arial"/>
          <w:i/>
          <w:color w:val="000000"/>
          <w:sz w:val="18"/>
        </w:rPr>
        <w:t>Id.</w:t>
      </w:r>
      <w:r>
        <w:rPr>
          <w:rFonts w:eastAsia="Arial"/>
          <w:color w:val="000000"/>
          <w:sz w:val="18"/>
        </w:rPr>
        <w:t xml:space="preserve"> at 190-91 (citing HUNT ET AL., LAWS, LICENSE, AND THE OFFENDER'S RIGHT TO WORK, NATIONAL CLEARINGHOUSE ON OFFENDER EMPLOYMENT RESTRICTIONS 1973) (providing an in-depth review of state occupational licensing laws).</w:t>
      </w:r>
    </w:p>
  </w:footnote>
  <w:footnote w:id="105">
    <w:p w14:paraId="1B8409E4" w14:textId="77777777" w:rsidR="005C4509" w:rsidRDefault="005C4509" w:rsidP="001C0CA6">
      <w:pPr>
        <w:spacing w:before="200" w:line="240" w:lineRule="atLeast"/>
        <w:jc w:val="both"/>
      </w:pPr>
      <w:r>
        <w:rPr>
          <w:rFonts w:eastAsia="Arial"/>
          <w:color w:val="000000"/>
          <w:sz w:val="18"/>
          <w:vertAlign w:val="superscript"/>
        </w:rPr>
        <w:t>137 </w:t>
      </w:r>
      <w:r>
        <w:rPr>
          <w:rFonts w:eastAsia="Arial"/>
          <w:color w:val="000000"/>
          <w:sz w:val="18"/>
        </w:rPr>
        <w:t xml:space="preserve">  </w:t>
      </w:r>
      <w:r>
        <w:rPr>
          <w:rFonts w:eastAsia="Arial"/>
          <w:i/>
          <w:color w:val="000000"/>
          <w:sz w:val="18"/>
        </w:rPr>
        <w:t>Id.</w:t>
      </w:r>
      <w:r>
        <w:rPr>
          <w:rFonts w:eastAsia="Arial"/>
          <w:color w:val="000000"/>
          <w:sz w:val="18"/>
        </w:rPr>
        <w:t xml:space="preserve"> at 194.</w:t>
      </w:r>
    </w:p>
  </w:footnote>
  <w:footnote w:id="106">
    <w:p w14:paraId="337C2C72" w14:textId="77777777" w:rsidR="005C4509" w:rsidRDefault="005C4509" w:rsidP="001C0CA6">
      <w:pPr>
        <w:spacing w:before="200" w:line="240" w:lineRule="atLeast"/>
        <w:jc w:val="both"/>
      </w:pPr>
      <w:r>
        <w:rPr>
          <w:rFonts w:eastAsia="Arial"/>
          <w:color w:val="000000"/>
          <w:sz w:val="18"/>
          <w:vertAlign w:val="superscript"/>
        </w:rPr>
        <w:t>138 </w:t>
      </w:r>
      <w:r>
        <w:rPr>
          <w:rFonts w:eastAsia="Arial"/>
          <w:color w:val="000000"/>
          <w:sz w:val="18"/>
        </w:rPr>
        <w:t xml:space="preserve">  </w:t>
      </w:r>
      <w:r>
        <w:rPr>
          <w:rFonts w:eastAsia="Arial"/>
          <w:i/>
          <w:color w:val="000000"/>
          <w:sz w:val="18"/>
        </w:rPr>
        <w:t>See id.</w:t>
      </w:r>
      <w:r>
        <w:rPr>
          <w:rFonts w:eastAsia="Arial"/>
          <w:color w:val="000000"/>
          <w:sz w:val="18"/>
        </w:rPr>
        <w:t xml:space="preserve"> at 206.</w:t>
      </w:r>
    </w:p>
  </w:footnote>
  <w:footnote w:id="107">
    <w:p w14:paraId="3DC1E93B" w14:textId="77777777" w:rsidR="005C4509" w:rsidRDefault="005C4509" w:rsidP="001C0CA6">
      <w:pPr>
        <w:spacing w:before="200" w:line="240" w:lineRule="atLeast"/>
        <w:jc w:val="both"/>
      </w:pPr>
      <w:r>
        <w:rPr>
          <w:rFonts w:eastAsia="Arial"/>
          <w:color w:val="000000"/>
          <w:sz w:val="18"/>
          <w:vertAlign w:val="superscript"/>
        </w:rPr>
        <w:t>139 </w:t>
      </w:r>
      <w:r>
        <w:rPr>
          <w:rFonts w:eastAsia="Arial"/>
          <w:color w:val="000000"/>
          <w:sz w:val="18"/>
        </w:rPr>
        <w:t xml:space="preserve">  </w:t>
      </w:r>
      <w:r>
        <w:rPr>
          <w:rFonts w:eastAsia="Arial"/>
          <w:i/>
          <w:color w:val="000000"/>
          <w:sz w:val="18"/>
        </w:rPr>
        <w:t>See</w:t>
      </w:r>
      <w:r>
        <w:rPr>
          <w:rFonts w:eastAsia="Arial"/>
          <w:color w:val="000000"/>
          <w:sz w:val="18"/>
        </w:rPr>
        <w:t xml:space="preserve"> Mauer, </w:t>
      </w:r>
      <w:r>
        <w:rPr>
          <w:rFonts w:eastAsia="Arial"/>
          <w:i/>
          <w:color w:val="000000"/>
          <w:sz w:val="18"/>
        </w:rPr>
        <w:t>supra</w:t>
      </w:r>
      <w:r>
        <w:rPr>
          <w:rFonts w:eastAsia="Arial"/>
          <w:color w:val="000000"/>
          <w:sz w:val="18"/>
        </w:rPr>
        <w:t xml:space="preserve"> note 48, at 1493.</w:t>
      </w:r>
    </w:p>
  </w:footnote>
  <w:footnote w:id="108">
    <w:p w14:paraId="531D51C7" w14:textId="77777777" w:rsidR="005C4509" w:rsidRDefault="005C4509" w:rsidP="001C0CA6">
      <w:pPr>
        <w:spacing w:before="200" w:line="240" w:lineRule="atLeast"/>
        <w:jc w:val="both"/>
      </w:pPr>
      <w:r>
        <w:rPr>
          <w:rFonts w:eastAsia="Arial"/>
          <w:color w:val="000000"/>
          <w:sz w:val="18"/>
          <w:vertAlign w:val="superscript"/>
        </w:rPr>
        <w:t>140 </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18.</w:t>
      </w:r>
    </w:p>
  </w:footnote>
  <w:footnote w:id="109">
    <w:p w14:paraId="26D714DD" w14:textId="77777777" w:rsidR="005C4509" w:rsidRDefault="005C4509" w:rsidP="001C0CA6">
      <w:pPr>
        <w:spacing w:before="200" w:line="240" w:lineRule="atLeast"/>
        <w:jc w:val="both"/>
      </w:pPr>
      <w:r>
        <w:rPr>
          <w:rFonts w:eastAsia="Arial"/>
          <w:color w:val="000000"/>
          <w:sz w:val="18"/>
          <w:vertAlign w:val="superscript"/>
        </w:rPr>
        <w:t>141 </w:t>
      </w:r>
      <w:r>
        <w:rPr>
          <w:rFonts w:eastAsia="Arial"/>
          <w:color w:val="000000"/>
          <w:sz w:val="18"/>
        </w:rPr>
        <w:t xml:space="preserve">  </w:t>
      </w:r>
      <w:r>
        <w:rPr>
          <w:rFonts w:eastAsia="Arial"/>
          <w:i/>
          <w:color w:val="000000"/>
          <w:sz w:val="18"/>
        </w:rPr>
        <w:t>Id.</w:t>
      </w:r>
    </w:p>
  </w:footnote>
  <w:footnote w:id="110">
    <w:p w14:paraId="24482666" w14:textId="77777777" w:rsidR="005C4509" w:rsidRDefault="005C4509" w:rsidP="001C0CA6">
      <w:pPr>
        <w:spacing w:before="240" w:line="240" w:lineRule="atLeast"/>
        <w:jc w:val="both"/>
      </w:pPr>
      <w:r>
        <w:rPr>
          <w:rFonts w:eastAsia="Arial"/>
          <w:color w:val="000000"/>
          <w:sz w:val="18"/>
          <w:vertAlign w:val="superscript"/>
        </w:rPr>
        <w:t>142 </w:t>
      </w:r>
      <w:r>
        <w:rPr>
          <w:rFonts w:eastAsia="Arial"/>
          <w:color w:val="000000"/>
          <w:sz w:val="18"/>
        </w:rPr>
        <w:t xml:space="preserve"> THE SENTENCING PROJECT, FACTS ABOUT PRISONS AND PRISONERS (citing Bureau of Justice Statistics), </w:t>
      </w:r>
      <w:r>
        <w:rPr>
          <w:rFonts w:eastAsia="Arial"/>
          <w:i/>
          <w:color w:val="000000"/>
          <w:sz w:val="18"/>
        </w:rPr>
        <w:t>available at</w:t>
      </w:r>
      <w:r>
        <w:rPr>
          <w:rFonts w:eastAsia="Arial"/>
          <w:color w:val="000000"/>
          <w:sz w:val="18"/>
        </w:rPr>
        <w:t xml:space="preserve"> </w:t>
      </w:r>
      <w:hyperlink r:id="rId211" w:history="1">
        <w:r>
          <w:rPr>
            <w:rFonts w:eastAsia="Arial"/>
            <w:i/>
            <w:color w:val="0077CC"/>
            <w:sz w:val="18"/>
            <w:u w:val="single"/>
            <w:shd w:val="clear" w:color="auto" w:fill="FFFFFF"/>
          </w:rPr>
          <w:t>http://www.sentencingproject.org</w:t>
        </w:r>
      </w:hyperlink>
      <w:r>
        <w:rPr>
          <w:rFonts w:eastAsia="Arial"/>
          <w:color w:val="000000"/>
          <w:sz w:val="18"/>
        </w:rPr>
        <w:t xml:space="preserve"> [hereinafter FACTS ABOUT PRISONS].</w:t>
      </w:r>
    </w:p>
  </w:footnote>
  <w:footnote w:id="111">
    <w:p w14:paraId="7EF5CECC" w14:textId="77777777" w:rsidR="005C4509" w:rsidRDefault="005C4509" w:rsidP="001C0CA6">
      <w:pPr>
        <w:spacing w:before="200" w:line="240" w:lineRule="atLeast"/>
        <w:jc w:val="both"/>
      </w:pPr>
      <w:r>
        <w:rPr>
          <w:rFonts w:eastAsia="Arial"/>
          <w:color w:val="000000"/>
          <w:sz w:val="18"/>
          <w:vertAlign w:val="superscript"/>
        </w:rPr>
        <w:t>143 </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19.</w:t>
      </w:r>
    </w:p>
  </w:footnote>
  <w:footnote w:id="112">
    <w:p w14:paraId="370B6DB5" w14:textId="77777777" w:rsidR="005C4509" w:rsidRDefault="005C4509" w:rsidP="001C0CA6">
      <w:pPr>
        <w:spacing w:before="200" w:line="240" w:lineRule="atLeast"/>
        <w:jc w:val="both"/>
      </w:pPr>
      <w:r>
        <w:rPr>
          <w:rFonts w:eastAsia="Arial"/>
          <w:color w:val="000000"/>
          <w:sz w:val="18"/>
          <w:vertAlign w:val="superscript"/>
        </w:rPr>
        <w:t>144 </w:t>
      </w:r>
      <w:r>
        <w:rPr>
          <w:rFonts w:eastAsia="Arial"/>
          <w:color w:val="000000"/>
          <w:sz w:val="18"/>
        </w:rPr>
        <w:t xml:space="preserve"> Bruce Western et al., </w:t>
      </w:r>
      <w:r>
        <w:rPr>
          <w:rFonts w:eastAsia="Arial"/>
          <w:i/>
          <w:color w:val="000000"/>
          <w:sz w:val="18"/>
        </w:rPr>
        <w:t>Black Economic Progress in the Era of Mass Imprisonment, in</w:t>
      </w:r>
      <w:r>
        <w:rPr>
          <w:rFonts w:eastAsia="Arial"/>
          <w:color w:val="000000"/>
          <w:sz w:val="18"/>
        </w:rPr>
        <w:t xml:space="preserve"> INVISIBLE PUNISHMENT: THE COLLATERAL CONSEQUENCES OF MASS IMPRISONMENT 165, 168 (Marc Mauer &amp; Meda Chesney-Lind eds., 2002).</w:t>
      </w:r>
    </w:p>
  </w:footnote>
  <w:footnote w:id="113">
    <w:p w14:paraId="4C7C8D7F" w14:textId="77777777" w:rsidR="005C4509" w:rsidRDefault="005C4509" w:rsidP="001C0CA6">
      <w:pPr>
        <w:spacing w:before="200" w:line="240" w:lineRule="atLeast"/>
        <w:jc w:val="both"/>
      </w:pPr>
      <w:r>
        <w:rPr>
          <w:rFonts w:eastAsia="Arial"/>
          <w:color w:val="000000"/>
          <w:sz w:val="18"/>
          <w:vertAlign w:val="superscript"/>
        </w:rPr>
        <w:t>145 </w:t>
      </w:r>
      <w:r>
        <w:rPr>
          <w:rFonts w:eastAsia="Arial"/>
          <w:color w:val="000000"/>
          <w:sz w:val="18"/>
        </w:rPr>
        <w:t xml:space="preserve">  </w:t>
      </w:r>
      <w:r>
        <w:rPr>
          <w:rFonts w:eastAsia="Arial"/>
          <w:i/>
          <w:color w:val="000000"/>
          <w:sz w:val="18"/>
        </w:rPr>
        <w:t>Id.</w:t>
      </w:r>
      <w:r>
        <w:rPr>
          <w:rFonts w:eastAsia="Arial"/>
          <w:color w:val="000000"/>
          <w:sz w:val="18"/>
        </w:rPr>
        <w:t xml:space="preserve"> at 168.</w:t>
      </w:r>
    </w:p>
  </w:footnote>
  <w:footnote w:id="114">
    <w:p w14:paraId="614D2BAF" w14:textId="77777777" w:rsidR="005C4509" w:rsidRDefault="005C4509" w:rsidP="001C0CA6">
      <w:pPr>
        <w:spacing w:before="200" w:line="240" w:lineRule="atLeast"/>
        <w:jc w:val="both"/>
      </w:pPr>
      <w:r>
        <w:rPr>
          <w:rFonts w:eastAsia="Arial"/>
          <w:color w:val="000000"/>
          <w:sz w:val="18"/>
          <w:vertAlign w:val="superscript"/>
        </w:rPr>
        <w:t>146 </w:t>
      </w:r>
      <w:r>
        <w:rPr>
          <w:rFonts w:eastAsia="Arial"/>
          <w:color w:val="000000"/>
          <w:sz w:val="18"/>
        </w:rPr>
        <w:t xml:space="preserve">  </w:t>
      </w:r>
      <w:r>
        <w:rPr>
          <w:rFonts w:eastAsia="Arial"/>
          <w:i/>
          <w:color w:val="000000"/>
          <w:sz w:val="18"/>
        </w:rPr>
        <w:t>Id.</w:t>
      </w:r>
      <w:r>
        <w:rPr>
          <w:rFonts w:eastAsia="Arial"/>
          <w:color w:val="000000"/>
          <w:sz w:val="18"/>
        </w:rPr>
        <w:t xml:space="preserve"> at 176.</w:t>
      </w:r>
    </w:p>
  </w:footnote>
  <w:footnote w:id="115">
    <w:p w14:paraId="6891BDA6" w14:textId="77777777" w:rsidR="005C4509" w:rsidRDefault="005C4509" w:rsidP="001C0CA6">
      <w:pPr>
        <w:spacing w:before="200" w:line="240" w:lineRule="atLeast"/>
        <w:jc w:val="both"/>
      </w:pPr>
      <w:r>
        <w:rPr>
          <w:rFonts w:eastAsia="Arial"/>
          <w:color w:val="000000"/>
          <w:sz w:val="18"/>
          <w:vertAlign w:val="superscript"/>
        </w:rPr>
        <w:t>147 </w:t>
      </w:r>
      <w:r>
        <w:rPr>
          <w:rFonts w:eastAsia="Arial"/>
          <w:color w:val="000000"/>
          <w:sz w:val="18"/>
        </w:rPr>
        <w:t xml:space="preserve">  </w:t>
      </w:r>
      <w:r>
        <w:rPr>
          <w:rFonts w:eastAsia="Arial"/>
          <w:i/>
          <w:color w:val="000000"/>
          <w:sz w:val="18"/>
        </w:rPr>
        <w:t>Id.</w:t>
      </w:r>
      <w:r>
        <w:rPr>
          <w:rFonts w:eastAsia="Arial"/>
          <w:color w:val="000000"/>
          <w:sz w:val="18"/>
        </w:rPr>
        <w:t xml:space="preserve"> at 177.</w:t>
      </w:r>
    </w:p>
  </w:footnote>
  <w:footnote w:id="116">
    <w:p w14:paraId="3A258AC8" w14:textId="77777777" w:rsidR="005C4509" w:rsidRDefault="005C4509" w:rsidP="001C0CA6">
      <w:pPr>
        <w:spacing w:before="200" w:line="240" w:lineRule="atLeast"/>
        <w:jc w:val="both"/>
      </w:pPr>
      <w:r>
        <w:rPr>
          <w:rFonts w:eastAsia="Arial"/>
          <w:color w:val="000000"/>
          <w:sz w:val="18"/>
          <w:vertAlign w:val="superscript"/>
        </w:rPr>
        <w:t>148 </w:t>
      </w:r>
      <w:r>
        <w:rPr>
          <w:rFonts w:eastAsia="Arial"/>
          <w:color w:val="000000"/>
          <w:sz w:val="18"/>
        </w:rPr>
        <w:t xml:space="preserve">  </w:t>
      </w:r>
      <w:r>
        <w:rPr>
          <w:rFonts w:eastAsia="Arial"/>
          <w:i/>
          <w:color w:val="000000"/>
          <w:sz w:val="18"/>
        </w:rPr>
        <w:t>Id.</w:t>
      </w:r>
    </w:p>
  </w:footnote>
  <w:footnote w:id="117">
    <w:p w14:paraId="4D49EFB3" w14:textId="77777777" w:rsidR="005C4509" w:rsidRDefault="005C4509" w:rsidP="001C0CA6">
      <w:pPr>
        <w:spacing w:before="200" w:line="240" w:lineRule="atLeast"/>
        <w:jc w:val="both"/>
      </w:pPr>
      <w:r>
        <w:rPr>
          <w:rFonts w:eastAsia="Arial"/>
          <w:color w:val="000000"/>
          <w:sz w:val="18"/>
          <w:vertAlign w:val="superscript"/>
        </w:rPr>
        <w:t>149 </w:t>
      </w:r>
      <w:r>
        <w:rPr>
          <w:rFonts w:eastAsia="Arial"/>
          <w:color w:val="000000"/>
          <w:sz w:val="18"/>
        </w:rPr>
        <w:t xml:space="preserve">  </w:t>
      </w:r>
      <w:r>
        <w:rPr>
          <w:rFonts w:eastAsia="Arial"/>
          <w:i/>
          <w:color w:val="000000"/>
          <w:sz w:val="18"/>
        </w:rPr>
        <w:t>Id.</w:t>
      </w:r>
      <w:r>
        <w:rPr>
          <w:rFonts w:eastAsia="Arial"/>
          <w:color w:val="000000"/>
          <w:sz w:val="18"/>
        </w:rPr>
        <w:t xml:space="preserve"> at 178.</w:t>
      </w:r>
    </w:p>
  </w:footnote>
  <w:footnote w:id="118">
    <w:p w14:paraId="287D8616" w14:textId="77777777" w:rsidR="005C4509" w:rsidRDefault="005C4509" w:rsidP="001C0CA6">
      <w:pPr>
        <w:spacing w:before="200" w:line="240" w:lineRule="atLeast"/>
        <w:jc w:val="both"/>
      </w:pPr>
      <w:r>
        <w:rPr>
          <w:rFonts w:eastAsia="Arial"/>
          <w:color w:val="000000"/>
          <w:sz w:val="18"/>
          <w:vertAlign w:val="superscript"/>
        </w:rPr>
        <w:t>150 </w:t>
      </w:r>
      <w:r>
        <w:rPr>
          <w:rFonts w:eastAsia="Arial"/>
          <w:color w:val="000000"/>
          <w:sz w:val="18"/>
        </w:rPr>
        <w:t xml:space="preserve"> Western, </w:t>
      </w:r>
      <w:r>
        <w:rPr>
          <w:rFonts w:eastAsia="Arial"/>
          <w:i/>
          <w:color w:val="000000"/>
          <w:sz w:val="18"/>
        </w:rPr>
        <w:t>supra</w:t>
      </w:r>
      <w:r>
        <w:rPr>
          <w:rFonts w:eastAsia="Arial"/>
          <w:color w:val="000000"/>
          <w:sz w:val="18"/>
        </w:rPr>
        <w:t xml:space="preserve"> note 144, at 178.</w:t>
      </w:r>
    </w:p>
  </w:footnote>
  <w:footnote w:id="119">
    <w:p w14:paraId="728DCE95" w14:textId="77777777" w:rsidR="005C4509" w:rsidRDefault="005C4509" w:rsidP="001C0CA6">
      <w:pPr>
        <w:spacing w:before="200" w:line="240" w:lineRule="atLeast"/>
        <w:jc w:val="both"/>
      </w:pPr>
      <w:r>
        <w:rPr>
          <w:rFonts w:eastAsia="Arial"/>
          <w:color w:val="000000"/>
          <w:sz w:val="18"/>
          <w:vertAlign w:val="superscript"/>
        </w:rPr>
        <w:t>151 </w:t>
      </w:r>
      <w:r>
        <w:rPr>
          <w:rFonts w:eastAsia="Arial"/>
          <w:color w:val="000000"/>
          <w:sz w:val="18"/>
        </w:rPr>
        <w:t xml:space="preserve"> Petersilia, </w:t>
      </w:r>
      <w:r>
        <w:rPr>
          <w:rFonts w:eastAsia="Arial"/>
          <w:i/>
          <w:color w:val="000000"/>
          <w:sz w:val="18"/>
        </w:rPr>
        <w:t>supra</w:t>
      </w:r>
      <w:r>
        <w:rPr>
          <w:rFonts w:eastAsia="Arial"/>
          <w:color w:val="000000"/>
          <w:sz w:val="18"/>
        </w:rPr>
        <w:t xml:space="preserve"> note 39, at 4.</w:t>
      </w:r>
    </w:p>
  </w:footnote>
  <w:footnote w:id="120">
    <w:p w14:paraId="4329E715" w14:textId="77777777" w:rsidR="005C4509" w:rsidRDefault="005C4509" w:rsidP="00966FB1">
      <w:pPr>
        <w:spacing w:before="200" w:line="240" w:lineRule="atLeast"/>
        <w:jc w:val="both"/>
      </w:pPr>
      <w:r>
        <w:rPr>
          <w:rFonts w:eastAsia="Arial"/>
          <w:color w:val="000000"/>
          <w:sz w:val="18"/>
          <w:vertAlign w:val="superscript"/>
        </w:rPr>
        <w:t>80 </w:t>
      </w:r>
      <w:r>
        <w:rPr>
          <w:rFonts w:eastAsia="Arial"/>
          <w:color w:val="000000"/>
          <w:sz w:val="18"/>
        </w:rPr>
        <w:t xml:space="preserve"> Pub. L. No. 104-193, </w:t>
      </w:r>
      <w:r>
        <w:rPr>
          <w:rFonts w:eastAsia="Arial"/>
          <w:b/>
          <w:i/>
          <w:color w:val="000000"/>
          <w:sz w:val="18"/>
        </w:rPr>
        <w:t>110 Stat. 2105 (1996);</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1; Gwen Rubinstein &amp; Debbie Mukamal, </w:t>
      </w:r>
      <w:r>
        <w:rPr>
          <w:rFonts w:eastAsia="Arial"/>
          <w:i/>
          <w:color w:val="000000"/>
          <w:sz w:val="18"/>
        </w:rPr>
        <w:t>Welfare and Housing</w:t>
      </w:r>
      <w:r>
        <w:rPr>
          <w:rFonts w:eastAsia="Arial"/>
          <w:color w:val="000000"/>
          <w:sz w:val="18"/>
        </w:rPr>
        <w:t xml:space="preserve"> -- </w:t>
      </w:r>
      <w:r>
        <w:rPr>
          <w:rFonts w:eastAsia="Arial"/>
          <w:i/>
          <w:color w:val="000000"/>
          <w:sz w:val="18"/>
        </w:rPr>
        <w:t>Denial of Benefits to Drug Offenders, in</w:t>
      </w:r>
      <w:r>
        <w:rPr>
          <w:rFonts w:eastAsia="Arial"/>
          <w:color w:val="000000"/>
          <w:sz w:val="18"/>
        </w:rPr>
        <w:t xml:space="preserve"> INVISIBLE PUNISHMENT: THE COLLATERAL CONSEQUENCES OF MASS IMPRISONMENT 37, 40 (Marc Mauer &amp; Meda Chesney-Lind eds., 2002).</w:t>
      </w:r>
    </w:p>
  </w:footnote>
  <w:footnote w:id="121">
    <w:p w14:paraId="3992DEEE" w14:textId="77777777" w:rsidR="005C4509" w:rsidRDefault="005C4509" w:rsidP="00966FB1">
      <w:pPr>
        <w:spacing w:before="200" w:line="240" w:lineRule="atLeast"/>
        <w:jc w:val="both"/>
      </w:pPr>
      <w:r>
        <w:rPr>
          <w:rFonts w:eastAsia="Arial"/>
          <w:color w:val="000000"/>
          <w:sz w:val="18"/>
          <w:vertAlign w:val="superscript"/>
        </w:rPr>
        <w:t>81 </w:t>
      </w:r>
      <w:r>
        <w:rPr>
          <w:rFonts w:eastAsia="Arial"/>
          <w:color w:val="000000"/>
          <w:sz w:val="18"/>
        </w:rPr>
        <w:t xml:space="preserve"> FEDERAL STATUTES, </w:t>
      </w:r>
      <w:r>
        <w:rPr>
          <w:rFonts w:eastAsia="Arial"/>
          <w:i/>
          <w:color w:val="000000"/>
          <w:sz w:val="18"/>
        </w:rPr>
        <w:t>supra</w:t>
      </w:r>
      <w:r>
        <w:rPr>
          <w:rFonts w:eastAsia="Arial"/>
          <w:color w:val="000000"/>
          <w:sz w:val="18"/>
        </w:rPr>
        <w:t xml:space="preserve"> note 46, at 10; Pub. L. No. 104-193, § 115, </w:t>
      </w:r>
      <w:r>
        <w:rPr>
          <w:rFonts w:eastAsia="Arial"/>
          <w:b/>
          <w:i/>
          <w:color w:val="000000"/>
          <w:sz w:val="18"/>
        </w:rPr>
        <w:t>110 Stat. 2105</w:t>
      </w:r>
      <w:r>
        <w:rPr>
          <w:rFonts w:eastAsia="Arial"/>
          <w:color w:val="000000"/>
          <w:sz w:val="18"/>
        </w:rPr>
        <w:t xml:space="preserve"> (codified at </w:t>
      </w:r>
      <w:hyperlink r:id="rId212" w:history="1">
        <w:r>
          <w:rPr>
            <w:rFonts w:eastAsia="Arial"/>
            <w:i/>
            <w:color w:val="0077CC"/>
            <w:sz w:val="18"/>
            <w:u w:val="single"/>
            <w:shd w:val="clear" w:color="auto" w:fill="FFFFFF"/>
          </w:rPr>
          <w:t xml:space="preserve">21 </w:t>
        </w:r>
      </w:hyperlink>
      <w:hyperlink r:id="rId213" w:history="1">
        <w:r>
          <w:rPr>
            <w:rFonts w:eastAsia="Arial"/>
            <w:b/>
            <w:i/>
            <w:color w:val="0077CC"/>
            <w:sz w:val="18"/>
            <w:u w:val="single"/>
            <w:shd w:val="clear" w:color="auto" w:fill="FFFFFF"/>
          </w:rPr>
          <w:t>U.S.</w:t>
        </w:r>
      </w:hyperlink>
      <w:hyperlink r:id="rId214" w:history="1">
        <w:r>
          <w:rPr>
            <w:rFonts w:eastAsia="Arial"/>
            <w:i/>
            <w:color w:val="0077CC"/>
            <w:sz w:val="18"/>
            <w:u w:val="single"/>
            <w:shd w:val="clear" w:color="auto" w:fill="FFFFFF"/>
          </w:rPr>
          <w:t>C. § 862a</w:t>
        </w:r>
      </w:hyperlink>
      <w:r>
        <w:rPr>
          <w:rFonts w:eastAsia="Arial"/>
          <w:color w:val="000000"/>
          <w:sz w:val="18"/>
        </w:rPr>
        <w:t xml:space="preserve"> (2004)); ALLARD, </w:t>
      </w:r>
      <w:r>
        <w:rPr>
          <w:rFonts w:eastAsia="Arial"/>
          <w:i/>
          <w:color w:val="000000"/>
          <w:sz w:val="18"/>
        </w:rPr>
        <w:t>supra</w:t>
      </w:r>
      <w:r>
        <w:rPr>
          <w:rFonts w:eastAsia="Arial"/>
          <w:color w:val="000000"/>
          <w:sz w:val="18"/>
        </w:rPr>
        <w:t xml:space="preserve"> note 66, at 1; Rubinstein &amp; Mukamal, </w:t>
      </w:r>
      <w:r>
        <w:rPr>
          <w:rFonts w:eastAsia="Arial"/>
          <w:i/>
          <w:color w:val="000000"/>
          <w:sz w:val="18"/>
        </w:rPr>
        <w:t>supra</w:t>
      </w:r>
      <w:r>
        <w:rPr>
          <w:rFonts w:eastAsia="Arial"/>
          <w:color w:val="000000"/>
          <w:sz w:val="18"/>
        </w:rPr>
        <w:t xml:space="preserve"> note 80, at 42. Note that legislation was proposed in the House of Representatives on February 11, 2003, to repeal Section 115, but no action was taken on the bill. </w:t>
      </w:r>
      <w:r>
        <w:rPr>
          <w:rFonts w:eastAsia="Arial"/>
          <w:i/>
          <w:color w:val="000000"/>
          <w:sz w:val="18"/>
        </w:rPr>
        <w:t>See</w:t>
      </w:r>
      <w:r>
        <w:rPr>
          <w:rFonts w:eastAsia="Arial"/>
          <w:color w:val="000000"/>
          <w:sz w:val="18"/>
        </w:rPr>
        <w:t xml:space="preserve"> Racial Equity and Fair Treatment Act of 2003, H.R. 692, 108th Cong. § 212 (2003).</w:t>
      </w:r>
    </w:p>
  </w:footnote>
  <w:footnote w:id="122">
    <w:p w14:paraId="527F232E" w14:textId="77777777" w:rsidR="005C4509" w:rsidRDefault="005C4509" w:rsidP="00966FB1">
      <w:pPr>
        <w:spacing w:before="200" w:line="240" w:lineRule="atLeast"/>
        <w:jc w:val="both"/>
      </w:pPr>
      <w:r>
        <w:rPr>
          <w:rFonts w:eastAsia="Arial"/>
          <w:color w:val="000000"/>
          <w:sz w:val="18"/>
          <w:vertAlign w:val="superscript"/>
        </w:rPr>
        <w:t>82 </w:t>
      </w:r>
      <w:r>
        <w:rPr>
          <w:rFonts w:eastAsia="Arial"/>
          <w:color w:val="000000"/>
          <w:sz w:val="18"/>
        </w:rPr>
        <w:t xml:space="preserve">  </w:t>
      </w:r>
      <w:r>
        <w:rPr>
          <w:rFonts w:eastAsia="Arial"/>
          <w:i/>
          <w:color w:val="000000"/>
          <w:sz w:val="18"/>
        </w:rPr>
        <w:t>See</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1; Rubinstein &amp; Mukamal, </w:t>
      </w:r>
      <w:r>
        <w:rPr>
          <w:rFonts w:eastAsia="Arial"/>
          <w:i/>
          <w:color w:val="000000"/>
          <w:sz w:val="18"/>
        </w:rPr>
        <w:t>supra</w:t>
      </w:r>
      <w:r>
        <w:rPr>
          <w:rFonts w:eastAsia="Arial"/>
          <w:color w:val="000000"/>
          <w:sz w:val="18"/>
        </w:rPr>
        <w:t xml:space="preserve"> note 80, at 42.</w:t>
      </w:r>
    </w:p>
  </w:footnote>
  <w:footnote w:id="123">
    <w:p w14:paraId="727589ED" w14:textId="77777777" w:rsidR="005C4509" w:rsidRDefault="005C4509" w:rsidP="00966FB1">
      <w:pPr>
        <w:spacing w:before="240" w:line="240" w:lineRule="atLeast"/>
        <w:jc w:val="both"/>
      </w:pPr>
      <w:r>
        <w:rPr>
          <w:rFonts w:eastAsia="Arial"/>
          <w:color w:val="000000"/>
          <w:sz w:val="18"/>
          <w:vertAlign w:val="superscript"/>
        </w:rPr>
        <w:t>83 </w:t>
      </w:r>
      <w:r>
        <w:rPr>
          <w:rFonts w:eastAsia="Arial"/>
          <w:color w:val="000000"/>
          <w:sz w:val="18"/>
        </w:rPr>
        <w:t xml:space="preserve">  </w:t>
      </w:r>
      <w:hyperlink r:id="rId215" w:history="1">
        <w:r>
          <w:rPr>
            <w:rFonts w:eastAsia="Arial"/>
            <w:i/>
            <w:color w:val="0077CC"/>
            <w:sz w:val="18"/>
            <w:u w:val="single"/>
            <w:shd w:val="clear" w:color="auto" w:fill="FFFFFF"/>
          </w:rPr>
          <w:t xml:space="preserve">21 </w:t>
        </w:r>
      </w:hyperlink>
      <w:hyperlink r:id="rId216" w:history="1">
        <w:r>
          <w:rPr>
            <w:rFonts w:eastAsia="Arial"/>
            <w:b/>
            <w:i/>
            <w:color w:val="0077CC"/>
            <w:sz w:val="18"/>
            <w:u w:val="single"/>
            <w:shd w:val="clear" w:color="auto" w:fill="FFFFFF"/>
          </w:rPr>
          <w:t>U.S.</w:t>
        </w:r>
      </w:hyperlink>
      <w:hyperlink r:id="rId217" w:history="1">
        <w:r>
          <w:rPr>
            <w:rFonts w:eastAsia="Arial"/>
            <w:i/>
            <w:color w:val="0077CC"/>
            <w:sz w:val="18"/>
            <w:u w:val="single"/>
            <w:shd w:val="clear" w:color="auto" w:fill="FFFFFF"/>
          </w:rPr>
          <w:t>C. § 862a</w:t>
        </w:r>
      </w:hyperlink>
      <w:r>
        <w:rPr>
          <w:rFonts w:eastAsia="Arial"/>
          <w:color w:val="000000"/>
          <w:sz w:val="18"/>
        </w:rPr>
        <w:t>(d)(1)(A), (B) (2004).</w:t>
      </w:r>
    </w:p>
  </w:footnote>
  <w:footnote w:id="124">
    <w:p w14:paraId="223950B8" w14:textId="77777777" w:rsidR="005C4509" w:rsidRDefault="005C4509" w:rsidP="00966FB1">
      <w:pPr>
        <w:spacing w:before="200" w:line="240" w:lineRule="atLeast"/>
        <w:jc w:val="both"/>
      </w:pPr>
      <w:r>
        <w:rPr>
          <w:rFonts w:eastAsia="Arial"/>
          <w:color w:val="000000"/>
          <w:sz w:val="18"/>
          <w:vertAlign w:val="superscript"/>
        </w:rPr>
        <w:t>84 </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2.</w:t>
      </w:r>
    </w:p>
  </w:footnote>
  <w:footnote w:id="125">
    <w:p w14:paraId="0BDA73FF" w14:textId="77777777" w:rsidR="005C4509" w:rsidRDefault="005C4509" w:rsidP="00966FB1">
      <w:pPr>
        <w:spacing w:before="200" w:line="240" w:lineRule="atLeast"/>
        <w:jc w:val="both"/>
      </w:pPr>
      <w:r>
        <w:rPr>
          <w:rFonts w:eastAsia="Arial"/>
          <w:color w:val="000000"/>
          <w:sz w:val="18"/>
          <w:vertAlign w:val="superscript"/>
        </w:rPr>
        <w:t>85 </w:t>
      </w:r>
      <w:r>
        <w:rPr>
          <w:rFonts w:eastAsia="Arial"/>
          <w:color w:val="000000"/>
          <w:sz w:val="18"/>
        </w:rPr>
        <w:t xml:space="preserve"> Rubinstein &amp; Mukamal, </w:t>
      </w:r>
      <w:r>
        <w:rPr>
          <w:rFonts w:eastAsia="Arial"/>
          <w:i/>
          <w:color w:val="000000"/>
          <w:sz w:val="18"/>
        </w:rPr>
        <w:t>supra</w:t>
      </w:r>
      <w:r>
        <w:rPr>
          <w:rFonts w:eastAsia="Arial"/>
          <w:color w:val="000000"/>
          <w:sz w:val="18"/>
        </w:rPr>
        <w:t xml:space="preserve"> note 80, at 42.</w:t>
      </w:r>
    </w:p>
  </w:footnote>
  <w:footnote w:id="126">
    <w:p w14:paraId="56A0A63F" w14:textId="77777777" w:rsidR="005C4509" w:rsidRDefault="005C4509" w:rsidP="00966FB1">
      <w:pPr>
        <w:spacing w:before="200" w:line="240" w:lineRule="atLeast"/>
        <w:jc w:val="both"/>
      </w:pPr>
      <w:r>
        <w:rPr>
          <w:rFonts w:eastAsia="Arial"/>
          <w:color w:val="000000"/>
          <w:sz w:val="18"/>
          <w:vertAlign w:val="superscript"/>
        </w:rPr>
        <w:t>86 </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1.</w:t>
      </w:r>
    </w:p>
  </w:footnote>
  <w:footnote w:id="127">
    <w:p w14:paraId="6C16A9F5" w14:textId="77777777" w:rsidR="005C4509" w:rsidRDefault="005C4509" w:rsidP="00966FB1">
      <w:pPr>
        <w:spacing w:before="240" w:line="240" w:lineRule="atLeast"/>
        <w:jc w:val="both"/>
      </w:pPr>
      <w:r>
        <w:rPr>
          <w:rFonts w:eastAsia="Arial"/>
          <w:color w:val="000000"/>
          <w:sz w:val="18"/>
          <w:vertAlign w:val="superscript"/>
        </w:rPr>
        <w:t>87 </w:t>
      </w:r>
      <w:r>
        <w:rPr>
          <w:rFonts w:eastAsia="Arial"/>
          <w:color w:val="000000"/>
          <w:sz w:val="18"/>
        </w:rPr>
        <w:t xml:space="preserve"> 142 CONG. REC. S8, 493-02 (daily ed. July 23, 1996) (statement of Sen. Graham); Rubinstein &amp; Mukamal, </w:t>
      </w:r>
      <w:r>
        <w:rPr>
          <w:rFonts w:eastAsia="Arial"/>
          <w:i/>
          <w:color w:val="000000"/>
          <w:sz w:val="18"/>
        </w:rPr>
        <w:t>supra</w:t>
      </w:r>
      <w:r>
        <w:rPr>
          <w:rFonts w:eastAsia="Arial"/>
          <w:color w:val="000000"/>
          <w:sz w:val="18"/>
        </w:rPr>
        <w:t xml:space="preserve"> note 80, at 42. The Seventh Circuit has held that Section 115 does not violate the Equal Protection or Due Process clauses of the Constitution because Congress' rational basis for enacting the statute was to deter drug use. </w:t>
      </w:r>
      <w:r>
        <w:rPr>
          <w:rFonts w:eastAsia="Arial"/>
          <w:i/>
          <w:color w:val="000000"/>
          <w:sz w:val="18"/>
        </w:rPr>
        <w:t>See</w:t>
      </w:r>
      <w:r>
        <w:rPr>
          <w:rFonts w:eastAsia="Arial"/>
          <w:color w:val="000000"/>
          <w:sz w:val="18"/>
        </w:rPr>
        <w:t xml:space="preserve">  </w:t>
      </w:r>
      <w:hyperlink r:id="rId218" w:history="1">
        <w:r>
          <w:rPr>
            <w:rFonts w:eastAsia="Arial"/>
            <w:i/>
            <w:color w:val="0077CC"/>
            <w:sz w:val="18"/>
            <w:u w:val="single"/>
            <w:shd w:val="clear" w:color="auto" w:fill="FFFFFF"/>
          </w:rPr>
          <w:t>Turner v. Glickman, 207 F.3d 419, 425-27 (7th Cir. 2000).</w:t>
        </w:r>
      </w:hyperlink>
      <w:r>
        <w:rPr>
          <w:rFonts w:eastAsia="Arial"/>
          <w:color w:val="000000"/>
          <w:sz w:val="18"/>
        </w:rPr>
        <w:t xml:space="preserve"> The statute also does not violate the Double Jeopardy clause of the Constitution because Congress intended for the penalty to be civil in nature. </w:t>
      </w:r>
      <w:hyperlink r:id="rId219" w:history="1">
        <w:r>
          <w:rPr>
            <w:rFonts w:eastAsia="Arial"/>
            <w:i/>
            <w:color w:val="0077CC"/>
            <w:sz w:val="18"/>
            <w:u w:val="single"/>
            <w:shd w:val="clear" w:color="auto" w:fill="FFFFFF"/>
          </w:rPr>
          <w:t>Id. at 429-31.</w:t>
        </w:r>
      </w:hyperlink>
    </w:p>
  </w:footnote>
  <w:footnote w:id="128">
    <w:p w14:paraId="3C830B7F" w14:textId="77777777" w:rsidR="005C4509" w:rsidRDefault="005C4509" w:rsidP="00966FB1">
      <w:pPr>
        <w:spacing w:before="200" w:line="240" w:lineRule="atLeast"/>
        <w:jc w:val="both"/>
      </w:pPr>
      <w:r>
        <w:rPr>
          <w:rFonts w:eastAsia="Arial"/>
          <w:color w:val="000000"/>
          <w:sz w:val="18"/>
          <w:vertAlign w:val="superscript"/>
        </w:rPr>
        <w:t>88 </w:t>
      </w:r>
      <w:r>
        <w:rPr>
          <w:rFonts w:eastAsia="Arial"/>
          <w:color w:val="000000"/>
          <w:sz w:val="18"/>
        </w:rPr>
        <w:t xml:space="preserve"> Barnett, </w:t>
      </w:r>
      <w:r>
        <w:rPr>
          <w:rFonts w:eastAsia="Arial"/>
          <w:i/>
          <w:color w:val="000000"/>
          <w:sz w:val="18"/>
        </w:rPr>
        <w:t>supra</w:t>
      </w:r>
      <w:r>
        <w:rPr>
          <w:rFonts w:eastAsia="Arial"/>
          <w:color w:val="000000"/>
          <w:sz w:val="18"/>
        </w:rPr>
        <w:t xml:space="preserve"> note 55.</w:t>
      </w:r>
    </w:p>
  </w:footnote>
  <w:footnote w:id="129">
    <w:p w14:paraId="0A5CEBC5" w14:textId="77777777" w:rsidR="005C4509" w:rsidRDefault="005C4509" w:rsidP="00966FB1">
      <w:pPr>
        <w:spacing w:before="200" w:line="240" w:lineRule="atLeast"/>
        <w:jc w:val="both"/>
      </w:pPr>
      <w:r>
        <w:rPr>
          <w:rFonts w:eastAsia="Arial"/>
          <w:color w:val="000000"/>
          <w:sz w:val="18"/>
          <w:vertAlign w:val="superscript"/>
        </w:rPr>
        <w:t>89 </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1-2.</w:t>
      </w:r>
    </w:p>
  </w:footnote>
  <w:footnote w:id="130">
    <w:p w14:paraId="29CD95DF" w14:textId="77777777" w:rsidR="005C4509" w:rsidRDefault="005C4509" w:rsidP="00966FB1">
      <w:pPr>
        <w:spacing w:before="200" w:line="240" w:lineRule="atLeast"/>
        <w:jc w:val="both"/>
      </w:pPr>
      <w:r>
        <w:rPr>
          <w:rFonts w:eastAsia="Arial"/>
          <w:color w:val="000000"/>
          <w:sz w:val="18"/>
          <w:vertAlign w:val="superscript"/>
        </w:rPr>
        <w:t>90 </w:t>
      </w:r>
      <w:r>
        <w:rPr>
          <w:rFonts w:eastAsia="Arial"/>
          <w:color w:val="000000"/>
          <w:sz w:val="18"/>
        </w:rPr>
        <w:t xml:space="preserve">  </w:t>
      </w:r>
      <w:r>
        <w:rPr>
          <w:rFonts w:eastAsia="Arial"/>
          <w:i/>
          <w:color w:val="000000"/>
          <w:sz w:val="18"/>
        </w:rPr>
        <w:t>Id.</w:t>
      </w:r>
      <w:r>
        <w:rPr>
          <w:rFonts w:eastAsia="Arial"/>
          <w:color w:val="000000"/>
          <w:sz w:val="18"/>
        </w:rPr>
        <w:t xml:space="preserve"> at 1.</w:t>
      </w:r>
    </w:p>
  </w:footnote>
  <w:footnote w:id="131">
    <w:p w14:paraId="4EFB536B" w14:textId="77777777" w:rsidR="005C4509" w:rsidRDefault="005C4509" w:rsidP="00966FB1">
      <w:pPr>
        <w:spacing w:before="200" w:line="240" w:lineRule="atLeast"/>
        <w:jc w:val="both"/>
      </w:pPr>
      <w:r>
        <w:rPr>
          <w:rFonts w:eastAsia="Arial"/>
          <w:color w:val="000000"/>
          <w:sz w:val="18"/>
          <w:vertAlign w:val="superscript"/>
        </w:rPr>
        <w:t>91 </w:t>
      </w:r>
      <w:r>
        <w:rPr>
          <w:rFonts w:eastAsia="Arial"/>
          <w:color w:val="000000"/>
          <w:sz w:val="18"/>
        </w:rPr>
        <w:t xml:space="preserve"> Forty-eight percent of the women affected by the welfare ban are Black or Latina, which far surpasses the percentage one would expect given that Black and Latina women constitute a small minority of the female population. </w:t>
      </w:r>
      <w:r>
        <w:rPr>
          <w:rFonts w:eastAsia="Arial"/>
          <w:i/>
          <w:color w:val="000000"/>
          <w:sz w:val="18"/>
        </w:rPr>
        <w:t>Id.</w:t>
      </w:r>
      <w:r>
        <w:rPr>
          <w:rFonts w:eastAsia="Arial"/>
          <w:color w:val="000000"/>
          <w:sz w:val="18"/>
        </w:rPr>
        <w:t xml:space="preserve"> at 2, 6-7.</w:t>
      </w:r>
    </w:p>
  </w:footnote>
  <w:footnote w:id="132">
    <w:p w14:paraId="1ABC0DAF" w14:textId="77777777" w:rsidR="005C4509" w:rsidRDefault="005C4509" w:rsidP="00966FB1">
      <w:pPr>
        <w:spacing w:before="200" w:line="240" w:lineRule="atLeast"/>
        <w:jc w:val="both"/>
      </w:pPr>
      <w:r>
        <w:rPr>
          <w:rFonts w:eastAsia="Arial"/>
          <w:color w:val="000000"/>
          <w:sz w:val="18"/>
          <w:vertAlign w:val="superscript"/>
        </w:rPr>
        <w:t>92 </w:t>
      </w:r>
      <w:r>
        <w:rPr>
          <w:rFonts w:eastAsia="Arial"/>
          <w:color w:val="000000"/>
          <w:sz w:val="18"/>
        </w:rPr>
        <w:t xml:space="preserve">  </w:t>
      </w:r>
      <w:r>
        <w:rPr>
          <w:rFonts w:eastAsia="Arial"/>
          <w:i/>
          <w:color w:val="000000"/>
          <w:sz w:val="18"/>
        </w:rPr>
        <w:t>Id.</w:t>
      </w:r>
      <w:r>
        <w:rPr>
          <w:rFonts w:eastAsia="Arial"/>
          <w:color w:val="000000"/>
          <w:sz w:val="18"/>
        </w:rPr>
        <w:t xml:space="preserve"> at 6.</w:t>
      </w:r>
    </w:p>
  </w:footnote>
  <w:footnote w:id="133">
    <w:p w14:paraId="3B65B5EF" w14:textId="77777777" w:rsidR="005C4509" w:rsidRDefault="005C4509" w:rsidP="00966FB1">
      <w:pPr>
        <w:spacing w:before="200" w:line="240" w:lineRule="atLeast"/>
        <w:jc w:val="both"/>
      </w:pPr>
      <w:r>
        <w:rPr>
          <w:rFonts w:eastAsia="Arial"/>
          <w:color w:val="000000"/>
          <w:sz w:val="18"/>
          <w:vertAlign w:val="superscript"/>
        </w:rPr>
        <w:t>93 </w:t>
      </w:r>
      <w:r>
        <w:rPr>
          <w:rFonts w:eastAsia="Arial"/>
          <w:color w:val="000000"/>
          <w:sz w:val="18"/>
        </w:rPr>
        <w:t xml:space="preserve">  </w:t>
      </w:r>
      <w:r>
        <w:rPr>
          <w:rFonts w:eastAsia="Arial"/>
          <w:i/>
          <w:color w:val="000000"/>
          <w:sz w:val="18"/>
        </w:rPr>
        <w:t>Id.</w:t>
      </w:r>
    </w:p>
  </w:footnote>
  <w:footnote w:id="134">
    <w:p w14:paraId="480176FA" w14:textId="77777777" w:rsidR="005C4509" w:rsidRDefault="005C4509" w:rsidP="00966FB1">
      <w:pPr>
        <w:spacing w:before="200" w:line="240" w:lineRule="atLeast"/>
        <w:jc w:val="both"/>
      </w:pPr>
      <w:r>
        <w:rPr>
          <w:rFonts w:eastAsia="Arial"/>
          <w:color w:val="000000"/>
          <w:sz w:val="18"/>
          <w:vertAlign w:val="superscript"/>
        </w:rPr>
        <w:t>94 </w:t>
      </w:r>
      <w:r>
        <w:rPr>
          <w:rFonts w:eastAsia="Arial"/>
          <w:color w:val="000000"/>
          <w:sz w:val="18"/>
        </w:rPr>
        <w:t xml:space="preserve">  </w:t>
      </w:r>
      <w:r>
        <w:rPr>
          <w:rFonts w:eastAsia="Arial"/>
          <w:i/>
          <w:color w:val="000000"/>
          <w:sz w:val="18"/>
        </w:rPr>
        <w:t>Id.</w:t>
      </w:r>
      <w:r>
        <w:rPr>
          <w:rFonts w:eastAsia="Arial"/>
          <w:color w:val="000000"/>
          <w:sz w:val="18"/>
        </w:rPr>
        <w:t xml:space="preserve"> at 19.</w:t>
      </w:r>
    </w:p>
  </w:footnote>
  <w:footnote w:id="135">
    <w:p w14:paraId="7B3E36E6" w14:textId="77777777" w:rsidR="005C4509" w:rsidRDefault="005C4509" w:rsidP="00966FB1">
      <w:pPr>
        <w:spacing w:before="200" w:line="240" w:lineRule="atLeast"/>
        <w:jc w:val="both"/>
      </w:pPr>
      <w:r>
        <w:rPr>
          <w:rFonts w:eastAsia="Arial"/>
          <w:color w:val="000000"/>
          <w:sz w:val="18"/>
          <w:vertAlign w:val="superscript"/>
        </w:rPr>
        <w:t>95 </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19 (citing Survey of Inmates in State and Federal Correctional Facilities, 1997).</w:t>
      </w:r>
    </w:p>
  </w:footnote>
  <w:footnote w:id="136">
    <w:p w14:paraId="1CCD0CD8" w14:textId="77777777" w:rsidR="005C4509" w:rsidRDefault="005C4509" w:rsidP="00966FB1">
      <w:pPr>
        <w:spacing w:before="200" w:line="240" w:lineRule="atLeast"/>
        <w:jc w:val="both"/>
      </w:pPr>
      <w:r>
        <w:rPr>
          <w:rFonts w:eastAsia="Arial"/>
          <w:color w:val="000000"/>
          <w:sz w:val="18"/>
          <w:vertAlign w:val="superscript"/>
        </w:rPr>
        <w:t>96 </w:t>
      </w:r>
      <w:r>
        <w:rPr>
          <w:rFonts w:eastAsia="Arial"/>
          <w:color w:val="000000"/>
          <w:sz w:val="18"/>
        </w:rPr>
        <w:t xml:space="preserve">  </w:t>
      </w:r>
      <w:r>
        <w:rPr>
          <w:rFonts w:eastAsia="Arial"/>
          <w:i/>
          <w:color w:val="000000"/>
          <w:sz w:val="18"/>
        </w:rPr>
        <w:t>Id.</w:t>
      </w:r>
    </w:p>
  </w:footnote>
  <w:footnote w:id="137">
    <w:p w14:paraId="0172748B" w14:textId="77777777" w:rsidR="005C4509" w:rsidRDefault="005C4509" w:rsidP="00966FB1">
      <w:pPr>
        <w:spacing w:before="200" w:line="240" w:lineRule="atLeast"/>
        <w:jc w:val="both"/>
      </w:pPr>
      <w:r>
        <w:rPr>
          <w:rFonts w:eastAsia="Arial"/>
          <w:color w:val="000000"/>
          <w:sz w:val="18"/>
          <w:vertAlign w:val="superscript"/>
        </w:rPr>
        <w:t>97 </w:t>
      </w:r>
      <w:r>
        <w:rPr>
          <w:rFonts w:eastAsia="Arial"/>
          <w:color w:val="000000"/>
          <w:sz w:val="18"/>
        </w:rPr>
        <w:t xml:space="preserve"> Rubinstein &amp; Mukamal, </w:t>
      </w:r>
      <w:r>
        <w:rPr>
          <w:rFonts w:eastAsia="Arial"/>
          <w:i/>
          <w:color w:val="000000"/>
          <w:sz w:val="18"/>
        </w:rPr>
        <w:t>supra</w:t>
      </w:r>
      <w:r>
        <w:rPr>
          <w:rFonts w:eastAsia="Arial"/>
          <w:color w:val="000000"/>
          <w:sz w:val="18"/>
        </w:rPr>
        <w:t xml:space="preserve"> note 80, at 37.</w:t>
      </w:r>
    </w:p>
  </w:footnote>
  <w:footnote w:id="138">
    <w:p w14:paraId="1EEDA335" w14:textId="77777777" w:rsidR="005C4509" w:rsidRDefault="005C4509" w:rsidP="00966FB1">
      <w:pPr>
        <w:spacing w:before="200" w:line="240" w:lineRule="atLeast"/>
        <w:jc w:val="both"/>
      </w:pPr>
      <w:r>
        <w:rPr>
          <w:rFonts w:eastAsia="Arial"/>
          <w:color w:val="000000"/>
          <w:sz w:val="18"/>
          <w:vertAlign w:val="superscript"/>
        </w:rPr>
        <w:t>98 </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13.</w:t>
      </w:r>
    </w:p>
  </w:footnote>
  <w:footnote w:id="139">
    <w:p w14:paraId="1D9AF043" w14:textId="77777777" w:rsidR="005C4509" w:rsidRDefault="005C4509" w:rsidP="00966FB1">
      <w:pPr>
        <w:spacing w:before="240" w:line="240" w:lineRule="atLeast"/>
        <w:jc w:val="both"/>
      </w:pPr>
      <w:r>
        <w:rPr>
          <w:rFonts w:eastAsia="Arial"/>
          <w:color w:val="000000"/>
          <w:sz w:val="18"/>
          <w:vertAlign w:val="superscript"/>
        </w:rPr>
        <w:t>99 </w:t>
      </w:r>
      <w:r>
        <w:rPr>
          <w:rFonts w:eastAsia="Arial"/>
          <w:color w:val="000000"/>
          <w:sz w:val="18"/>
        </w:rPr>
        <w:t xml:space="preserve"> CHRISTOPHER J. MUMOLA, </w:t>
      </w:r>
      <w:r>
        <w:rPr>
          <w:rFonts w:eastAsia="Arial"/>
          <w:b/>
          <w:i/>
          <w:color w:val="000000"/>
          <w:sz w:val="18"/>
          <w:u w:val="single"/>
        </w:rPr>
        <w:t>U.S.</w:t>
      </w:r>
      <w:r>
        <w:rPr>
          <w:rFonts w:eastAsia="Arial"/>
          <w:color w:val="000000"/>
          <w:sz w:val="18"/>
        </w:rPr>
        <w:t xml:space="preserve"> DEP'T OF JUSTICE, INCARCERATED PARENTS AND THEIR CHILDREN 1, 3 (2000), </w:t>
      </w:r>
      <w:r>
        <w:rPr>
          <w:rFonts w:eastAsia="Arial"/>
          <w:i/>
          <w:color w:val="000000"/>
          <w:sz w:val="18"/>
        </w:rPr>
        <w:t>available at</w:t>
      </w:r>
      <w:r>
        <w:rPr>
          <w:rFonts w:eastAsia="Arial"/>
          <w:color w:val="000000"/>
          <w:sz w:val="18"/>
        </w:rPr>
        <w:t xml:space="preserve"> </w:t>
      </w:r>
      <w:hyperlink r:id="rId220" w:history="1">
        <w:r>
          <w:rPr>
            <w:rFonts w:eastAsia="Arial"/>
            <w:i/>
            <w:color w:val="0077CC"/>
            <w:sz w:val="18"/>
            <w:u w:val="single"/>
            <w:shd w:val="clear" w:color="auto" w:fill="FFFFFF"/>
          </w:rPr>
          <w:t>http://www.ojp.usdoj.gov/bjs/pub/pdf/iptc.pdf</w:t>
        </w:r>
      </w:hyperlink>
      <w:r>
        <w:rPr>
          <w:rFonts w:eastAsia="Arial"/>
          <w:color w:val="000000"/>
          <w:sz w:val="18"/>
        </w:rPr>
        <w:t xml:space="preserve">. </w:t>
      </w:r>
    </w:p>
  </w:footnote>
  <w:footnote w:id="140">
    <w:p w14:paraId="5C000EAC" w14:textId="77777777" w:rsidR="005C4509" w:rsidRDefault="005C4509" w:rsidP="00966FB1">
      <w:pPr>
        <w:spacing w:before="200" w:line="240" w:lineRule="atLeast"/>
        <w:jc w:val="both"/>
      </w:pPr>
      <w:r>
        <w:rPr>
          <w:rFonts w:eastAsia="Arial"/>
          <w:color w:val="000000"/>
          <w:sz w:val="18"/>
          <w:vertAlign w:val="superscript"/>
        </w:rPr>
        <w:t>100 </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14.</w:t>
      </w:r>
    </w:p>
  </w:footnote>
  <w:footnote w:id="141">
    <w:p w14:paraId="093FB3E4" w14:textId="77777777" w:rsidR="005C4509" w:rsidRDefault="005C4509" w:rsidP="00966FB1">
      <w:pPr>
        <w:spacing w:before="200" w:line="240" w:lineRule="atLeast"/>
        <w:jc w:val="both"/>
      </w:pPr>
      <w:r>
        <w:rPr>
          <w:rFonts w:eastAsia="Arial"/>
          <w:color w:val="000000"/>
          <w:sz w:val="18"/>
          <w:vertAlign w:val="superscript"/>
        </w:rPr>
        <w:t>101 </w:t>
      </w:r>
      <w:r>
        <w:rPr>
          <w:rFonts w:eastAsia="Arial"/>
          <w:color w:val="000000"/>
          <w:sz w:val="18"/>
        </w:rPr>
        <w:t xml:space="preserve">  </w:t>
      </w:r>
      <w:r>
        <w:rPr>
          <w:rFonts w:eastAsia="Arial"/>
          <w:i/>
          <w:color w:val="000000"/>
          <w:sz w:val="18"/>
        </w:rPr>
        <w:t>Id.</w:t>
      </w:r>
      <w:r>
        <w:rPr>
          <w:rFonts w:eastAsia="Arial"/>
          <w:color w:val="000000"/>
          <w:sz w:val="18"/>
        </w:rPr>
        <w:t xml:space="preserve"> at 13.</w:t>
      </w:r>
    </w:p>
  </w:footnote>
  <w:footnote w:id="142">
    <w:p w14:paraId="6BE4F410" w14:textId="77777777" w:rsidR="005C4509" w:rsidRDefault="005C4509" w:rsidP="00966FB1">
      <w:pPr>
        <w:spacing w:before="200" w:line="240" w:lineRule="atLeast"/>
        <w:jc w:val="both"/>
      </w:pPr>
      <w:r>
        <w:rPr>
          <w:rFonts w:eastAsia="Arial"/>
          <w:color w:val="000000"/>
          <w:sz w:val="18"/>
          <w:vertAlign w:val="superscript"/>
        </w:rPr>
        <w:t>102 </w:t>
      </w:r>
      <w:r>
        <w:rPr>
          <w:rFonts w:eastAsia="Arial"/>
          <w:color w:val="000000"/>
          <w:sz w:val="18"/>
        </w:rPr>
        <w:t xml:space="preserve"> Barnett, </w:t>
      </w:r>
      <w:r>
        <w:rPr>
          <w:rFonts w:eastAsia="Arial"/>
          <w:i/>
          <w:color w:val="000000"/>
          <w:sz w:val="18"/>
        </w:rPr>
        <w:t>supra</w:t>
      </w:r>
      <w:r>
        <w:rPr>
          <w:rFonts w:eastAsia="Arial"/>
          <w:color w:val="000000"/>
          <w:sz w:val="18"/>
        </w:rPr>
        <w:t xml:space="preserve"> note 55.</w:t>
      </w:r>
    </w:p>
  </w:footnote>
  <w:footnote w:id="143">
    <w:p w14:paraId="7F1387B2" w14:textId="77777777" w:rsidR="005C4509" w:rsidRDefault="005C4509" w:rsidP="0002299E">
      <w:pPr>
        <w:spacing w:before="240" w:line="240" w:lineRule="atLeast"/>
        <w:jc w:val="both"/>
      </w:pPr>
      <w:r>
        <w:rPr>
          <w:rFonts w:eastAsia="Arial"/>
          <w:color w:val="000000"/>
          <w:sz w:val="18"/>
          <w:vertAlign w:val="superscript"/>
        </w:rPr>
        <w:t>183 </w:t>
      </w:r>
      <w:r>
        <w:rPr>
          <w:rFonts w:eastAsia="Arial"/>
          <w:color w:val="000000"/>
          <w:sz w:val="18"/>
        </w:rPr>
        <w:t xml:space="preserve"> See, e.g., A.B.A. Standards for Criminal Justice, </w:t>
      </w:r>
      <w:r>
        <w:rPr>
          <w:rFonts w:eastAsia="Arial"/>
          <w:b/>
          <w:i/>
          <w:color w:val="000000"/>
          <w:sz w:val="18"/>
          <w:u w:val="single"/>
        </w:rPr>
        <w:t>Collateral</w:t>
      </w:r>
      <w:r>
        <w:rPr>
          <w:rFonts w:eastAsia="Arial"/>
          <w:color w:val="000000"/>
          <w:sz w:val="18"/>
        </w:rPr>
        <w:t xml:space="preserve"> Sanctions and Discretionary Disqualification of Convicted Persons (3d ed. 2004) [hereinafter A.B.A. Standards]; Nora V. Demleitner, Preventing Internal Exile: The Need for Restrictions on </w:t>
      </w:r>
      <w:r>
        <w:rPr>
          <w:rFonts w:eastAsia="Arial"/>
          <w:b/>
          <w:i/>
          <w:color w:val="000000"/>
          <w:sz w:val="18"/>
          <w:u w:val="single"/>
        </w:rPr>
        <w:t>Collateral Consequences</w:t>
      </w:r>
      <w:r>
        <w:rPr>
          <w:rFonts w:eastAsia="Arial"/>
          <w:color w:val="000000"/>
          <w:sz w:val="18"/>
        </w:rPr>
        <w:t xml:space="preserve">, </w:t>
      </w:r>
      <w:hyperlink r:id="rId221" w:history="1">
        <w:r>
          <w:rPr>
            <w:rFonts w:eastAsia="Arial"/>
            <w:i/>
            <w:color w:val="0077CC"/>
            <w:sz w:val="18"/>
            <w:u w:val="single"/>
          </w:rPr>
          <w:t>11 Stan. L. &amp; Pol'y Rev. 153 (1999);</w:t>
        </w:r>
      </w:hyperlink>
      <w:r>
        <w:rPr>
          <w:rFonts w:eastAsia="Arial"/>
          <w:color w:val="000000"/>
          <w:sz w:val="18"/>
        </w:rPr>
        <w:t xml:space="preserve"> Margaret Colgate Love, Starting Over with a Clean Slate: In Praise of a Forgotten Section of the Model Penal Code, </w:t>
      </w:r>
      <w:hyperlink r:id="rId222" w:history="1">
        <w:r>
          <w:rPr>
            <w:rFonts w:eastAsia="Arial"/>
            <w:i/>
            <w:color w:val="0077CC"/>
            <w:sz w:val="18"/>
            <w:u w:val="single"/>
          </w:rPr>
          <w:t>30 Fordham Urb. L.J. 1705 (2003);</w:t>
        </w:r>
      </w:hyperlink>
      <w:r>
        <w:rPr>
          <w:rFonts w:eastAsia="Arial"/>
          <w:color w:val="000000"/>
          <w:sz w:val="18"/>
        </w:rPr>
        <w:t xml:space="preserve"> Michael Pinard &amp; Anthony C. Thompson, Offender Reentry and the </w:t>
      </w:r>
      <w:r>
        <w:rPr>
          <w:rFonts w:eastAsia="Arial"/>
          <w:b/>
          <w:i/>
          <w:color w:val="000000"/>
          <w:sz w:val="18"/>
          <w:u w:val="single"/>
        </w:rPr>
        <w:t>Collateral Consequences</w:t>
      </w:r>
      <w:r>
        <w:rPr>
          <w:rFonts w:eastAsia="Arial"/>
          <w:color w:val="000000"/>
          <w:sz w:val="18"/>
        </w:rPr>
        <w:t xml:space="preserve"> of Criminal Convictions: An Introduction, </w:t>
      </w:r>
      <w:hyperlink r:id="rId223" w:history="1">
        <w:r>
          <w:rPr>
            <w:rFonts w:eastAsia="Arial"/>
            <w:i/>
            <w:color w:val="0077CC"/>
            <w:sz w:val="18"/>
            <w:u w:val="single"/>
          </w:rPr>
          <w:t>30 N.Y.U. Rev. L. &amp; Soc. Change 585 (2006).</w:t>
        </w:r>
      </w:hyperlink>
      <w:r>
        <w:rPr>
          <w:rFonts w:eastAsia="Arial"/>
          <w:color w:val="000000"/>
          <w:sz w:val="18"/>
        </w:rPr>
        <w:t xml:space="preserve">  </w:t>
      </w:r>
    </w:p>
  </w:footnote>
  <w:footnote w:id="144">
    <w:p w14:paraId="2B49BE3D" w14:textId="77777777" w:rsidR="005C4509" w:rsidRDefault="005C4509" w:rsidP="0002299E">
      <w:pPr>
        <w:spacing w:before="120" w:line="240" w:lineRule="atLeast"/>
        <w:jc w:val="both"/>
      </w:pPr>
      <w:r>
        <w:rPr>
          <w:rFonts w:eastAsia="Arial"/>
          <w:color w:val="000000"/>
          <w:sz w:val="18"/>
          <w:vertAlign w:val="superscript"/>
        </w:rPr>
        <w:t>184 </w:t>
      </w:r>
      <w:r>
        <w:rPr>
          <w:rFonts w:eastAsia="Arial"/>
          <w:color w:val="000000"/>
          <w:sz w:val="18"/>
        </w:rPr>
        <w:t xml:space="preserve"> See Pinard &amp; Thompson, supra note 183, at 586-87. </w:t>
      </w:r>
    </w:p>
  </w:footnote>
  <w:footnote w:id="145">
    <w:p w14:paraId="4713E654" w14:textId="77777777" w:rsidR="005C4509" w:rsidRDefault="005C4509" w:rsidP="0002299E">
      <w:pPr>
        <w:spacing w:before="200" w:line="240" w:lineRule="atLeast"/>
        <w:jc w:val="both"/>
      </w:pPr>
      <w:r>
        <w:rPr>
          <w:rFonts w:eastAsia="Arial"/>
          <w:color w:val="000000"/>
          <w:sz w:val="18"/>
          <w:vertAlign w:val="superscript"/>
        </w:rPr>
        <w:t>185 </w:t>
      </w:r>
      <w:r>
        <w:rPr>
          <w:rFonts w:eastAsia="Arial"/>
          <w:color w:val="000000"/>
          <w:sz w:val="18"/>
        </w:rPr>
        <w:t xml:space="preserve"> See id. at 590 ("Not only offenders, but many participants in the criminal justice system remain wholly unaware of these consequences."); id. at 592 ("Typically, though, these </w:t>
      </w:r>
      <w:r>
        <w:rPr>
          <w:rFonts w:eastAsia="Arial"/>
          <w:b/>
          <w:i/>
          <w:color w:val="000000"/>
          <w:sz w:val="18"/>
          <w:u w:val="single"/>
        </w:rPr>
        <w:t>collateral consequences</w:t>
      </w:r>
      <w:r>
        <w:rPr>
          <w:rFonts w:eastAsia="Arial"/>
          <w:color w:val="000000"/>
          <w:sz w:val="18"/>
        </w:rPr>
        <w:t xml:space="preserve"> do not surface in counseling sessions between lawyer and client or in the course of a guilty plea colloquy in court."). </w:t>
      </w:r>
    </w:p>
  </w:footnote>
  <w:footnote w:id="146">
    <w:p w14:paraId="6177F8E2" w14:textId="77777777" w:rsidR="005C4509" w:rsidRDefault="005C4509" w:rsidP="0002299E">
      <w:pPr>
        <w:spacing w:before="120" w:line="240" w:lineRule="atLeast"/>
        <w:jc w:val="both"/>
      </w:pPr>
      <w:r>
        <w:rPr>
          <w:rFonts w:eastAsia="Arial"/>
          <w:color w:val="000000"/>
          <w:sz w:val="18"/>
          <w:vertAlign w:val="superscript"/>
        </w:rPr>
        <w:t>186 </w:t>
      </w:r>
      <w:r>
        <w:rPr>
          <w:rFonts w:eastAsia="Arial"/>
          <w:color w:val="000000"/>
          <w:sz w:val="18"/>
        </w:rPr>
        <w:t xml:space="preserve"> See Demleitner, supra note 183, at 154. </w:t>
      </w:r>
    </w:p>
  </w:footnote>
  <w:footnote w:id="147">
    <w:p w14:paraId="5293E42C" w14:textId="77777777" w:rsidR="005C4509" w:rsidRDefault="005C4509" w:rsidP="0002299E">
      <w:pPr>
        <w:spacing w:before="120" w:line="240" w:lineRule="atLeast"/>
        <w:jc w:val="both"/>
      </w:pPr>
      <w:r>
        <w:rPr>
          <w:rFonts w:eastAsia="Arial"/>
          <w:color w:val="000000"/>
          <w:sz w:val="18"/>
          <w:vertAlign w:val="superscript"/>
        </w:rPr>
        <w:t>187 </w:t>
      </w:r>
      <w:r>
        <w:rPr>
          <w:rFonts w:eastAsia="Arial"/>
          <w:color w:val="000000"/>
          <w:sz w:val="18"/>
        </w:rPr>
        <w:t xml:space="preserve"> Shlomo Shoham, The Mark of Cain: The Stigma Theory of Crime and Social Deviation 9 (1970). </w:t>
      </w:r>
    </w:p>
  </w:footnote>
  <w:footnote w:id="148">
    <w:p w14:paraId="0EA53F4F" w14:textId="77777777" w:rsidR="005C4509" w:rsidRDefault="005C4509" w:rsidP="0002299E">
      <w:pPr>
        <w:spacing w:before="120" w:line="240" w:lineRule="atLeast"/>
        <w:jc w:val="both"/>
      </w:pPr>
      <w:r>
        <w:rPr>
          <w:rFonts w:eastAsia="Arial"/>
          <w:color w:val="000000"/>
          <w:sz w:val="18"/>
          <w:vertAlign w:val="superscript"/>
        </w:rPr>
        <w:t>188 </w:t>
      </w:r>
      <w:r>
        <w:rPr>
          <w:rFonts w:eastAsia="Arial"/>
          <w:color w:val="000000"/>
          <w:sz w:val="18"/>
        </w:rPr>
        <w:t xml:space="preserve"> Id. at 155. </w:t>
      </w:r>
    </w:p>
  </w:footnote>
  <w:footnote w:id="149">
    <w:p w14:paraId="747A6C93" w14:textId="77777777" w:rsidR="005C4509" w:rsidRDefault="005C4509" w:rsidP="0002299E">
      <w:pPr>
        <w:spacing w:before="120" w:line="240" w:lineRule="atLeast"/>
        <w:jc w:val="both"/>
      </w:pPr>
      <w:r>
        <w:rPr>
          <w:rFonts w:eastAsia="Arial"/>
          <w:color w:val="000000"/>
          <w:sz w:val="18"/>
          <w:vertAlign w:val="superscript"/>
        </w:rPr>
        <w:t>189 </w:t>
      </w:r>
      <w:r>
        <w:rPr>
          <w:rFonts w:eastAsia="Arial"/>
          <w:color w:val="000000"/>
          <w:sz w:val="18"/>
        </w:rPr>
        <w:t xml:space="preserve"> See Demleitner, supra note 183, at 156-57. </w:t>
      </w:r>
    </w:p>
  </w:footnote>
  <w:footnote w:id="150">
    <w:p w14:paraId="17A42A0F" w14:textId="77777777" w:rsidR="005C4509" w:rsidRDefault="005C4509" w:rsidP="0002299E">
      <w:pPr>
        <w:spacing w:before="120" w:line="240" w:lineRule="atLeast"/>
        <w:jc w:val="both"/>
      </w:pPr>
      <w:r>
        <w:rPr>
          <w:rFonts w:eastAsia="Arial"/>
          <w:color w:val="000000"/>
          <w:sz w:val="18"/>
          <w:vertAlign w:val="superscript"/>
        </w:rPr>
        <w:t>190 </w:t>
      </w:r>
      <w:r>
        <w:rPr>
          <w:rFonts w:eastAsia="Arial"/>
          <w:color w:val="000000"/>
          <w:sz w:val="18"/>
        </w:rPr>
        <w:t xml:space="preserve"> See, e.g., Christopher Stafford, Note, Finding Work: How to Approach the Intersection of Prisoner Reentry, Employment, and Recidivism, 13 Geo. J. on Poverty L. &amp; Pol'y 261, 269 (2006). </w:t>
      </w:r>
    </w:p>
  </w:footnote>
  <w:footnote w:id="151">
    <w:p w14:paraId="0FEE2F3C" w14:textId="77777777" w:rsidR="005C4509" w:rsidRDefault="005C4509" w:rsidP="0002299E">
      <w:pPr>
        <w:spacing w:before="120" w:line="240" w:lineRule="atLeast"/>
        <w:jc w:val="both"/>
      </w:pPr>
      <w:r>
        <w:rPr>
          <w:rFonts w:eastAsia="Arial"/>
          <w:color w:val="000000"/>
          <w:sz w:val="18"/>
          <w:vertAlign w:val="superscript"/>
        </w:rPr>
        <w:t>191 </w:t>
      </w:r>
      <w:r>
        <w:rPr>
          <w:rFonts w:eastAsia="Arial"/>
          <w:color w:val="000000"/>
          <w:sz w:val="18"/>
        </w:rPr>
        <w:t xml:space="preserve"> Id. (citing Travis, supra note 182, at 164). </w:t>
      </w:r>
    </w:p>
  </w:footnote>
  <w:footnote w:id="152">
    <w:p w14:paraId="3F96C399" w14:textId="77777777" w:rsidR="005C4509" w:rsidRDefault="005C4509" w:rsidP="0002299E">
      <w:pPr>
        <w:spacing w:before="240" w:line="240" w:lineRule="atLeast"/>
        <w:jc w:val="both"/>
      </w:pPr>
      <w:r>
        <w:rPr>
          <w:rFonts w:eastAsia="Arial"/>
          <w:color w:val="000000"/>
          <w:sz w:val="18"/>
          <w:vertAlign w:val="superscript"/>
        </w:rPr>
        <w:t>192 </w:t>
      </w:r>
      <w:r>
        <w:rPr>
          <w:rFonts w:eastAsia="Arial"/>
          <w:color w:val="000000"/>
          <w:sz w:val="18"/>
        </w:rPr>
        <w:t xml:space="preserve"> Miriam J. Aukerman, The Somewhat Suspect Class: Towards a Constitutional Framework for Evaluating Occupational Restrictions Affecting People with Criminal Records, </w:t>
      </w:r>
      <w:hyperlink r:id="rId224" w:history="1">
        <w:r>
          <w:rPr>
            <w:rFonts w:eastAsia="Arial"/>
            <w:i/>
            <w:color w:val="0077CC"/>
            <w:sz w:val="18"/>
            <w:u w:val="single"/>
          </w:rPr>
          <w:t>7 J.L. Soc'y 18, 22 (2005)</w:t>
        </w:r>
      </w:hyperlink>
      <w:r>
        <w:rPr>
          <w:rFonts w:eastAsia="Arial"/>
          <w:color w:val="000000"/>
          <w:sz w:val="18"/>
        </w:rPr>
        <w:t xml:space="preserve"> (citing Jeremy Travis, Amy L. Soloman &amp; Michelle Waul, From Prison to Home: The Dimensions and Consequences of Prisoner Reentry 31 (2001)). </w:t>
      </w:r>
    </w:p>
  </w:footnote>
  <w:footnote w:id="153">
    <w:p w14:paraId="15DAA445" w14:textId="77777777" w:rsidR="005C4509" w:rsidRDefault="005C4509" w:rsidP="0002299E">
      <w:pPr>
        <w:spacing w:before="120" w:line="240" w:lineRule="atLeast"/>
        <w:jc w:val="both"/>
      </w:pPr>
      <w:r>
        <w:rPr>
          <w:rFonts w:eastAsia="Arial"/>
          <w:color w:val="000000"/>
          <w:sz w:val="18"/>
          <w:vertAlign w:val="superscript"/>
        </w:rPr>
        <w:t>193 </w:t>
      </w:r>
      <w:r>
        <w:rPr>
          <w:rFonts w:eastAsia="Arial"/>
          <w:color w:val="000000"/>
          <w:sz w:val="18"/>
        </w:rPr>
        <w:t xml:space="preserve"> This formulation has entered the popular culture as well. See, e.g., Ice Cube, What Can I Do?, on Lethal Injection (Priority Records 1993) ("Have you ever been convicted of a felony? Yes."). </w:t>
      </w:r>
    </w:p>
  </w:footnote>
  <w:footnote w:id="154">
    <w:p w14:paraId="7FDC9CD1" w14:textId="77777777" w:rsidR="005C4509" w:rsidRDefault="005C4509" w:rsidP="0002299E">
      <w:pPr>
        <w:spacing w:before="120" w:line="240" w:lineRule="atLeast"/>
        <w:jc w:val="both"/>
      </w:pPr>
      <w:r>
        <w:rPr>
          <w:rFonts w:eastAsia="Arial"/>
          <w:color w:val="000000"/>
          <w:sz w:val="18"/>
          <w:vertAlign w:val="superscript"/>
        </w:rPr>
        <w:t>194 </w:t>
      </w:r>
      <w:r>
        <w:rPr>
          <w:rFonts w:eastAsia="Arial"/>
          <w:color w:val="000000"/>
          <w:sz w:val="18"/>
        </w:rPr>
        <w:t xml:space="preserve"> Aukerman, supra note 192, at 23. </w:t>
      </w:r>
    </w:p>
  </w:footnote>
  <w:footnote w:id="155">
    <w:p w14:paraId="4D78EF24" w14:textId="77777777" w:rsidR="005C4509" w:rsidRDefault="005C4509" w:rsidP="0002299E">
      <w:pPr>
        <w:spacing w:before="240" w:line="240" w:lineRule="atLeast"/>
        <w:jc w:val="both"/>
      </w:pPr>
      <w:r>
        <w:rPr>
          <w:rFonts w:eastAsia="Arial"/>
          <w:color w:val="000000"/>
          <w:sz w:val="18"/>
          <w:vertAlign w:val="superscript"/>
        </w:rPr>
        <w:t>195 </w:t>
      </w:r>
      <w:r>
        <w:rPr>
          <w:rFonts w:eastAsia="Arial"/>
          <w:color w:val="000000"/>
          <w:sz w:val="18"/>
        </w:rPr>
        <w:t xml:space="preserve"> See Brad Stone, If You Run a Red Light, Will Everyone Know?, N.Y. Times, Aug. 3, 2008, at BU4, available at </w:t>
      </w:r>
      <w:hyperlink r:id="rId225" w:history="1">
        <w:r>
          <w:rPr>
            <w:rFonts w:eastAsia="Arial"/>
            <w:i/>
            <w:color w:val="0077CC"/>
            <w:sz w:val="18"/>
            <w:u w:val="single"/>
          </w:rPr>
          <w:t>http://www.nytimes.com/2008/08/03/technology/03essay</w:t>
        </w:r>
      </w:hyperlink>
      <w:r>
        <w:rPr>
          <w:rFonts w:eastAsia="Arial"/>
          <w:color w:val="000000"/>
          <w:sz w:val="18"/>
        </w:rPr>
        <w:t>. html (detailing availability of free online criminal searches).</w:t>
      </w:r>
    </w:p>
  </w:footnote>
  <w:footnote w:id="156">
    <w:p w14:paraId="337B239A" w14:textId="77777777" w:rsidR="005C4509" w:rsidRDefault="005C4509" w:rsidP="0002299E">
      <w:pPr>
        <w:spacing w:before="120" w:line="240" w:lineRule="atLeast"/>
        <w:jc w:val="both"/>
      </w:pPr>
      <w:r>
        <w:rPr>
          <w:rFonts w:eastAsia="Arial"/>
          <w:color w:val="000000"/>
          <w:sz w:val="18"/>
          <w:vertAlign w:val="superscript"/>
        </w:rPr>
        <w:t>196 </w:t>
      </w:r>
      <w:r>
        <w:rPr>
          <w:rFonts w:eastAsia="Arial"/>
          <w:color w:val="000000"/>
          <w:sz w:val="18"/>
        </w:rPr>
        <w:t xml:space="preserve"> See generally Mark S. Granovetter, Getting A Job: A Study of Contacts and Careers (2d ed. 1995). </w:t>
      </w:r>
    </w:p>
  </w:footnote>
  <w:footnote w:id="157">
    <w:p w14:paraId="16119786" w14:textId="77777777" w:rsidR="005C4509" w:rsidRDefault="005C4509" w:rsidP="0002299E">
      <w:pPr>
        <w:spacing w:before="240" w:line="240" w:lineRule="atLeast"/>
        <w:jc w:val="both"/>
      </w:pPr>
      <w:r>
        <w:rPr>
          <w:rFonts w:eastAsia="Arial"/>
          <w:color w:val="000000"/>
          <w:sz w:val="18"/>
          <w:vertAlign w:val="superscript"/>
        </w:rPr>
        <w:t>197 </w:t>
      </w:r>
      <w:r>
        <w:rPr>
          <w:rFonts w:eastAsia="Arial"/>
          <w:color w:val="000000"/>
          <w:sz w:val="18"/>
        </w:rPr>
        <w:t xml:space="preserve"> John Hagan &amp; Ronit Dinovitzer, </w:t>
      </w:r>
      <w:r>
        <w:rPr>
          <w:rFonts w:eastAsia="Arial"/>
          <w:b/>
          <w:i/>
          <w:color w:val="000000"/>
          <w:sz w:val="18"/>
          <w:u w:val="single"/>
        </w:rPr>
        <w:t>Collateral Consequences</w:t>
      </w:r>
      <w:r>
        <w:rPr>
          <w:rFonts w:eastAsia="Arial"/>
          <w:color w:val="000000"/>
          <w:sz w:val="18"/>
        </w:rPr>
        <w:t xml:space="preserve"> of Imprisonment for Children, Communities, and Prisoners, </w:t>
      </w:r>
      <w:hyperlink r:id="rId226" w:history="1">
        <w:r>
          <w:rPr>
            <w:rFonts w:eastAsia="Arial"/>
            <w:i/>
            <w:color w:val="0077CC"/>
            <w:sz w:val="18"/>
            <w:u w:val="single"/>
          </w:rPr>
          <w:t>26 Crime &amp; Just. 121, 134-37 (1999).</w:t>
        </w:r>
      </w:hyperlink>
      <w:r>
        <w:rPr>
          <w:rFonts w:eastAsia="Arial"/>
          <w:color w:val="000000"/>
          <w:sz w:val="18"/>
        </w:rPr>
        <w:t xml:space="preserve">  </w:t>
      </w:r>
    </w:p>
  </w:footnote>
  <w:footnote w:id="158">
    <w:p w14:paraId="3BEEBB95" w14:textId="77777777" w:rsidR="005C4509" w:rsidRDefault="005C4509" w:rsidP="0002299E">
      <w:pPr>
        <w:spacing w:before="120" w:line="240" w:lineRule="atLeast"/>
        <w:jc w:val="both"/>
      </w:pPr>
      <w:r>
        <w:rPr>
          <w:rFonts w:eastAsia="Arial"/>
          <w:color w:val="000000"/>
          <w:sz w:val="18"/>
          <w:vertAlign w:val="superscript"/>
        </w:rPr>
        <w:t>198 </w:t>
      </w:r>
      <w:r>
        <w:rPr>
          <w:rFonts w:eastAsia="Arial"/>
          <w:color w:val="000000"/>
          <w:sz w:val="18"/>
        </w:rPr>
        <w:t xml:space="preserve"> Indeed, to the extent that a professional or conventional businessperson operates in an environment in which criminal conviction is relatively rare, its reputational consequences may be even starker. </w:t>
      </w:r>
    </w:p>
  </w:footnote>
  <w:footnote w:id="159">
    <w:p w14:paraId="509F1D0B" w14:textId="77777777" w:rsidR="005C4509" w:rsidRDefault="005C4509" w:rsidP="0002299E">
      <w:pPr>
        <w:spacing w:before="120" w:line="240" w:lineRule="atLeast"/>
        <w:jc w:val="both"/>
      </w:pPr>
      <w:r>
        <w:rPr>
          <w:rFonts w:eastAsia="Arial"/>
          <w:color w:val="000000"/>
          <w:sz w:val="18"/>
          <w:vertAlign w:val="superscript"/>
        </w:rPr>
        <w:t>199 </w:t>
      </w:r>
      <w:r>
        <w:rPr>
          <w:rFonts w:eastAsia="Arial"/>
          <w:color w:val="000000"/>
          <w:sz w:val="18"/>
        </w:rPr>
        <w:t xml:space="preserve"> See Stafford, supra note 190, at 270 (internal footnotes omitted). </w:t>
      </w:r>
    </w:p>
  </w:footnote>
  <w:footnote w:id="160">
    <w:p w14:paraId="032A07A4" w14:textId="77777777" w:rsidR="005C4509" w:rsidRDefault="005C4509" w:rsidP="0002299E">
      <w:pPr>
        <w:spacing w:before="240" w:line="240" w:lineRule="atLeast"/>
        <w:jc w:val="both"/>
      </w:pPr>
      <w:r>
        <w:rPr>
          <w:rFonts w:eastAsia="Arial"/>
          <w:color w:val="000000"/>
          <w:sz w:val="18"/>
          <w:vertAlign w:val="superscript"/>
        </w:rPr>
        <w:t>200 </w:t>
      </w:r>
      <w:r>
        <w:rPr>
          <w:rFonts w:eastAsia="Arial"/>
          <w:color w:val="000000"/>
          <w:sz w:val="18"/>
        </w:rPr>
        <w:t xml:space="preserve"> 27 Am. Jur. 2d Employment Relationship § 395 (2004) ("Generally, an employer who hires an employee with knowledge of the employee's prior criminal record may be held liable, on a direct-negligence theory, for the latter's tortious conduct."); see also Leroy D. Clark, A Civil Rights Task: Removing Barriers to Employment of Ex-Convicts, </w:t>
      </w:r>
      <w:hyperlink r:id="rId227" w:history="1">
        <w:r>
          <w:rPr>
            <w:rFonts w:eastAsia="Arial"/>
            <w:i/>
            <w:color w:val="0077CC"/>
            <w:sz w:val="18"/>
            <w:u w:val="single"/>
          </w:rPr>
          <w:t>38 U.S.F. L. Rev. 193, 197 (2004).</w:t>
        </w:r>
      </w:hyperlink>
      <w:r>
        <w:rPr>
          <w:rFonts w:eastAsia="Arial"/>
          <w:color w:val="000000"/>
          <w:sz w:val="18"/>
        </w:rPr>
        <w:t xml:space="preserve">  </w:t>
      </w:r>
    </w:p>
  </w:footnote>
  <w:footnote w:id="161">
    <w:p w14:paraId="7E73CD7B" w14:textId="77777777" w:rsidR="005C4509" w:rsidRDefault="005C4509" w:rsidP="0002299E">
      <w:pPr>
        <w:spacing w:before="240" w:line="240" w:lineRule="atLeast"/>
        <w:jc w:val="both"/>
      </w:pPr>
      <w:r>
        <w:rPr>
          <w:rFonts w:eastAsia="Arial"/>
          <w:color w:val="000000"/>
          <w:sz w:val="18"/>
          <w:vertAlign w:val="superscript"/>
        </w:rPr>
        <w:t>201 </w:t>
      </w:r>
      <w:r>
        <w:rPr>
          <w:rFonts w:eastAsia="Arial"/>
          <w:color w:val="000000"/>
          <w:sz w:val="18"/>
        </w:rPr>
        <w:t xml:space="preserve"> See, e.g., Tallahassee </w:t>
      </w:r>
      <w:hyperlink r:id="rId228" w:history="1">
        <w:r>
          <w:rPr>
            <w:rFonts w:eastAsia="Arial"/>
            <w:i/>
            <w:color w:val="0077CC"/>
            <w:sz w:val="18"/>
            <w:u w:val="single"/>
          </w:rPr>
          <w:t>Furniture Co. v. Harrison, 583 So. 2d 744 (Fla. Dist. Ct. App. 1991).</w:t>
        </w:r>
      </w:hyperlink>
      <w:r>
        <w:rPr>
          <w:rFonts w:eastAsia="Arial"/>
          <w:color w:val="000000"/>
          <w:sz w:val="18"/>
        </w:rPr>
        <w:t xml:space="preserve">  </w:t>
      </w:r>
    </w:p>
  </w:footnote>
  <w:footnote w:id="162">
    <w:p w14:paraId="3B9EDCA6" w14:textId="77777777" w:rsidR="005C4509" w:rsidRDefault="005C4509" w:rsidP="0002299E">
      <w:pPr>
        <w:spacing w:before="120" w:line="240" w:lineRule="atLeast"/>
        <w:jc w:val="both"/>
      </w:pPr>
      <w:r>
        <w:rPr>
          <w:rFonts w:eastAsia="Arial"/>
          <w:color w:val="000000"/>
          <w:sz w:val="18"/>
          <w:vertAlign w:val="superscript"/>
        </w:rPr>
        <w:t>202 </w:t>
      </w:r>
      <w:r>
        <w:rPr>
          <w:rFonts w:eastAsia="Arial"/>
          <w:color w:val="000000"/>
          <w:sz w:val="18"/>
        </w:rPr>
        <w:t xml:space="preserve"> Stafford, supra note 190, at 270. </w:t>
      </w:r>
    </w:p>
  </w:footnote>
  <w:footnote w:id="163">
    <w:p w14:paraId="5883AB8A" w14:textId="77777777" w:rsidR="005C4509" w:rsidRDefault="005C4509" w:rsidP="0002299E">
      <w:pPr>
        <w:spacing w:before="120" w:line="240" w:lineRule="atLeast"/>
        <w:jc w:val="both"/>
      </w:pPr>
      <w:r>
        <w:rPr>
          <w:rFonts w:eastAsia="Arial"/>
          <w:color w:val="000000"/>
          <w:sz w:val="18"/>
          <w:vertAlign w:val="superscript"/>
        </w:rPr>
        <w:t>203 </w:t>
      </w:r>
      <w:r>
        <w:rPr>
          <w:rFonts w:eastAsia="Arial"/>
          <w:color w:val="000000"/>
          <w:sz w:val="18"/>
        </w:rPr>
        <w:t xml:space="preserve"> See Hagan &amp; Dinovitzer, supra note 197, at 137. </w:t>
      </w:r>
    </w:p>
  </w:footnote>
  <w:footnote w:id="164">
    <w:p w14:paraId="43E12736" w14:textId="77777777" w:rsidR="005C4509" w:rsidRDefault="005C4509" w:rsidP="00D100E8">
      <w:pPr>
        <w:spacing w:before="200" w:line="240" w:lineRule="atLeast"/>
        <w:jc w:val="both"/>
      </w:pPr>
      <w:r>
        <w:rPr>
          <w:rFonts w:eastAsia="Arial"/>
          <w:color w:val="000000"/>
          <w:sz w:val="18"/>
          <w:vertAlign w:val="superscript"/>
        </w:rPr>
        <w:t>103 </w:t>
      </w:r>
      <w:r>
        <w:rPr>
          <w:rFonts w:eastAsia="Arial"/>
          <w:color w:val="000000"/>
          <w:sz w:val="18"/>
        </w:rPr>
        <w:t xml:space="preserve"> Anti-Drug Abuse Act, Pub. L. No. 100-690, § 5101, 102 Stat.4181 (1988) (codified at </w:t>
      </w:r>
      <w:hyperlink r:id="rId229" w:history="1">
        <w:r>
          <w:rPr>
            <w:rFonts w:eastAsia="Arial"/>
            <w:i/>
            <w:color w:val="0077CC"/>
            <w:sz w:val="18"/>
            <w:u w:val="single"/>
            <w:shd w:val="clear" w:color="auto" w:fill="FFFFFF"/>
          </w:rPr>
          <w:t xml:space="preserve">42 </w:t>
        </w:r>
      </w:hyperlink>
      <w:hyperlink r:id="rId230" w:history="1">
        <w:r>
          <w:rPr>
            <w:rFonts w:eastAsia="Arial"/>
            <w:b/>
            <w:i/>
            <w:color w:val="0077CC"/>
            <w:sz w:val="18"/>
            <w:u w:val="single"/>
            <w:shd w:val="clear" w:color="auto" w:fill="FFFFFF"/>
          </w:rPr>
          <w:t>U.S.</w:t>
        </w:r>
      </w:hyperlink>
      <w:hyperlink r:id="rId231" w:history="1">
        <w:r>
          <w:rPr>
            <w:rFonts w:eastAsia="Arial"/>
            <w:i/>
            <w:color w:val="0077CC"/>
            <w:sz w:val="18"/>
            <w:u w:val="single"/>
            <w:shd w:val="clear" w:color="auto" w:fill="FFFFFF"/>
          </w:rPr>
          <w:t>C. § 1437d</w:t>
        </w:r>
      </w:hyperlink>
      <w:r>
        <w:rPr>
          <w:rFonts w:eastAsia="Arial"/>
          <w:color w:val="000000"/>
          <w:sz w:val="18"/>
        </w:rPr>
        <w:t xml:space="preserve">(1)(6)); Cain, </w:t>
      </w:r>
      <w:r>
        <w:rPr>
          <w:rFonts w:eastAsia="Arial"/>
          <w:i/>
          <w:color w:val="000000"/>
          <w:sz w:val="18"/>
        </w:rPr>
        <w:t>supra</w:t>
      </w:r>
      <w:r>
        <w:rPr>
          <w:rFonts w:eastAsia="Arial"/>
          <w:color w:val="000000"/>
          <w:sz w:val="18"/>
        </w:rPr>
        <w:t xml:space="preserve"> note 50, at 137.</w:t>
      </w:r>
    </w:p>
  </w:footnote>
  <w:footnote w:id="165">
    <w:p w14:paraId="2FAA102B" w14:textId="77777777" w:rsidR="005C4509" w:rsidRDefault="005C4509" w:rsidP="00D100E8">
      <w:pPr>
        <w:spacing w:before="200" w:line="240" w:lineRule="atLeast"/>
        <w:jc w:val="both"/>
      </w:pPr>
      <w:r>
        <w:rPr>
          <w:rFonts w:eastAsia="Arial"/>
          <w:color w:val="000000"/>
          <w:sz w:val="18"/>
          <w:vertAlign w:val="superscript"/>
        </w:rPr>
        <w:t>104 </w:t>
      </w:r>
      <w:r>
        <w:rPr>
          <w:rFonts w:eastAsia="Arial"/>
          <w:color w:val="000000"/>
          <w:sz w:val="18"/>
        </w:rPr>
        <w:t xml:space="preserve"> Cain, </w:t>
      </w:r>
      <w:r>
        <w:rPr>
          <w:rFonts w:eastAsia="Arial"/>
          <w:i/>
          <w:color w:val="000000"/>
          <w:sz w:val="18"/>
        </w:rPr>
        <w:t>supra</w:t>
      </w:r>
      <w:r>
        <w:rPr>
          <w:rFonts w:eastAsia="Arial"/>
          <w:color w:val="000000"/>
          <w:sz w:val="18"/>
        </w:rPr>
        <w:t xml:space="preserve"> note 50, at 137 (citing President William Jefferson Clinton, State of the Union Address (Jan. 23, 1996)). For a good chronological explanation of the additional acts passed and the amendments to this section, see </w:t>
      </w:r>
      <w:r>
        <w:rPr>
          <w:rFonts w:eastAsia="Arial"/>
          <w:i/>
          <w:color w:val="000000"/>
          <w:sz w:val="18"/>
        </w:rPr>
        <w:t>id.</w:t>
      </w:r>
      <w:r>
        <w:rPr>
          <w:rFonts w:eastAsia="Arial"/>
          <w:color w:val="000000"/>
          <w:sz w:val="18"/>
        </w:rPr>
        <w:t xml:space="preserve"> at 134 n.25.</w:t>
      </w:r>
    </w:p>
  </w:footnote>
  <w:footnote w:id="166">
    <w:p w14:paraId="2A3B1B63" w14:textId="77777777" w:rsidR="005C4509" w:rsidRDefault="005C4509" w:rsidP="00D100E8">
      <w:pPr>
        <w:spacing w:before="240" w:line="240" w:lineRule="atLeast"/>
        <w:jc w:val="both"/>
      </w:pPr>
      <w:r>
        <w:rPr>
          <w:rFonts w:eastAsia="Arial"/>
          <w:color w:val="000000"/>
          <w:sz w:val="18"/>
          <w:vertAlign w:val="superscript"/>
        </w:rPr>
        <w:t>105 </w:t>
      </w:r>
      <w:r>
        <w:rPr>
          <w:rFonts w:eastAsia="Arial"/>
          <w:color w:val="000000"/>
          <w:sz w:val="18"/>
        </w:rPr>
        <w:t xml:space="preserve">  </w:t>
      </w:r>
      <w:hyperlink r:id="rId232" w:history="1">
        <w:r>
          <w:rPr>
            <w:rFonts w:eastAsia="Arial"/>
            <w:i/>
            <w:color w:val="0077CC"/>
            <w:sz w:val="18"/>
            <w:u w:val="single"/>
            <w:shd w:val="clear" w:color="auto" w:fill="FFFFFF"/>
          </w:rPr>
          <w:t xml:space="preserve">42 </w:t>
        </w:r>
      </w:hyperlink>
      <w:hyperlink r:id="rId233" w:history="1">
        <w:r>
          <w:rPr>
            <w:rFonts w:eastAsia="Arial"/>
            <w:b/>
            <w:i/>
            <w:color w:val="0077CC"/>
            <w:sz w:val="18"/>
            <w:u w:val="single"/>
            <w:shd w:val="clear" w:color="auto" w:fill="FFFFFF"/>
          </w:rPr>
          <w:t>U.S.</w:t>
        </w:r>
      </w:hyperlink>
      <w:hyperlink r:id="rId234" w:history="1">
        <w:r>
          <w:rPr>
            <w:rFonts w:eastAsia="Arial"/>
            <w:i/>
            <w:color w:val="0077CC"/>
            <w:sz w:val="18"/>
            <w:u w:val="single"/>
            <w:shd w:val="clear" w:color="auto" w:fill="FFFFFF"/>
          </w:rPr>
          <w:t>C. § 1437d</w:t>
        </w:r>
      </w:hyperlink>
      <w:r>
        <w:rPr>
          <w:rFonts w:eastAsia="Arial"/>
          <w:color w:val="000000"/>
          <w:sz w:val="18"/>
        </w:rPr>
        <w:t xml:space="preserve">(1)(6) (2004); </w:t>
      </w:r>
      <w:hyperlink r:id="rId235" w:history="1">
        <w:r>
          <w:rPr>
            <w:rFonts w:eastAsia="Arial"/>
            <w:i/>
            <w:color w:val="0077CC"/>
            <w:sz w:val="18"/>
            <w:u w:val="single"/>
            <w:shd w:val="clear" w:color="auto" w:fill="FFFFFF"/>
          </w:rPr>
          <w:t xml:space="preserve">42 </w:t>
        </w:r>
      </w:hyperlink>
      <w:hyperlink r:id="rId236" w:history="1">
        <w:r>
          <w:rPr>
            <w:rFonts w:eastAsia="Arial"/>
            <w:b/>
            <w:i/>
            <w:color w:val="0077CC"/>
            <w:sz w:val="18"/>
            <w:u w:val="single"/>
            <w:shd w:val="clear" w:color="auto" w:fill="FFFFFF"/>
          </w:rPr>
          <w:t>U.S.</w:t>
        </w:r>
      </w:hyperlink>
      <w:hyperlink r:id="rId237" w:history="1">
        <w:r>
          <w:rPr>
            <w:rFonts w:eastAsia="Arial"/>
            <w:i/>
            <w:color w:val="0077CC"/>
            <w:sz w:val="18"/>
            <w:u w:val="single"/>
            <w:shd w:val="clear" w:color="auto" w:fill="FFFFFF"/>
          </w:rPr>
          <w:t>C. § 1437f</w:t>
        </w:r>
      </w:hyperlink>
      <w:r>
        <w:rPr>
          <w:rFonts w:eastAsia="Arial"/>
          <w:color w:val="000000"/>
          <w:sz w:val="18"/>
        </w:rPr>
        <w:t>(o)(7)(D) (2004).</w:t>
      </w:r>
    </w:p>
  </w:footnote>
  <w:footnote w:id="167">
    <w:p w14:paraId="38966FAB" w14:textId="77777777" w:rsidR="005C4509" w:rsidRDefault="005C4509" w:rsidP="00D100E8">
      <w:pPr>
        <w:spacing w:before="200" w:line="240" w:lineRule="atLeast"/>
        <w:jc w:val="both"/>
      </w:pPr>
      <w:r>
        <w:rPr>
          <w:rFonts w:eastAsia="Arial"/>
          <w:color w:val="000000"/>
          <w:sz w:val="18"/>
          <w:vertAlign w:val="superscript"/>
        </w:rPr>
        <w:t>106 </w:t>
      </w:r>
      <w:r>
        <w:rPr>
          <w:rFonts w:eastAsia="Arial"/>
          <w:color w:val="000000"/>
          <w:sz w:val="18"/>
        </w:rPr>
        <w:t xml:space="preserve">  </w:t>
      </w:r>
      <w:r>
        <w:rPr>
          <w:rFonts w:eastAsia="Arial"/>
          <w:i/>
          <w:color w:val="000000"/>
          <w:sz w:val="18"/>
        </w:rPr>
        <w:t>See</w:t>
      </w:r>
      <w:r>
        <w:rPr>
          <w:rFonts w:eastAsia="Arial"/>
          <w:color w:val="000000"/>
          <w:sz w:val="18"/>
        </w:rPr>
        <w:t xml:space="preserve">  </w:t>
      </w:r>
      <w:hyperlink r:id="rId238" w:history="1">
        <w:r>
          <w:rPr>
            <w:rFonts w:eastAsia="Arial"/>
            <w:i/>
            <w:color w:val="0077CC"/>
            <w:sz w:val="18"/>
            <w:u w:val="single"/>
            <w:shd w:val="clear" w:color="auto" w:fill="FFFFFF"/>
          </w:rPr>
          <w:t xml:space="preserve">42 </w:t>
        </w:r>
      </w:hyperlink>
      <w:hyperlink r:id="rId239" w:history="1">
        <w:r>
          <w:rPr>
            <w:rFonts w:eastAsia="Arial"/>
            <w:b/>
            <w:i/>
            <w:color w:val="0077CC"/>
            <w:sz w:val="18"/>
            <w:u w:val="single"/>
            <w:shd w:val="clear" w:color="auto" w:fill="FFFFFF"/>
          </w:rPr>
          <w:t>U.S.</w:t>
        </w:r>
      </w:hyperlink>
      <w:hyperlink r:id="rId240" w:history="1">
        <w:r>
          <w:rPr>
            <w:rFonts w:eastAsia="Arial"/>
            <w:i/>
            <w:color w:val="0077CC"/>
            <w:sz w:val="18"/>
            <w:u w:val="single"/>
            <w:shd w:val="clear" w:color="auto" w:fill="FFFFFF"/>
          </w:rPr>
          <w:t>C. § 1437f</w:t>
        </w:r>
      </w:hyperlink>
      <w:r>
        <w:rPr>
          <w:rFonts w:eastAsia="Arial"/>
          <w:color w:val="000000"/>
          <w:sz w:val="18"/>
        </w:rPr>
        <w:t xml:space="preserve">(o)(6)(B), (C) (2004); </w:t>
      </w:r>
      <w:hyperlink r:id="rId241" w:history="1">
        <w:r>
          <w:rPr>
            <w:rFonts w:eastAsia="Arial"/>
            <w:i/>
            <w:color w:val="0077CC"/>
            <w:sz w:val="18"/>
            <w:u w:val="single"/>
            <w:shd w:val="clear" w:color="auto" w:fill="FFFFFF"/>
          </w:rPr>
          <w:t>24 C.F.R. § 966.4(1)(5)(vii)(A)</w:t>
        </w:r>
      </w:hyperlink>
      <w:r>
        <w:rPr>
          <w:rFonts w:eastAsia="Arial"/>
          <w:color w:val="000000"/>
          <w:sz w:val="18"/>
        </w:rPr>
        <w:t xml:space="preserve">, (B); Cain, </w:t>
      </w:r>
      <w:r>
        <w:rPr>
          <w:rFonts w:eastAsia="Arial"/>
          <w:i/>
          <w:color w:val="000000"/>
          <w:sz w:val="18"/>
        </w:rPr>
        <w:t>supra</w:t>
      </w:r>
      <w:r>
        <w:rPr>
          <w:rFonts w:eastAsia="Arial"/>
          <w:color w:val="000000"/>
          <w:sz w:val="18"/>
        </w:rPr>
        <w:t xml:space="preserve"> note 50, at 138; Rubinstein &amp; Mukamal, </w:t>
      </w:r>
      <w:r>
        <w:rPr>
          <w:rFonts w:eastAsia="Arial"/>
          <w:i/>
          <w:color w:val="000000"/>
          <w:sz w:val="18"/>
        </w:rPr>
        <w:t>supra</w:t>
      </w:r>
      <w:r>
        <w:rPr>
          <w:rFonts w:eastAsia="Arial"/>
          <w:color w:val="000000"/>
          <w:sz w:val="18"/>
        </w:rPr>
        <w:t xml:space="preserve"> note 80, at 46-47.</w:t>
      </w:r>
    </w:p>
  </w:footnote>
  <w:footnote w:id="168">
    <w:p w14:paraId="7E46D0A1" w14:textId="77777777" w:rsidR="005C4509" w:rsidRDefault="005C4509" w:rsidP="00D100E8">
      <w:pPr>
        <w:spacing w:before="240" w:line="240" w:lineRule="atLeast"/>
        <w:jc w:val="both"/>
      </w:pPr>
      <w:r>
        <w:rPr>
          <w:rFonts w:eastAsia="Arial"/>
          <w:color w:val="000000"/>
          <w:sz w:val="18"/>
          <w:vertAlign w:val="superscript"/>
        </w:rPr>
        <w:t>107 </w:t>
      </w:r>
      <w:r>
        <w:rPr>
          <w:rFonts w:eastAsia="Arial"/>
          <w:color w:val="000000"/>
          <w:sz w:val="18"/>
        </w:rPr>
        <w:t xml:space="preserve">  </w:t>
      </w:r>
      <w:hyperlink r:id="rId242" w:history="1">
        <w:r>
          <w:rPr>
            <w:rFonts w:eastAsia="Arial"/>
            <w:i/>
            <w:color w:val="0077CC"/>
            <w:sz w:val="18"/>
            <w:u w:val="single"/>
            <w:shd w:val="clear" w:color="auto" w:fill="FFFFFF"/>
          </w:rPr>
          <w:t xml:space="preserve">42 </w:t>
        </w:r>
      </w:hyperlink>
      <w:hyperlink r:id="rId243" w:history="1">
        <w:r>
          <w:rPr>
            <w:rFonts w:eastAsia="Arial"/>
            <w:b/>
            <w:i/>
            <w:color w:val="0077CC"/>
            <w:sz w:val="18"/>
            <w:u w:val="single"/>
            <w:shd w:val="clear" w:color="auto" w:fill="FFFFFF"/>
          </w:rPr>
          <w:t>U.S.</w:t>
        </w:r>
      </w:hyperlink>
      <w:hyperlink r:id="rId244" w:history="1">
        <w:r>
          <w:rPr>
            <w:rFonts w:eastAsia="Arial"/>
            <w:i/>
            <w:color w:val="0077CC"/>
            <w:sz w:val="18"/>
            <w:u w:val="single"/>
            <w:shd w:val="clear" w:color="auto" w:fill="FFFFFF"/>
          </w:rPr>
          <w:t>C. § 1437d</w:t>
        </w:r>
      </w:hyperlink>
      <w:r>
        <w:rPr>
          <w:rFonts w:eastAsia="Arial"/>
          <w:color w:val="000000"/>
          <w:sz w:val="18"/>
        </w:rPr>
        <w:t xml:space="preserve">(s) (2004); Rubinstein &amp; Mukamal, </w:t>
      </w:r>
      <w:r>
        <w:rPr>
          <w:rFonts w:eastAsia="Arial"/>
          <w:i/>
          <w:color w:val="000000"/>
          <w:sz w:val="18"/>
        </w:rPr>
        <w:t>supra</w:t>
      </w:r>
      <w:r>
        <w:rPr>
          <w:rFonts w:eastAsia="Arial"/>
          <w:color w:val="000000"/>
          <w:sz w:val="18"/>
        </w:rPr>
        <w:t xml:space="preserve"> note 80, at 45. Under the Section 8 voucher program, low-income individuals rent homes on the private market and direct 30% of their household income toward rent, with the federal government paying the remainder of the balance owed the landlord. </w:t>
      </w:r>
      <w:r>
        <w:rPr>
          <w:rFonts w:eastAsia="Arial"/>
          <w:i/>
          <w:color w:val="000000"/>
          <w:sz w:val="18"/>
        </w:rPr>
        <w:t>See</w:t>
      </w:r>
      <w:r>
        <w:rPr>
          <w:rFonts w:eastAsia="Arial"/>
          <w:color w:val="000000"/>
          <w:sz w:val="18"/>
        </w:rPr>
        <w:t xml:space="preserve"> NATIONAL HOUS. LAW PROJECT, SECTION 8 HOUSING, GENERAL AUTHORITIES AND INFORMATION, </w:t>
      </w:r>
      <w:r>
        <w:rPr>
          <w:rFonts w:eastAsia="Arial"/>
          <w:i/>
          <w:color w:val="000000"/>
          <w:sz w:val="18"/>
        </w:rPr>
        <w:t>available at</w:t>
      </w:r>
      <w:r>
        <w:rPr>
          <w:rFonts w:eastAsia="Arial"/>
          <w:color w:val="000000"/>
          <w:sz w:val="18"/>
        </w:rPr>
        <w:t xml:space="preserve"> </w:t>
      </w:r>
      <w:hyperlink r:id="rId245" w:anchor="1" w:history="1">
        <w:r>
          <w:rPr>
            <w:rFonts w:eastAsia="Arial"/>
            <w:i/>
            <w:color w:val="0077CC"/>
            <w:sz w:val="18"/>
            <w:u w:val="single"/>
            <w:shd w:val="clear" w:color="auto" w:fill="FFFFFF"/>
          </w:rPr>
          <w:t>http://www.nhlp.org/html/sec8/#1</w:t>
        </w:r>
      </w:hyperlink>
      <w:r>
        <w:rPr>
          <w:rFonts w:eastAsia="Arial"/>
          <w:color w:val="000000"/>
          <w:sz w:val="18"/>
        </w:rPr>
        <w:t xml:space="preserve"> (last visited Feb. 17, 2005).</w:t>
      </w:r>
    </w:p>
  </w:footnote>
  <w:footnote w:id="169">
    <w:p w14:paraId="7DBEA4B3" w14:textId="77777777" w:rsidR="005C4509" w:rsidRDefault="005C4509" w:rsidP="00D100E8">
      <w:pPr>
        <w:spacing w:before="200" w:line="240" w:lineRule="atLeast"/>
        <w:jc w:val="both"/>
      </w:pPr>
      <w:r>
        <w:rPr>
          <w:rFonts w:eastAsia="Arial"/>
          <w:color w:val="000000"/>
          <w:sz w:val="18"/>
          <w:vertAlign w:val="superscript"/>
        </w:rPr>
        <w:t>108 </w:t>
      </w:r>
      <w:r>
        <w:rPr>
          <w:rFonts w:eastAsia="Arial"/>
          <w:color w:val="000000"/>
          <w:sz w:val="18"/>
        </w:rPr>
        <w:t xml:space="preserve">  </w:t>
      </w:r>
      <w:hyperlink r:id="rId246" w:history="1">
        <w:r>
          <w:rPr>
            <w:rFonts w:eastAsia="Arial"/>
            <w:i/>
            <w:color w:val="0077CC"/>
            <w:sz w:val="18"/>
            <w:u w:val="single"/>
            <w:shd w:val="clear" w:color="auto" w:fill="FFFFFF"/>
          </w:rPr>
          <w:t xml:space="preserve">42 </w:t>
        </w:r>
      </w:hyperlink>
      <w:hyperlink r:id="rId247" w:history="1">
        <w:r>
          <w:rPr>
            <w:rFonts w:eastAsia="Arial"/>
            <w:b/>
            <w:i/>
            <w:color w:val="0077CC"/>
            <w:sz w:val="18"/>
            <w:u w:val="single"/>
            <w:shd w:val="clear" w:color="auto" w:fill="FFFFFF"/>
          </w:rPr>
          <w:t>U.S.</w:t>
        </w:r>
      </w:hyperlink>
      <w:hyperlink r:id="rId248" w:history="1">
        <w:r>
          <w:rPr>
            <w:rFonts w:eastAsia="Arial"/>
            <w:i/>
            <w:color w:val="0077CC"/>
            <w:sz w:val="18"/>
            <w:u w:val="single"/>
            <w:shd w:val="clear" w:color="auto" w:fill="FFFFFF"/>
          </w:rPr>
          <w:t>C. § 1437d</w:t>
        </w:r>
      </w:hyperlink>
      <w:r>
        <w:rPr>
          <w:rFonts w:eastAsia="Arial"/>
          <w:color w:val="000000"/>
          <w:sz w:val="18"/>
        </w:rPr>
        <w:t xml:space="preserve">(t) (2004); Rubinstein &amp; Mukamal, </w:t>
      </w:r>
      <w:r>
        <w:rPr>
          <w:rFonts w:eastAsia="Arial"/>
          <w:i/>
          <w:color w:val="000000"/>
          <w:sz w:val="18"/>
        </w:rPr>
        <w:t>supra</w:t>
      </w:r>
      <w:r>
        <w:rPr>
          <w:rFonts w:eastAsia="Arial"/>
          <w:color w:val="000000"/>
          <w:sz w:val="18"/>
        </w:rPr>
        <w:t xml:space="preserve"> note 80, at 45.</w:t>
      </w:r>
    </w:p>
  </w:footnote>
  <w:footnote w:id="170">
    <w:p w14:paraId="15C15CBE" w14:textId="77777777" w:rsidR="005C4509" w:rsidRDefault="005C4509" w:rsidP="00D100E8">
      <w:pPr>
        <w:spacing w:before="200" w:line="240" w:lineRule="atLeast"/>
        <w:jc w:val="both"/>
      </w:pPr>
      <w:r>
        <w:rPr>
          <w:rFonts w:eastAsia="Arial"/>
          <w:color w:val="000000"/>
          <w:sz w:val="18"/>
          <w:vertAlign w:val="superscript"/>
        </w:rPr>
        <w:t>109 </w:t>
      </w:r>
      <w:r>
        <w:rPr>
          <w:rFonts w:eastAsia="Arial"/>
          <w:color w:val="000000"/>
          <w:sz w:val="18"/>
        </w:rPr>
        <w:t xml:space="preserve">  </w:t>
      </w:r>
      <w:hyperlink r:id="rId249" w:history="1">
        <w:r>
          <w:rPr>
            <w:rFonts w:eastAsia="Arial"/>
            <w:i/>
            <w:color w:val="0077CC"/>
            <w:sz w:val="18"/>
            <w:u w:val="single"/>
            <w:shd w:val="clear" w:color="auto" w:fill="FFFFFF"/>
          </w:rPr>
          <w:t xml:space="preserve">42 </w:t>
        </w:r>
      </w:hyperlink>
      <w:hyperlink r:id="rId250" w:history="1">
        <w:r>
          <w:rPr>
            <w:rFonts w:eastAsia="Arial"/>
            <w:b/>
            <w:i/>
            <w:color w:val="0077CC"/>
            <w:sz w:val="18"/>
            <w:u w:val="single"/>
            <w:shd w:val="clear" w:color="auto" w:fill="FFFFFF"/>
          </w:rPr>
          <w:t>U.S.</w:t>
        </w:r>
      </w:hyperlink>
      <w:hyperlink r:id="rId251" w:history="1">
        <w:r>
          <w:rPr>
            <w:rFonts w:eastAsia="Arial"/>
            <w:i/>
            <w:color w:val="0077CC"/>
            <w:sz w:val="18"/>
            <w:u w:val="single"/>
            <w:shd w:val="clear" w:color="auto" w:fill="FFFFFF"/>
          </w:rPr>
          <w:t>C. § 13661</w:t>
        </w:r>
      </w:hyperlink>
      <w:r>
        <w:rPr>
          <w:rFonts w:eastAsia="Arial"/>
          <w:color w:val="000000"/>
          <w:sz w:val="18"/>
        </w:rPr>
        <w:t xml:space="preserve">(a) (2004); Rubinstein &amp; Mukamal, </w:t>
      </w:r>
      <w:r>
        <w:rPr>
          <w:rFonts w:eastAsia="Arial"/>
          <w:i/>
          <w:color w:val="000000"/>
          <w:sz w:val="18"/>
        </w:rPr>
        <w:t>supra</w:t>
      </w:r>
      <w:r>
        <w:rPr>
          <w:rFonts w:eastAsia="Arial"/>
          <w:color w:val="000000"/>
          <w:sz w:val="18"/>
        </w:rPr>
        <w:t xml:space="preserve"> note 80, at 45.</w:t>
      </w:r>
    </w:p>
  </w:footnote>
  <w:footnote w:id="171">
    <w:p w14:paraId="360FA649" w14:textId="77777777" w:rsidR="005C4509" w:rsidRDefault="005C4509" w:rsidP="00D100E8">
      <w:pPr>
        <w:spacing w:before="200" w:line="240" w:lineRule="atLeast"/>
        <w:jc w:val="both"/>
      </w:pPr>
      <w:r>
        <w:rPr>
          <w:rFonts w:eastAsia="Arial"/>
          <w:color w:val="000000"/>
          <w:sz w:val="18"/>
          <w:vertAlign w:val="superscript"/>
        </w:rPr>
        <w:t>110 </w:t>
      </w:r>
      <w:r>
        <w:rPr>
          <w:rFonts w:eastAsia="Arial"/>
          <w:color w:val="000000"/>
          <w:sz w:val="18"/>
        </w:rPr>
        <w:t xml:space="preserve">  </w:t>
      </w:r>
      <w:r>
        <w:rPr>
          <w:rFonts w:eastAsia="Arial"/>
          <w:i/>
          <w:color w:val="000000"/>
          <w:sz w:val="18"/>
        </w:rPr>
        <w:t>See</w:t>
      </w:r>
      <w:r>
        <w:rPr>
          <w:rFonts w:eastAsia="Arial"/>
          <w:color w:val="000000"/>
          <w:sz w:val="18"/>
        </w:rPr>
        <w:t xml:space="preserve">  </w:t>
      </w:r>
      <w:hyperlink r:id="rId252" w:history="1">
        <w:r>
          <w:rPr>
            <w:rFonts w:eastAsia="Arial"/>
            <w:i/>
            <w:color w:val="0077CC"/>
            <w:sz w:val="18"/>
            <w:u w:val="single"/>
            <w:shd w:val="clear" w:color="auto" w:fill="FFFFFF"/>
          </w:rPr>
          <w:t xml:space="preserve">42 </w:t>
        </w:r>
      </w:hyperlink>
      <w:hyperlink r:id="rId253" w:history="1">
        <w:r>
          <w:rPr>
            <w:rFonts w:eastAsia="Arial"/>
            <w:b/>
            <w:i/>
            <w:color w:val="0077CC"/>
            <w:sz w:val="18"/>
            <w:u w:val="single"/>
            <w:shd w:val="clear" w:color="auto" w:fill="FFFFFF"/>
          </w:rPr>
          <w:t>U.S.</w:t>
        </w:r>
      </w:hyperlink>
      <w:hyperlink r:id="rId254" w:history="1">
        <w:r>
          <w:rPr>
            <w:rFonts w:eastAsia="Arial"/>
            <w:i/>
            <w:color w:val="0077CC"/>
            <w:sz w:val="18"/>
            <w:u w:val="single"/>
            <w:shd w:val="clear" w:color="auto" w:fill="FFFFFF"/>
          </w:rPr>
          <w:t>C. § 1437d</w:t>
        </w:r>
      </w:hyperlink>
      <w:r>
        <w:rPr>
          <w:rFonts w:eastAsia="Arial"/>
          <w:color w:val="000000"/>
          <w:sz w:val="18"/>
        </w:rPr>
        <w:t xml:space="preserve">(t)(3)(B) (2004); Cain, </w:t>
      </w:r>
      <w:r>
        <w:rPr>
          <w:rFonts w:eastAsia="Arial"/>
          <w:i/>
          <w:color w:val="000000"/>
          <w:sz w:val="18"/>
        </w:rPr>
        <w:t>supra</w:t>
      </w:r>
      <w:r>
        <w:rPr>
          <w:rFonts w:eastAsia="Arial"/>
          <w:color w:val="000000"/>
          <w:sz w:val="18"/>
        </w:rPr>
        <w:t xml:space="preserve"> note 50, at 149.</w:t>
      </w:r>
    </w:p>
  </w:footnote>
  <w:footnote w:id="172">
    <w:p w14:paraId="116B2061" w14:textId="77777777" w:rsidR="005C4509" w:rsidRDefault="005C4509" w:rsidP="00D100E8">
      <w:pPr>
        <w:spacing w:before="240" w:line="240" w:lineRule="atLeast"/>
        <w:jc w:val="both"/>
      </w:pPr>
      <w:r>
        <w:rPr>
          <w:rFonts w:eastAsia="Arial"/>
          <w:color w:val="000000"/>
          <w:sz w:val="18"/>
          <w:vertAlign w:val="superscript"/>
        </w:rPr>
        <w:t>111 </w:t>
      </w:r>
      <w:r>
        <w:rPr>
          <w:rFonts w:eastAsia="Arial"/>
          <w:color w:val="000000"/>
          <w:sz w:val="18"/>
        </w:rPr>
        <w:t xml:space="preserve">  </w:t>
      </w:r>
      <w:hyperlink r:id="rId255" w:history="1">
        <w:r>
          <w:rPr>
            <w:rFonts w:eastAsia="Arial"/>
            <w:i/>
            <w:color w:val="0077CC"/>
            <w:sz w:val="18"/>
            <w:u w:val="single"/>
            <w:shd w:val="clear" w:color="auto" w:fill="FFFFFF"/>
          </w:rPr>
          <w:t xml:space="preserve">Dep't of Hous. &amp; Urban Dev. v. Rucker, 535 </w:t>
        </w:r>
      </w:hyperlink>
      <w:hyperlink r:id="rId256" w:history="1">
        <w:r>
          <w:rPr>
            <w:rFonts w:eastAsia="Arial"/>
            <w:b/>
            <w:i/>
            <w:color w:val="0077CC"/>
            <w:sz w:val="18"/>
            <w:u w:val="single"/>
            <w:shd w:val="clear" w:color="auto" w:fill="FFFFFF"/>
          </w:rPr>
          <w:t>U.S.</w:t>
        </w:r>
      </w:hyperlink>
      <w:hyperlink r:id="rId257" w:history="1">
        <w:r>
          <w:rPr>
            <w:rFonts w:eastAsia="Arial"/>
            <w:i/>
            <w:color w:val="0077CC"/>
            <w:sz w:val="18"/>
            <w:u w:val="single"/>
            <w:shd w:val="clear" w:color="auto" w:fill="FFFFFF"/>
          </w:rPr>
          <w:t xml:space="preserve"> 125, 136 (2002);</w:t>
        </w:r>
      </w:hyperlink>
      <w:r>
        <w:rPr>
          <w:rFonts w:eastAsia="Arial"/>
          <w:color w:val="000000"/>
          <w:sz w:val="18"/>
        </w:rPr>
        <w:t xml:space="preserve"> Cain, </w:t>
      </w:r>
      <w:r>
        <w:rPr>
          <w:rFonts w:eastAsia="Arial"/>
          <w:i/>
          <w:color w:val="000000"/>
          <w:sz w:val="18"/>
        </w:rPr>
        <w:t>supra</w:t>
      </w:r>
      <w:r>
        <w:rPr>
          <w:rFonts w:eastAsia="Arial"/>
          <w:color w:val="000000"/>
          <w:sz w:val="18"/>
        </w:rPr>
        <w:t xml:space="preserve"> note 50, at 140-41. The Supreme </w:t>
      </w:r>
      <w:r>
        <w:rPr>
          <w:rFonts w:eastAsia="Arial"/>
          <w:b/>
          <w:i/>
          <w:color w:val="000000"/>
          <w:sz w:val="18"/>
          <w:u w:val="single"/>
        </w:rPr>
        <w:t>Court</w:t>
      </w:r>
      <w:r>
        <w:rPr>
          <w:rFonts w:eastAsia="Arial"/>
          <w:color w:val="000000"/>
          <w:sz w:val="18"/>
        </w:rPr>
        <w:t xml:space="preserve"> also held in </w:t>
      </w:r>
      <w:r>
        <w:rPr>
          <w:rFonts w:eastAsia="Arial"/>
          <w:i/>
          <w:color w:val="000000"/>
          <w:sz w:val="18"/>
        </w:rPr>
        <w:t>Rucker</w:t>
      </w:r>
      <w:r>
        <w:rPr>
          <w:rFonts w:eastAsia="Arial"/>
          <w:color w:val="000000"/>
          <w:sz w:val="18"/>
        </w:rPr>
        <w:t xml:space="preserve"> that </w:t>
      </w:r>
      <w:hyperlink r:id="rId258" w:history="1">
        <w:r>
          <w:rPr>
            <w:rFonts w:eastAsia="Arial"/>
            <w:i/>
            <w:color w:val="0077CC"/>
            <w:sz w:val="18"/>
            <w:u w:val="single"/>
            <w:shd w:val="clear" w:color="auto" w:fill="FFFFFF"/>
          </w:rPr>
          <w:t xml:space="preserve">42 </w:t>
        </w:r>
      </w:hyperlink>
      <w:hyperlink r:id="rId259" w:history="1">
        <w:r>
          <w:rPr>
            <w:rFonts w:eastAsia="Arial"/>
            <w:b/>
            <w:i/>
            <w:color w:val="0077CC"/>
            <w:sz w:val="18"/>
            <w:u w:val="single"/>
            <w:shd w:val="clear" w:color="auto" w:fill="FFFFFF"/>
          </w:rPr>
          <w:t>U.S.</w:t>
        </w:r>
      </w:hyperlink>
      <w:hyperlink r:id="rId260" w:history="1">
        <w:r>
          <w:rPr>
            <w:rFonts w:eastAsia="Arial"/>
            <w:i/>
            <w:color w:val="0077CC"/>
            <w:sz w:val="18"/>
            <w:u w:val="single"/>
            <w:shd w:val="clear" w:color="auto" w:fill="FFFFFF"/>
          </w:rPr>
          <w:t>C. § 1437d</w:t>
        </w:r>
      </w:hyperlink>
      <w:r>
        <w:rPr>
          <w:rFonts w:eastAsia="Arial"/>
          <w:color w:val="000000"/>
          <w:sz w:val="18"/>
        </w:rPr>
        <w:t>(</w:t>
      </w:r>
      <w:r>
        <w:rPr>
          <w:rFonts w:eastAsia="Arial"/>
          <w:i/>
          <w:color w:val="000000"/>
          <w:sz w:val="18"/>
        </w:rPr>
        <w:t>l</w:t>
      </w:r>
      <w:r>
        <w:rPr>
          <w:rFonts w:eastAsia="Arial"/>
          <w:color w:val="000000"/>
          <w:sz w:val="18"/>
        </w:rPr>
        <w:t xml:space="preserve">)(6) does not violate the Due Process Clause of the Fourteenth Amendment or the Freedom of Association Clause of the First Amendment of the Constitution. </w:t>
      </w:r>
      <w:hyperlink r:id="rId261" w:history="1">
        <w:r>
          <w:rPr>
            <w:rFonts w:eastAsia="Arial"/>
            <w:i/>
            <w:color w:val="0077CC"/>
            <w:sz w:val="18"/>
            <w:u w:val="single"/>
            <w:shd w:val="clear" w:color="auto" w:fill="FFFFFF"/>
          </w:rPr>
          <w:t xml:space="preserve">Rucker, 535 </w:t>
        </w:r>
      </w:hyperlink>
      <w:hyperlink r:id="rId262" w:history="1">
        <w:r>
          <w:rPr>
            <w:rFonts w:eastAsia="Arial"/>
            <w:b/>
            <w:i/>
            <w:color w:val="0077CC"/>
            <w:sz w:val="18"/>
            <w:u w:val="single"/>
            <w:shd w:val="clear" w:color="auto" w:fill="FFFFFF"/>
          </w:rPr>
          <w:t>U.S.</w:t>
        </w:r>
      </w:hyperlink>
      <w:hyperlink r:id="rId263" w:history="1">
        <w:r>
          <w:rPr>
            <w:rFonts w:eastAsia="Arial"/>
            <w:i/>
            <w:color w:val="0077CC"/>
            <w:sz w:val="18"/>
            <w:u w:val="single"/>
            <w:shd w:val="clear" w:color="auto" w:fill="FFFFFF"/>
          </w:rPr>
          <w:t xml:space="preserve"> at 135-36.</w:t>
        </w:r>
      </w:hyperlink>
    </w:p>
  </w:footnote>
  <w:footnote w:id="173">
    <w:p w14:paraId="55C5E541" w14:textId="77777777" w:rsidR="005C4509" w:rsidRDefault="005C4509" w:rsidP="00D100E8">
      <w:pPr>
        <w:spacing w:before="200" w:line="240" w:lineRule="atLeast"/>
        <w:jc w:val="both"/>
      </w:pPr>
      <w:r>
        <w:rPr>
          <w:rFonts w:eastAsia="Arial"/>
          <w:color w:val="000000"/>
          <w:sz w:val="18"/>
          <w:vertAlign w:val="superscript"/>
        </w:rPr>
        <w:t>112 </w:t>
      </w:r>
      <w:r>
        <w:rPr>
          <w:rFonts w:eastAsia="Arial"/>
          <w:color w:val="000000"/>
          <w:sz w:val="18"/>
        </w:rPr>
        <w:t xml:space="preserve">  </w:t>
      </w:r>
      <w:hyperlink r:id="rId264" w:history="1">
        <w:r>
          <w:rPr>
            <w:rFonts w:eastAsia="Arial"/>
            <w:i/>
            <w:color w:val="0077CC"/>
            <w:sz w:val="18"/>
            <w:u w:val="single"/>
            <w:shd w:val="clear" w:color="auto" w:fill="FFFFFF"/>
          </w:rPr>
          <w:t xml:space="preserve">42 </w:t>
        </w:r>
      </w:hyperlink>
      <w:hyperlink r:id="rId265" w:history="1">
        <w:r>
          <w:rPr>
            <w:rFonts w:eastAsia="Arial"/>
            <w:b/>
            <w:i/>
            <w:color w:val="0077CC"/>
            <w:sz w:val="18"/>
            <w:u w:val="single"/>
            <w:shd w:val="clear" w:color="auto" w:fill="FFFFFF"/>
          </w:rPr>
          <w:t>U.S.</w:t>
        </w:r>
      </w:hyperlink>
      <w:hyperlink r:id="rId266" w:history="1">
        <w:r>
          <w:rPr>
            <w:rFonts w:eastAsia="Arial"/>
            <w:i/>
            <w:color w:val="0077CC"/>
            <w:sz w:val="18"/>
            <w:u w:val="single"/>
            <w:shd w:val="clear" w:color="auto" w:fill="FFFFFF"/>
          </w:rPr>
          <w:t>C. § 1437d</w:t>
        </w:r>
      </w:hyperlink>
      <w:r>
        <w:rPr>
          <w:rFonts w:eastAsia="Arial"/>
          <w:color w:val="000000"/>
          <w:sz w:val="18"/>
        </w:rPr>
        <w:t>(</w:t>
      </w:r>
      <w:r>
        <w:rPr>
          <w:rFonts w:eastAsia="Arial"/>
          <w:i/>
          <w:color w:val="000000"/>
          <w:sz w:val="18"/>
        </w:rPr>
        <w:t>l</w:t>
      </w:r>
      <w:r>
        <w:rPr>
          <w:rFonts w:eastAsia="Arial"/>
          <w:color w:val="000000"/>
          <w:sz w:val="18"/>
        </w:rPr>
        <w:t xml:space="preserve">)(6) (2004); Cain, </w:t>
      </w:r>
      <w:r>
        <w:rPr>
          <w:rFonts w:eastAsia="Arial"/>
          <w:i/>
          <w:color w:val="000000"/>
          <w:sz w:val="18"/>
        </w:rPr>
        <w:t>supra</w:t>
      </w:r>
      <w:r>
        <w:rPr>
          <w:rFonts w:eastAsia="Arial"/>
          <w:color w:val="000000"/>
          <w:sz w:val="18"/>
        </w:rPr>
        <w:t xml:space="preserve"> note 50, at 149; Rubinstein &amp; Mukamal, </w:t>
      </w:r>
      <w:r>
        <w:rPr>
          <w:rFonts w:eastAsia="Arial"/>
          <w:i/>
          <w:color w:val="000000"/>
          <w:sz w:val="18"/>
        </w:rPr>
        <w:t>supra</w:t>
      </w:r>
      <w:r>
        <w:rPr>
          <w:rFonts w:eastAsia="Arial"/>
          <w:color w:val="000000"/>
          <w:sz w:val="18"/>
        </w:rPr>
        <w:t xml:space="preserve"> note 80, at 46.</w:t>
      </w:r>
    </w:p>
  </w:footnote>
  <w:footnote w:id="174">
    <w:p w14:paraId="23F8DB69" w14:textId="77777777" w:rsidR="005C4509" w:rsidRDefault="005C4509" w:rsidP="00D100E8">
      <w:pPr>
        <w:spacing w:before="200" w:line="240" w:lineRule="atLeast"/>
        <w:jc w:val="both"/>
      </w:pPr>
      <w:r>
        <w:rPr>
          <w:rFonts w:eastAsia="Arial"/>
          <w:color w:val="000000"/>
          <w:sz w:val="18"/>
          <w:vertAlign w:val="superscript"/>
        </w:rPr>
        <w:t>113 </w:t>
      </w:r>
      <w:r>
        <w:rPr>
          <w:rFonts w:eastAsia="Arial"/>
          <w:color w:val="000000"/>
          <w:sz w:val="18"/>
        </w:rPr>
        <w:t xml:space="preserve"> Rubinstein &amp; Mukamal, </w:t>
      </w:r>
      <w:r>
        <w:rPr>
          <w:rFonts w:eastAsia="Arial"/>
          <w:i/>
          <w:color w:val="000000"/>
          <w:sz w:val="18"/>
        </w:rPr>
        <w:t>supra</w:t>
      </w:r>
      <w:r>
        <w:rPr>
          <w:rFonts w:eastAsia="Arial"/>
          <w:color w:val="000000"/>
          <w:sz w:val="18"/>
        </w:rPr>
        <w:t xml:space="preserve"> note 80, at 44-45.</w:t>
      </w:r>
    </w:p>
  </w:footnote>
  <w:footnote w:id="175">
    <w:p w14:paraId="1D061B18" w14:textId="77777777" w:rsidR="005C4509" w:rsidRDefault="005C4509" w:rsidP="00D100E8">
      <w:pPr>
        <w:spacing w:before="200" w:line="240" w:lineRule="atLeast"/>
        <w:jc w:val="both"/>
      </w:pPr>
      <w:r>
        <w:rPr>
          <w:rFonts w:eastAsia="Arial"/>
          <w:color w:val="000000"/>
          <w:sz w:val="18"/>
          <w:vertAlign w:val="superscript"/>
        </w:rPr>
        <w:t>114 </w:t>
      </w:r>
      <w:r>
        <w:rPr>
          <w:rFonts w:eastAsia="Arial"/>
          <w:color w:val="000000"/>
          <w:sz w:val="18"/>
        </w:rPr>
        <w:t xml:space="preserve">  </w:t>
      </w:r>
      <w:r>
        <w:rPr>
          <w:rFonts w:eastAsia="Arial"/>
          <w:i/>
          <w:color w:val="000000"/>
          <w:sz w:val="18"/>
        </w:rPr>
        <w:t>See</w:t>
      </w:r>
      <w:r>
        <w:rPr>
          <w:rFonts w:eastAsia="Arial"/>
          <w:color w:val="000000"/>
          <w:sz w:val="18"/>
        </w:rPr>
        <w:t xml:space="preserve"> Cain, </w:t>
      </w:r>
      <w:r>
        <w:rPr>
          <w:rFonts w:eastAsia="Arial"/>
          <w:i/>
          <w:color w:val="000000"/>
          <w:sz w:val="18"/>
        </w:rPr>
        <w:t>supra</w:t>
      </w:r>
      <w:r>
        <w:rPr>
          <w:rFonts w:eastAsia="Arial"/>
          <w:color w:val="000000"/>
          <w:sz w:val="18"/>
        </w:rPr>
        <w:t xml:space="preserve"> note 50, at 147.</w:t>
      </w:r>
    </w:p>
  </w:footnote>
  <w:footnote w:id="176">
    <w:p w14:paraId="0E4A3A4B" w14:textId="77777777" w:rsidR="005C4509" w:rsidRDefault="005C4509" w:rsidP="00D100E8">
      <w:pPr>
        <w:spacing w:before="200" w:line="240" w:lineRule="atLeast"/>
        <w:jc w:val="both"/>
      </w:pPr>
      <w:r>
        <w:rPr>
          <w:rFonts w:eastAsia="Arial"/>
          <w:color w:val="000000"/>
          <w:sz w:val="18"/>
          <w:vertAlign w:val="superscript"/>
        </w:rPr>
        <w:t>115 </w:t>
      </w:r>
      <w:r>
        <w:rPr>
          <w:rFonts w:eastAsia="Arial"/>
          <w:color w:val="000000"/>
          <w:sz w:val="18"/>
        </w:rPr>
        <w:t xml:space="preserve"> Rubinstein &amp; Mukamal, </w:t>
      </w:r>
      <w:r>
        <w:rPr>
          <w:rFonts w:eastAsia="Arial"/>
          <w:i/>
          <w:color w:val="000000"/>
          <w:sz w:val="18"/>
        </w:rPr>
        <w:t>supra</w:t>
      </w:r>
      <w:r>
        <w:rPr>
          <w:rFonts w:eastAsia="Arial"/>
          <w:color w:val="000000"/>
          <w:sz w:val="18"/>
        </w:rPr>
        <w:t xml:space="preserve"> note 80, at 47.</w:t>
      </w:r>
    </w:p>
  </w:footnote>
  <w:footnote w:id="177">
    <w:p w14:paraId="50AB092A" w14:textId="77777777" w:rsidR="005C4509" w:rsidRDefault="005C4509" w:rsidP="00D100E8">
      <w:pPr>
        <w:spacing w:before="200" w:line="240" w:lineRule="atLeast"/>
        <w:jc w:val="both"/>
      </w:pPr>
      <w:r>
        <w:rPr>
          <w:rFonts w:eastAsia="Arial"/>
          <w:color w:val="000000"/>
          <w:sz w:val="18"/>
          <w:vertAlign w:val="superscript"/>
        </w:rPr>
        <w:t>116 </w:t>
      </w:r>
      <w:r>
        <w:rPr>
          <w:rFonts w:eastAsia="Arial"/>
          <w:color w:val="000000"/>
          <w:sz w:val="18"/>
        </w:rPr>
        <w:t xml:space="preserve">  </w:t>
      </w:r>
      <w:r>
        <w:rPr>
          <w:rFonts w:eastAsia="Arial"/>
          <w:i/>
          <w:color w:val="000000"/>
          <w:sz w:val="18"/>
        </w:rPr>
        <w:t>Id.</w:t>
      </w:r>
    </w:p>
  </w:footnote>
  <w:footnote w:id="178">
    <w:p w14:paraId="4C8B79C2" w14:textId="77777777" w:rsidR="005C4509" w:rsidRDefault="005C4509" w:rsidP="00D100E8">
      <w:pPr>
        <w:spacing w:before="240" w:line="240" w:lineRule="atLeast"/>
        <w:jc w:val="both"/>
      </w:pPr>
      <w:r>
        <w:rPr>
          <w:rFonts w:eastAsia="Arial"/>
          <w:color w:val="000000"/>
          <w:sz w:val="18"/>
          <w:vertAlign w:val="superscript"/>
        </w:rPr>
        <w:t>117 </w:t>
      </w:r>
      <w:r>
        <w:rPr>
          <w:rFonts w:eastAsia="Arial"/>
          <w:color w:val="000000"/>
          <w:sz w:val="18"/>
        </w:rPr>
        <w:t xml:space="preserve"> Cain, </w:t>
      </w:r>
      <w:r>
        <w:rPr>
          <w:rFonts w:eastAsia="Arial"/>
          <w:i/>
          <w:color w:val="000000"/>
          <w:sz w:val="18"/>
        </w:rPr>
        <w:t>supra</w:t>
      </w:r>
      <w:r>
        <w:rPr>
          <w:rFonts w:eastAsia="Arial"/>
          <w:color w:val="000000"/>
          <w:sz w:val="18"/>
        </w:rPr>
        <w:t xml:space="preserve"> note 50, at 148. According to a United Kingdom study, two-thirds of ex-offenders without satisfactory accommodations re-offend within twelve months after release, in contrast to only one-fourth of ex-offenders who obtain adequate housing. </w:t>
      </w:r>
      <w:r>
        <w:rPr>
          <w:rFonts w:eastAsia="Arial"/>
          <w:i/>
          <w:color w:val="000000"/>
          <w:sz w:val="18"/>
        </w:rPr>
        <w:t>Id.</w:t>
      </w:r>
      <w:r>
        <w:rPr>
          <w:rFonts w:eastAsia="Arial"/>
          <w:color w:val="000000"/>
          <w:sz w:val="18"/>
        </w:rPr>
        <w:t xml:space="preserve"> (citing CTR. FOR Hous. POLICY, THE HOUSING NEEDS OF EX-PRISONERS (1996), </w:t>
      </w:r>
      <w:r>
        <w:rPr>
          <w:rFonts w:eastAsia="Arial"/>
          <w:i/>
          <w:color w:val="000000"/>
          <w:sz w:val="18"/>
        </w:rPr>
        <w:t>available at</w:t>
      </w:r>
      <w:r>
        <w:rPr>
          <w:rFonts w:eastAsia="Arial"/>
          <w:color w:val="000000"/>
          <w:sz w:val="18"/>
        </w:rPr>
        <w:t xml:space="preserve"> </w:t>
      </w:r>
      <w:hyperlink r:id="rId267" w:history="1">
        <w:r>
          <w:rPr>
            <w:rFonts w:eastAsia="Arial"/>
            <w:i/>
            <w:color w:val="0077CC"/>
            <w:sz w:val="18"/>
            <w:u w:val="single"/>
            <w:shd w:val="clear" w:color="auto" w:fill="FFFFFF"/>
          </w:rPr>
          <w:t>http://www.jrf.org.uk/knowledge/findings/housing/H178.asp</w:t>
        </w:r>
      </w:hyperlink>
      <w:r>
        <w:rPr>
          <w:rFonts w:eastAsia="Arial"/>
          <w:color w:val="000000"/>
          <w:sz w:val="18"/>
        </w:rPr>
        <w:t xml:space="preserve">). </w:t>
      </w:r>
    </w:p>
  </w:footnote>
  <w:footnote w:id="179">
    <w:p w14:paraId="1DCAD7BA" w14:textId="77777777" w:rsidR="005C4509" w:rsidRDefault="005C4509" w:rsidP="00D100E8">
      <w:pPr>
        <w:spacing w:before="240" w:line="240" w:lineRule="atLeast"/>
        <w:jc w:val="both"/>
      </w:pPr>
      <w:r>
        <w:rPr>
          <w:rFonts w:eastAsia="Arial"/>
          <w:color w:val="000000"/>
          <w:sz w:val="18"/>
          <w:vertAlign w:val="superscript"/>
        </w:rPr>
        <w:t>118 </w:t>
      </w:r>
      <w:r>
        <w:rPr>
          <w:rFonts w:eastAsia="Arial"/>
          <w:color w:val="000000"/>
          <w:sz w:val="18"/>
        </w:rPr>
        <w:t xml:space="preserve"> JEREMY TRAVIS ET AL., URBAN INST., FROM PRISON TO HOME: THE DIMENSIONS AND CONSEQUENCES OF PRISONER REENTRY 35 (2001), </w:t>
      </w:r>
      <w:r>
        <w:rPr>
          <w:rFonts w:eastAsia="Arial"/>
          <w:i/>
          <w:color w:val="000000"/>
          <w:sz w:val="18"/>
        </w:rPr>
        <w:t>available at</w:t>
      </w:r>
      <w:r>
        <w:rPr>
          <w:rFonts w:eastAsia="Arial"/>
          <w:color w:val="000000"/>
          <w:sz w:val="18"/>
        </w:rPr>
        <w:t xml:space="preserve"> </w:t>
      </w:r>
      <w:hyperlink r:id="rId268" w:history="1">
        <w:r>
          <w:rPr>
            <w:rFonts w:eastAsia="Arial"/>
            <w:i/>
            <w:color w:val="0077CC"/>
            <w:sz w:val="18"/>
            <w:u w:val="single"/>
            <w:shd w:val="clear" w:color="auto" w:fill="FFFFFF"/>
          </w:rPr>
          <w:t>http://www.urban.org/UploadedPDF/from_prison_to_home.pdf</w:t>
        </w:r>
      </w:hyperlink>
      <w:r>
        <w:rPr>
          <w:rFonts w:eastAsia="Arial"/>
          <w:color w:val="000000"/>
          <w:sz w:val="18"/>
        </w:rPr>
        <w:t xml:space="preserve">. </w:t>
      </w:r>
    </w:p>
  </w:footnote>
  <w:footnote w:id="180">
    <w:p w14:paraId="09C2C2A8" w14:textId="77777777" w:rsidR="005C4509" w:rsidRDefault="005C4509" w:rsidP="00D100E8">
      <w:pPr>
        <w:spacing w:before="200" w:line="240" w:lineRule="atLeast"/>
        <w:jc w:val="both"/>
      </w:pPr>
      <w:r>
        <w:rPr>
          <w:rFonts w:eastAsia="Arial"/>
          <w:color w:val="000000"/>
          <w:sz w:val="18"/>
          <w:vertAlign w:val="superscript"/>
        </w:rPr>
        <w:t>119 </w:t>
      </w:r>
      <w:r>
        <w:rPr>
          <w:rFonts w:eastAsia="Arial"/>
          <w:color w:val="000000"/>
          <w:sz w:val="18"/>
        </w:rPr>
        <w:t xml:space="preserve">  </w:t>
      </w:r>
      <w:r>
        <w:rPr>
          <w:rFonts w:eastAsia="Arial"/>
          <w:i/>
          <w:color w:val="000000"/>
          <w:sz w:val="18"/>
        </w:rPr>
        <w:t>See id.</w:t>
      </w:r>
    </w:p>
  </w:footnote>
  <w:footnote w:id="181">
    <w:p w14:paraId="0FB25078" w14:textId="77777777" w:rsidR="005C4509" w:rsidRDefault="005C4509" w:rsidP="00D100E8">
      <w:pPr>
        <w:spacing w:before="240" w:line="240" w:lineRule="atLeast"/>
        <w:jc w:val="both"/>
      </w:pPr>
      <w:r>
        <w:rPr>
          <w:rFonts w:eastAsia="Arial"/>
          <w:color w:val="000000"/>
          <w:sz w:val="18"/>
          <w:vertAlign w:val="superscript"/>
        </w:rPr>
        <w:t>120 </w:t>
      </w:r>
      <w:r>
        <w:rPr>
          <w:rFonts w:eastAsia="Arial"/>
          <w:color w:val="000000"/>
          <w:sz w:val="18"/>
        </w:rPr>
        <w:t xml:space="preserve">  </w:t>
      </w:r>
      <w:r>
        <w:rPr>
          <w:rFonts w:eastAsia="Arial"/>
          <w:i/>
          <w:color w:val="000000"/>
          <w:sz w:val="18"/>
        </w:rPr>
        <w:t>Id.</w:t>
      </w:r>
      <w:r>
        <w:rPr>
          <w:rFonts w:eastAsia="Arial"/>
          <w:color w:val="000000"/>
          <w:sz w:val="18"/>
        </w:rPr>
        <w:t xml:space="preserve"> at 41. This could also prevent parents from regaining custody of their children after a period of incarceration. The Adoption and Safe Families Act mandates that state child welfare agencies initiate termination of parental rights proceedings for children who have not lived with a biological parent in the last fifteen of the most recent twenty-two months. Adoption and Safe Families Act of 1997, Pub. L. No. 105-89, § 103(a), </w:t>
      </w:r>
      <w:r>
        <w:rPr>
          <w:rFonts w:eastAsia="Arial"/>
          <w:b/>
          <w:i/>
          <w:color w:val="000000"/>
          <w:sz w:val="18"/>
        </w:rPr>
        <w:t>111 Stat. 2115</w:t>
      </w:r>
      <w:r>
        <w:rPr>
          <w:rFonts w:eastAsia="Arial"/>
          <w:color w:val="000000"/>
          <w:sz w:val="18"/>
        </w:rPr>
        <w:t xml:space="preserve"> (codified at </w:t>
      </w:r>
      <w:hyperlink r:id="rId269" w:history="1">
        <w:r>
          <w:rPr>
            <w:rFonts w:eastAsia="Arial"/>
            <w:i/>
            <w:color w:val="0077CC"/>
            <w:sz w:val="18"/>
            <w:u w:val="single"/>
            <w:shd w:val="clear" w:color="auto" w:fill="FFFFFF"/>
          </w:rPr>
          <w:t xml:space="preserve">42 </w:t>
        </w:r>
      </w:hyperlink>
      <w:hyperlink r:id="rId270" w:history="1">
        <w:r>
          <w:rPr>
            <w:rFonts w:eastAsia="Arial"/>
            <w:b/>
            <w:i/>
            <w:color w:val="0077CC"/>
            <w:sz w:val="18"/>
            <w:u w:val="single"/>
            <w:shd w:val="clear" w:color="auto" w:fill="FFFFFF"/>
          </w:rPr>
          <w:t>U.S.</w:t>
        </w:r>
      </w:hyperlink>
      <w:hyperlink r:id="rId271" w:history="1">
        <w:r>
          <w:rPr>
            <w:rFonts w:eastAsia="Arial"/>
            <w:i/>
            <w:color w:val="0077CC"/>
            <w:sz w:val="18"/>
            <w:u w:val="single"/>
            <w:shd w:val="clear" w:color="auto" w:fill="FFFFFF"/>
          </w:rPr>
          <w:t>C. § 675</w:t>
        </w:r>
      </w:hyperlink>
      <w:r>
        <w:rPr>
          <w:rFonts w:eastAsia="Arial"/>
          <w:color w:val="000000"/>
          <w:sz w:val="18"/>
        </w:rPr>
        <w:t>(5)(E) (1997)). There is no exception for incarcerated parents.</w:t>
      </w:r>
    </w:p>
  </w:footnote>
  <w:footnote w:id="182">
    <w:p w14:paraId="46C5D03A" w14:textId="77777777" w:rsidR="005C4509" w:rsidRDefault="005C4509" w:rsidP="00D100E8">
      <w:pPr>
        <w:spacing w:before="200" w:line="240" w:lineRule="atLeast"/>
        <w:jc w:val="both"/>
      </w:pPr>
      <w:r>
        <w:rPr>
          <w:rFonts w:eastAsia="Arial"/>
          <w:color w:val="000000"/>
          <w:sz w:val="18"/>
          <w:vertAlign w:val="superscript"/>
        </w:rPr>
        <w:t>121 </w:t>
      </w:r>
      <w:r>
        <w:rPr>
          <w:rFonts w:eastAsia="Arial"/>
          <w:color w:val="000000"/>
          <w:sz w:val="18"/>
        </w:rPr>
        <w:t xml:space="preserve"> ALLARD, </w:t>
      </w:r>
      <w:r>
        <w:rPr>
          <w:rFonts w:eastAsia="Arial"/>
          <w:i/>
          <w:color w:val="000000"/>
          <w:sz w:val="18"/>
        </w:rPr>
        <w:t>supra</w:t>
      </w:r>
      <w:r>
        <w:rPr>
          <w:rFonts w:eastAsia="Arial"/>
          <w:color w:val="000000"/>
          <w:sz w:val="18"/>
        </w:rPr>
        <w:t xml:space="preserve"> note 66, at 12.</w:t>
      </w:r>
    </w:p>
  </w:footnote>
  <w:footnote w:id="183">
    <w:p w14:paraId="2DD22999" w14:textId="77777777" w:rsidR="005C4509" w:rsidRDefault="005C4509" w:rsidP="00D100E8">
      <w:pPr>
        <w:spacing w:before="240" w:line="240" w:lineRule="atLeast"/>
        <w:jc w:val="both"/>
      </w:pPr>
      <w:r>
        <w:rPr>
          <w:rFonts w:eastAsia="Arial"/>
          <w:color w:val="000000"/>
          <w:sz w:val="18"/>
          <w:vertAlign w:val="superscript"/>
        </w:rPr>
        <w:t>122 </w:t>
      </w:r>
      <w:r>
        <w:rPr>
          <w:rFonts w:eastAsia="Arial"/>
          <w:color w:val="000000"/>
          <w:sz w:val="18"/>
        </w:rPr>
        <w:t xml:space="preserve"> Cain, </w:t>
      </w:r>
      <w:r>
        <w:rPr>
          <w:rFonts w:eastAsia="Arial"/>
          <w:i/>
          <w:color w:val="000000"/>
          <w:sz w:val="18"/>
        </w:rPr>
        <w:t>supra</w:t>
      </w:r>
      <w:r>
        <w:rPr>
          <w:rFonts w:eastAsia="Arial"/>
          <w:color w:val="000000"/>
          <w:sz w:val="18"/>
        </w:rPr>
        <w:t xml:space="preserve"> note 50, at 162 (citing </w:t>
      </w:r>
      <w:hyperlink r:id="rId272" w:history="1">
        <w:r>
          <w:rPr>
            <w:rFonts w:eastAsia="Arial"/>
            <w:i/>
            <w:color w:val="0077CC"/>
            <w:sz w:val="18"/>
            <w:u w:val="single"/>
            <w:shd w:val="clear" w:color="auto" w:fill="FFFFFF"/>
          </w:rPr>
          <w:t xml:space="preserve">Dep't of Hous. &amp; Urban Dev. v. Rucker, 535 </w:t>
        </w:r>
      </w:hyperlink>
      <w:hyperlink r:id="rId273" w:history="1">
        <w:r>
          <w:rPr>
            <w:rFonts w:eastAsia="Arial"/>
            <w:b/>
            <w:i/>
            <w:color w:val="0077CC"/>
            <w:sz w:val="18"/>
            <w:u w:val="single"/>
            <w:shd w:val="clear" w:color="auto" w:fill="FFFFFF"/>
          </w:rPr>
          <w:t>U.S.</w:t>
        </w:r>
      </w:hyperlink>
      <w:hyperlink r:id="rId274" w:history="1">
        <w:r>
          <w:rPr>
            <w:rFonts w:eastAsia="Arial"/>
            <w:i/>
            <w:color w:val="0077CC"/>
            <w:sz w:val="18"/>
            <w:u w:val="single"/>
            <w:shd w:val="clear" w:color="auto" w:fill="FFFFFF"/>
          </w:rPr>
          <w:t xml:space="preserve"> 125, 135 (2002)).</w:t>
        </w:r>
      </w:hyperlink>
    </w:p>
  </w:footnote>
  <w:footnote w:id="184">
    <w:p w14:paraId="729294F7" w14:textId="77777777" w:rsidR="005C4509" w:rsidRDefault="005C4509" w:rsidP="00D100E8">
      <w:pPr>
        <w:spacing w:before="200" w:line="240" w:lineRule="atLeast"/>
        <w:jc w:val="both"/>
      </w:pPr>
      <w:r>
        <w:rPr>
          <w:rFonts w:eastAsia="Arial"/>
          <w:color w:val="000000"/>
          <w:sz w:val="18"/>
          <w:vertAlign w:val="superscript"/>
        </w:rPr>
        <w:t>123 </w:t>
      </w:r>
      <w:r>
        <w:rPr>
          <w:rFonts w:eastAsia="Arial"/>
          <w:color w:val="000000"/>
          <w:sz w:val="18"/>
        </w:rPr>
        <w:t xml:space="preserve"> Rubinstein &amp; Mukamal, </w:t>
      </w:r>
      <w:r>
        <w:rPr>
          <w:rFonts w:eastAsia="Arial"/>
          <w:i/>
          <w:color w:val="000000"/>
          <w:sz w:val="18"/>
        </w:rPr>
        <w:t>supra</w:t>
      </w:r>
      <w:r>
        <w:rPr>
          <w:rFonts w:eastAsia="Arial"/>
          <w:color w:val="000000"/>
          <w:sz w:val="18"/>
        </w:rPr>
        <w:t xml:space="preserve"> note 80, at 48.</w:t>
      </w:r>
    </w:p>
  </w:footnote>
  <w:footnote w:id="185">
    <w:p w14:paraId="7C69C562" w14:textId="77777777" w:rsidR="005C4509" w:rsidRDefault="005C4509" w:rsidP="00D100E8">
      <w:pPr>
        <w:spacing w:before="200" w:line="240" w:lineRule="atLeast"/>
        <w:jc w:val="both"/>
      </w:pPr>
      <w:r>
        <w:rPr>
          <w:rFonts w:eastAsia="Arial"/>
          <w:color w:val="000000"/>
          <w:sz w:val="18"/>
          <w:vertAlign w:val="superscript"/>
        </w:rPr>
        <w:t>124 </w:t>
      </w:r>
      <w:r>
        <w:rPr>
          <w:rFonts w:eastAsia="Arial"/>
          <w:color w:val="000000"/>
          <w:sz w:val="18"/>
        </w:rPr>
        <w:t xml:space="preserve"> TRAVIS ET AL., </w:t>
      </w:r>
      <w:r>
        <w:rPr>
          <w:rFonts w:eastAsia="Arial"/>
          <w:i/>
          <w:color w:val="000000"/>
          <w:sz w:val="18"/>
        </w:rPr>
        <w:t>supra</w:t>
      </w:r>
      <w:r>
        <w:rPr>
          <w:rFonts w:eastAsia="Arial"/>
          <w:color w:val="000000"/>
          <w:sz w:val="18"/>
        </w:rPr>
        <w:t xml:space="preserve"> note 118, at 36.</w:t>
      </w:r>
    </w:p>
  </w:footnote>
  <w:footnote w:id="186">
    <w:p w14:paraId="42269E91" w14:textId="77777777" w:rsidR="005C4509" w:rsidRDefault="005C4509" w:rsidP="000E1943">
      <w:pPr>
        <w:spacing w:before="240" w:line="240" w:lineRule="atLeast"/>
        <w:jc w:val="both"/>
      </w:pPr>
      <w:r>
        <w:rPr>
          <w:rFonts w:eastAsia="Arial"/>
          <w:color w:val="000000"/>
          <w:sz w:val="18"/>
          <w:vertAlign w:val="superscript"/>
        </w:rPr>
        <w:t>153 </w:t>
      </w:r>
      <w:r>
        <w:rPr>
          <w:rFonts w:eastAsia="Arial"/>
          <w:color w:val="000000"/>
          <w:sz w:val="18"/>
        </w:rPr>
        <w:t xml:space="preserve">  See Sandra G. Mayson, Collateral Consequences and the Preventive State, </w:t>
      </w:r>
      <w:hyperlink r:id="rId275" w:history="1">
        <w:r>
          <w:rPr>
            <w:rFonts w:eastAsia="Arial"/>
            <w:i/>
            <w:color w:val="0077CC"/>
            <w:sz w:val="18"/>
            <w:u w:val="single"/>
            <w:shd w:val="clear" w:color="auto" w:fill="FFFFFF"/>
          </w:rPr>
          <w:t>91 Notre Dame L. Rev. 301, 301 (2015)</w:t>
        </w:r>
      </w:hyperlink>
      <w:r>
        <w:rPr>
          <w:rFonts w:eastAsia="Arial"/>
          <w:color w:val="000000"/>
          <w:sz w:val="18"/>
        </w:rPr>
        <w:t xml:space="preserve">.  </w:t>
      </w:r>
    </w:p>
  </w:footnote>
  <w:footnote w:id="187">
    <w:p w14:paraId="5E9E05CA" w14:textId="77777777" w:rsidR="005C4509" w:rsidRDefault="005C4509" w:rsidP="000E1943">
      <w:pPr>
        <w:spacing w:before="120" w:line="240" w:lineRule="atLeast"/>
        <w:jc w:val="both"/>
      </w:pPr>
      <w:r>
        <w:rPr>
          <w:rFonts w:eastAsia="Arial"/>
          <w:color w:val="000000"/>
          <w:sz w:val="18"/>
          <w:vertAlign w:val="superscript"/>
        </w:rPr>
        <w:t>154 </w:t>
      </w:r>
      <w:r>
        <w:rPr>
          <w:rFonts w:eastAsia="Arial"/>
          <w:color w:val="000000"/>
          <w:sz w:val="18"/>
        </w:rPr>
        <w:t xml:space="preserve">  Id. </w:t>
      </w:r>
    </w:p>
  </w:footnote>
  <w:footnote w:id="188">
    <w:p w14:paraId="6F51081F" w14:textId="77777777" w:rsidR="005C4509" w:rsidRDefault="005C4509" w:rsidP="000E1943">
      <w:pPr>
        <w:spacing w:before="120" w:line="240" w:lineRule="atLeast"/>
        <w:jc w:val="both"/>
      </w:pPr>
      <w:r>
        <w:rPr>
          <w:rFonts w:eastAsia="Arial"/>
          <w:color w:val="000000"/>
          <w:sz w:val="18"/>
          <w:vertAlign w:val="superscript"/>
        </w:rPr>
        <w:t>155 </w:t>
      </w:r>
      <w:r>
        <w:rPr>
          <w:rFonts w:eastAsia="Arial"/>
          <w:color w:val="000000"/>
          <w:sz w:val="18"/>
        </w:rPr>
        <w:t xml:space="preserve">   Id. at 359.  </w:t>
      </w:r>
    </w:p>
  </w:footnote>
  <w:footnote w:id="189">
    <w:p w14:paraId="12B18321" w14:textId="77777777" w:rsidR="005C4509" w:rsidRDefault="005C4509" w:rsidP="000E1943">
      <w:pPr>
        <w:spacing w:before="240" w:line="240" w:lineRule="atLeast"/>
        <w:jc w:val="both"/>
      </w:pPr>
      <w:r>
        <w:rPr>
          <w:rFonts w:eastAsia="Arial"/>
          <w:color w:val="000000"/>
          <w:sz w:val="18"/>
          <w:vertAlign w:val="superscript"/>
        </w:rPr>
        <w:t>156 </w:t>
      </w:r>
      <w:r>
        <w:rPr>
          <w:rFonts w:eastAsia="Arial"/>
          <w:color w:val="000000"/>
          <w:sz w:val="18"/>
        </w:rPr>
        <w:t xml:space="preserve">   Id. at 359-60; see also Miriam J. Aukerman, The Somewhat Suspect Class: Towards a Constitutional Framework for Evaluating Occupational Restrictions Affecting People with Criminal Records, </w:t>
      </w:r>
      <w:hyperlink r:id="rId276" w:history="1">
        <w:r>
          <w:rPr>
            <w:rFonts w:eastAsia="Arial"/>
            <w:i/>
            <w:color w:val="0077CC"/>
            <w:sz w:val="18"/>
            <w:u w:val="single"/>
            <w:shd w:val="clear" w:color="auto" w:fill="FFFFFF"/>
          </w:rPr>
          <w:t>7 J.L. Soc'y 18, 19-20 (2005)</w:t>
        </w:r>
      </w:hyperlink>
      <w:r>
        <w:rPr>
          <w:rFonts w:eastAsia="Arial"/>
          <w:color w:val="000000"/>
          <w:sz w:val="18"/>
        </w:rPr>
        <w:t xml:space="preserve">.  </w:t>
      </w:r>
    </w:p>
  </w:footnote>
  <w:footnote w:id="190">
    <w:p w14:paraId="3F0031D3" w14:textId="77777777" w:rsidR="005C4509" w:rsidRDefault="005C4509" w:rsidP="000E1943">
      <w:pPr>
        <w:spacing w:before="120" w:line="240" w:lineRule="atLeast"/>
        <w:jc w:val="both"/>
      </w:pPr>
      <w:r>
        <w:rPr>
          <w:rFonts w:eastAsia="Arial"/>
          <w:color w:val="000000"/>
          <w:sz w:val="18"/>
          <w:vertAlign w:val="superscript"/>
        </w:rPr>
        <w:t>157 </w:t>
      </w:r>
      <w:r>
        <w:rPr>
          <w:rFonts w:eastAsia="Arial"/>
          <w:color w:val="000000"/>
          <w:sz w:val="18"/>
        </w:rPr>
        <w:t xml:space="preserve">  See Chin, The New Civil Death, supra note . </w:t>
      </w:r>
    </w:p>
  </w:footnote>
  <w:footnote w:id="191">
    <w:p w14:paraId="05844545" w14:textId="77777777" w:rsidR="005C4509" w:rsidRDefault="005C4509" w:rsidP="000E1943">
      <w:pPr>
        <w:spacing w:before="240" w:line="240" w:lineRule="atLeast"/>
        <w:jc w:val="both"/>
      </w:pPr>
      <w:r>
        <w:rPr>
          <w:rFonts w:eastAsia="Arial"/>
          <w:color w:val="000000"/>
          <w:sz w:val="18"/>
          <w:vertAlign w:val="superscript"/>
        </w:rPr>
        <w:t>158 </w:t>
      </w:r>
      <w:r>
        <w:rPr>
          <w:rFonts w:eastAsia="Arial"/>
          <w:color w:val="000000"/>
          <w:sz w:val="18"/>
        </w:rPr>
        <w:t xml:space="preserve">  </w:t>
      </w:r>
      <w:hyperlink r:id="rId277" w:history="1">
        <w:r>
          <w:rPr>
            <w:rFonts w:eastAsia="Arial"/>
            <w:i/>
            <w:color w:val="0077CC"/>
            <w:sz w:val="18"/>
            <w:u w:val="single"/>
            <w:shd w:val="clear" w:color="auto" w:fill="FFFFFF"/>
          </w:rPr>
          <w:t>Id. at 1816-19</w:t>
        </w:r>
      </w:hyperlink>
      <w:r>
        <w:rPr>
          <w:rFonts w:eastAsia="Arial"/>
          <w:color w:val="000000"/>
          <w:sz w:val="18"/>
        </w:rPr>
        <w:t xml:space="preserve">. </w:t>
      </w:r>
    </w:p>
  </w:footnote>
  <w:footnote w:id="192">
    <w:p w14:paraId="3E6224D5" w14:textId="77777777" w:rsidR="005C4509" w:rsidRDefault="005C4509" w:rsidP="000E1943">
      <w:pPr>
        <w:spacing w:before="240" w:line="240" w:lineRule="atLeast"/>
        <w:jc w:val="both"/>
      </w:pPr>
      <w:r>
        <w:rPr>
          <w:rFonts w:eastAsia="Arial"/>
          <w:color w:val="000000"/>
          <w:sz w:val="18"/>
          <w:vertAlign w:val="superscript"/>
        </w:rPr>
        <w:t>159 </w:t>
      </w:r>
      <w:r>
        <w:rPr>
          <w:rFonts w:eastAsia="Arial"/>
          <w:color w:val="000000"/>
          <w:sz w:val="18"/>
        </w:rPr>
        <w:t xml:space="preserve">  </w:t>
      </w:r>
      <w:hyperlink r:id="rId278" w:history="1">
        <w:r>
          <w:rPr>
            <w:rFonts w:eastAsia="Arial"/>
            <w:i/>
            <w:color w:val="0077CC"/>
            <w:sz w:val="18"/>
            <w:u w:val="single"/>
            <w:shd w:val="clear" w:color="auto" w:fill="FFFFFF"/>
          </w:rPr>
          <w:t>Id. at 1826-30</w:t>
        </w:r>
      </w:hyperlink>
      <w:r>
        <w:rPr>
          <w:rFonts w:eastAsia="Arial"/>
          <w:color w:val="000000"/>
          <w:sz w:val="18"/>
        </w:rPr>
        <w:t xml:space="preserve">. This article has been considered by </w:t>
      </w:r>
      <w:r>
        <w:rPr>
          <w:rFonts w:eastAsia="Arial"/>
          <w:b/>
          <w:i/>
          <w:color w:val="000000"/>
          <w:sz w:val="18"/>
          <w:u w:val="single"/>
        </w:rPr>
        <w:t>courts</w:t>
      </w:r>
      <w:r>
        <w:rPr>
          <w:rFonts w:eastAsia="Arial"/>
          <w:color w:val="000000"/>
          <w:sz w:val="18"/>
        </w:rPr>
        <w:t xml:space="preserve">. See, e.g., </w:t>
      </w:r>
      <w:hyperlink r:id="rId279" w:history="1">
        <w:r>
          <w:rPr>
            <w:rFonts w:eastAsia="Arial"/>
            <w:i/>
            <w:color w:val="0077CC"/>
            <w:sz w:val="18"/>
            <w:u w:val="single"/>
            <w:shd w:val="clear" w:color="auto" w:fill="FFFFFF"/>
          </w:rPr>
          <w:t>Utah v. Strieff, 136 S. Ct. 2056, 2070 (2016)</w:t>
        </w:r>
      </w:hyperlink>
      <w:r>
        <w:rPr>
          <w:rFonts w:eastAsia="Arial"/>
          <w:color w:val="000000"/>
          <w:sz w:val="18"/>
        </w:rPr>
        <w:t xml:space="preserve"> (Sotomayor, J., dissenting) ("Even if you are innocent, you will now join the 65 million Americans with an arrest record and experience the "civil death' of discrimination by employers, landlords, and whoever else conducts a background check." (quoting Chin, The New Civil Death, supra note , at 1805)); </w:t>
      </w:r>
      <w:hyperlink r:id="rId280" w:history="1">
        <w:r>
          <w:rPr>
            <w:rFonts w:eastAsia="Arial"/>
            <w:b/>
            <w:i/>
            <w:color w:val="0077CC"/>
            <w:sz w:val="18"/>
            <w:u w:val="single"/>
            <w:shd w:val="clear" w:color="auto" w:fill="FFFFFF"/>
          </w:rPr>
          <w:t>United States</w:t>
        </w:r>
      </w:hyperlink>
      <w:hyperlink r:id="rId281" w:history="1">
        <w:r>
          <w:rPr>
            <w:rFonts w:eastAsia="Arial"/>
            <w:i/>
            <w:color w:val="0077CC"/>
            <w:sz w:val="18"/>
            <w:u w:val="single"/>
            <w:shd w:val="clear" w:color="auto" w:fill="FFFFFF"/>
          </w:rPr>
          <w:t xml:space="preserve"> v. Brank, 2018 WL 732704, at 2 (9th Cir. Feb. 6, 2018)</w:t>
        </w:r>
      </w:hyperlink>
      <w:r>
        <w:rPr>
          <w:rFonts w:eastAsia="Arial"/>
          <w:color w:val="000000"/>
          <w:sz w:val="18"/>
        </w:rPr>
        <w:t xml:space="preserve"> (Reinhardt, J., concurring in part and dissenting in part) ("We must interpret criminal statutes (and similar civil statutes, such as immigration laws) narrowly, because we recognize their especially weighty consequences for individuals' lives. Our jurisprudence must take into account both the severity of criminal penalties themselves and the web of collateral consequences that attend a criminal conviction - the potential for loss of voting rights; restrictions on movement; difficulty in obtaining employment, apartment leases, and admission to professional organizations; and, in many cases, the possibility of deportation to a place that is not now and may never have been home - with all the anguish and hardship that attends the prospect of permanent separation from family, and the anxiety of not knowing at what moment this expulsion might occur.") (citing Chin, The New Civil Death, supra note , at 1799-1803). </w:t>
      </w:r>
    </w:p>
  </w:footnote>
  <w:footnote w:id="193">
    <w:p w14:paraId="562BE521" w14:textId="77777777" w:rsidR="005C4509" w:rsidRDefault="005C4509" w:rsidP="000E1943">
      <w:pPr>
        <w:spacing w:before="240" w:line="240" w:lineRule="atLeast"/>
        <w:jc w:val="both"/>
      </w:pPr>
      <w:r>
        <w:rPr>
          <w:rFonts w:eastAsia="Arial"/>
          <w:color w:val="000000"/>
          <w:sz w:val="18"/>
          <w:vertAlign w:val="superscript"/>
        </w:rPr>
        <w:t>160 </w:t>
      </w:r>
      <w:r>
        <w:rPr>
          <w:rFonts w:eastAsia="Arial"/>
          <w:color w:val="000000"/>
          <w:sz w:val="18"/>
        </w:rPr>
        <w:t xml:space="preserve">  Gabriel J. Chin &amp; John Ormonde, Infamous Misdemeanors and the Grand Jury Clause, </w:t>
      </w:r>
      <w:hyperlink r:id="rId282" w:history="1">
        <w:r>
          <w:rPr>
            <w:rFonts w:eastAsia="Arial"/>
            <w:i/>
            <w:color w:val="0077CC"/>
            <w:sz w:val="18"/>
            <w:u w:val="single"/>
            <w:shd w:val="clear" w:color="auto" w:fill="FFFFFF"/>
          </w:rPr>
          <w:t>102 Minn. L. Rev. 1911 (2018)</w:t>
        </w:r>
      </w:hyperlink>
      <w:r>
        <w:rPr>
          <w:rFonts w:eastAsia="Arial"/>
          <w:color w:val="000000"/>
          <w:sz w:val="18"/>
        </w:rPr>
        <w:t xml:space="preserve">.  </w:t>
      </w:r>
    </w:p>
  </w:footnote>
  <w:footnote w:id="194">
    <w:p w14:paraId="6D021673" w14:textId="77777777" w:rsidR="005C4509" w:rsidRDefault="005C4509" w:rsidP="000E1943">
      <w:pPr>
        <w:spacing w:before="120" w:line="240" w:lineRule="atLeast"/>
        <w:jc w:val="both"/>
      </w:pPr>
      <w:r>
        <w:rPr>
          <w:rFonts w:eastAsia="Arial"/>
          <w:color w:val="000000"/>
          <w:sz w:val="18"/>
          <w:vertAlign w:val="superscript"/>
        </w:rPr>
        <w:t>161 </w:t>
      </w:r>
      <w:r>
        <w:rPr>
          <w:rFonts w:eastAsia="Arial"/>
          <w:color w:val="000000"/>
          <w:sz w:val="18"/>
        </w:rPr>
        <w:t xml:space="preserve">   Id. at 1914-15.  </w:t>
      </w:r>
    </w:p>
  </w:footnote>
  <w:footnote w:id="195">
    <w:p w14:paraId="04243676" w14:textId="77777777" w:rsidR="005C4509" w:rsidRDefault="005C4509" w:rsidP="000E1943">
      <w:pPr>
        <w:spacing w:before="240" w:line="240" w:lineRule="atLeast"/>
        <w:jc w:val="both"/>
      </w:pPr>
      <w:r>
        <w:rPr>
          <w:rFonts w:eastAsia="Arial"/>
          <w:color w:val="000000"/>
          <w:sz w:val="18"/>
          <w:vertAlign w:val="superscript"/>
        </w:rPr>
        <w:t>162 </w:t>
      </w:r>
      <w:r>
        <w:rPr>
          <w:rFonts w:eastAsia="Arial"/>
          <w:color w:val="000000"/>
          <w:sz w:val="18"/>
        </w:rPr>
        <w:t xml:space="preserve">  Joshua Kaiser, We Know It When We See It: The Tenuous Line Between "Direct Punishment" and "Collateral Consequences", </w:t>
      </w:r>
      <w:hyperlink r:id="rId283" w:history="1">
        <w:r>
          <w:rPr>
            <w:rFonts w:eastAsia="Arial"/>
            <w:i/>
            <w:color w:val="0077CC"/>
            <w:sz w:val="18"/>
            <w:u w:val="single"/>
            <w:shd w:val="clear" w:color="auto" w:fill="FFFFFF"/>
          </w:rPr>
          <w:t>59 How. L.J. 341, 343 (2016)</w:t>
        </w:r>
      </w:hyperlink>
      <w:r>
        <w:rPr>
          <w:rFonts w:eastAsia="Arial"/>
          <w:color w:val="000000"/>
          <w:sz w:val="18"/>
        </w:rPr>
        <w:t xml:space="preserve">; see also, e.g., Raff Donelson, Cruel and Unusual What? </w:t>
      </w:r>
      <w:hyperlink r:id="rId284" w:history="1">
        <w:r>
          <w:rPr>
            <w:rFonts w:eastAsia="Arial"/>
            <w:i/>
            <w:color w:val="0077CC"/>
            <w:sz w:val="18"/>
            <w:u w:val="single"/>
            <w:shd w:val="clear" w:color="auto" w:fill="FFFFFF"/>
          </w:rPr>
          <w:t>Toward A Unified Definition of Punishment, 9 Wash. U. Jur. Rev. 1, 33 (2016)</w:t>
        </w:r>
      </w:hyperlink>
      <w:r>
        <w:rPr>
          <w:rFonts w:eastAsia="Arial"/>
          <w:color w:val="000000"/>
          <w:sz w:val="18"/>
        </w:rPr>
        <w:t xml:space="preserve">; Zachary Hoskins, Ex-Offender Restrictions, 31 J. Applied Phil. 33, 33 (2014); John G. Malcolm, The Problem with the Proliferation of Collateral Consequences, 19 Federalist Soc'y Rev. 36, 39 (2018) ("While many [collateral consequences] are directly targeted at promoting public safety, many others have a tenuous connection to public safety and appear to be more punitive in nature than remedial."). </w:t>
      </w:r>
    </w:p>
  </w:footnote>
  <w:footnote w:id="196">
    <w:p w14:paraId="7C4A09EE" w14:textId="77777777" w:rsidR="005C4509" w:rsidRDefault="005C4509" w:rsidP="000E1943">
      <w:pPr>
        <w:spacing w:before="120" w:line="240" w:lineRule="atLeast"/>
        <w:jc w:val="both"/>
      </w:pPr>
      <w:r>
        <w:rPr>
          <w:rFonts w:eastAsia="Arial"/>
          <w:color w:val="000000"/>
          <w:sz w:val="18"/>
          <w:vertAlign w:val="superscript"/>
        </w:rPr>
        <w:t>163 </w:t>
      </w:r>
      <w:r>
        <w:rPr>
          <w:rFonts w:eastAsia="Arial"/>
          <w:color w:val="000000"/>
          <w:sz w:val="18"/>
        </w:rPr>
        <w:t xml:space="preserve">  See Chin, The New Civil Death, supra note , at 1810-11. </w:t>
      </w:r>
    </w:p>
  </w:footnote>
  <w:footnote w:id="197">
    <w:p w14:paraId="3F6BF116" w14:textId="77777777" w:rsidR="005C4509" w:rsidRDefault="005C4509" w:rsidP="000E1943">
      <w:pPr>
        <w:spacing w:before="200" w:line="240" w:lineRule="atLeast"/>
        <w:jc w:val="both"/>
      </w:pPr>
      <w:r>
        <w:rPr>
          <w:rFonts w:eastAsia="Arial"/>
          <w:color w:val="000000"/>
          <w:sz w:val="18"/>
          <w:vertAlign w:val="superscript"/>
        </w:rPr>
        <w:t>164 </w:t>
      </w:r>
      <w:r>
        <w:rPr>
          <w:rFonts w:eastAsia="Arial"/>
          <w:color w:val="000000"/>
          <w:sz w:val="18"/>
        </w:rPr>
        <w:t xml:space="preserve">   </w:t>
      </w:r>
      <w:hyperlink r:id="rId285" w:history="1">
        <w:r>
          <w:rPr>
            <w:rFonts w:eastAsia="Arial"/>
            <w:i/>
            <w:color w:val="0077CC"/>
            <w:sz w:val="18"/>
            <w:u w:val="single"/>
            <w:shd w:val="clear" w:color="auto" w:fill="FFFFFF"/>
          </w:rPr>
          <w:t>Puerto Rico v. Franklin Cal. Tax-Free Tr., 136 S. Ct. 1938, 1949 (2016)</w:t>
        </w:r>
      </w:hyperlink>
      <w:r>
        <w:rPr>
          <w:rFonts w:eastAsia="Arial"/>
          <w:color w:val="000000"/>
          <w:sz w:val="18"/>
        </w:rPr>
        <w:t xml:space="preserve">;  </w:t>
      </w:r>
      <w:hyperlink r:id="rId286" w:history="1">
        <w:r>
          <w:rPr>
            <w:rFonts w:eastAsia="Arial"/>
            <w:b/>
            <w:i/>
            <w:color w:val="0077CC"/>
            <w:sz w:val="18"/>
            <w:u w:val="single"/>
            <w:shd w:val="clear" w:color="auto" w:fill="FFFFFF"/>
          </w:rPr>
          <w:t>United States</w:t>
        </w:r>
      </w:hyperlink>
      <w:hyperlink r:id="rId287" w:history="1">
        <w:r>
          <w:rPr>
            <w:rFonts w:eastAsia="Arial"/>
            <w:i/>
            <w:color w:val="0077CC"/>
            <w:sz w:val="18"/>
            <w:u w:val="single"/>
            <w:shd w:val="clear" w:color="auto" w:fill="FFFFFF"/>
          </w:rPr>
          <w:t xml:space="preserve"> v. Rutherford, 442 </w:t>
        </w:r>
      </w:hyperlink>
      <w:hyperlink r:id="rId288" w:history="1">
        <w:r>
          <w:rPr>
            <w:rFonts w:eastAsia="Arial"/>
            <w:b/>
            <w:i/>
            <w:color w:val="0077CC"/>
            <w:sz w:val="18"/>
            <w:u w:val="single"/>
            <w:shd w:val="clear" w:color="auto" w:fill="FFFFFF"/>
          </w:rPr>
          <w:t>U.S.</w:t>
        </w:r>
      </w:hyperlink>
      <w:hyperlink r:id="rId289" w:history="1">
        <w:r>
          <w:rPr>
            <w:rFonts w:eastAsia="Arial"/>
            <w:i/>
            <w:color w:val="0077CC"/>
            <w:sz w:val="18"/>
            <w:u w:val="single"/>
            <w:shd w:val="clear" w:color="auto" w:fill="FFFFFF"/>
          </w:rPr>
          <w:t xml:space="preserve"> 544, 555 (1979)</w:t>
        </w:r>
      </w:hyperlink>
      <w:r>
        <w:rPr>
          <w:rFonts w:eastAsia="Arial"/>
          <w:color w:val="000000"/>
          <w:sz w:val="18"/>
        </w:rPr>
        <w:t xml:space="preserve"> ("Under our constitutional framework, federal </w:t>
      </w:r>
      <w:r>
        <w:rPr>
          <w:rFonts w:eastAsia="Arial"/>
          <w:b/>
          <w:i/>
          <w:color w:val="000000"/>
          <w:sz w:val="18"/>
          <w:u w:val="single"/>
        </w:rPr>
        <w:t>courts</w:t>
      </w:r>
      <w:r>
        <w:rPr>
          <w:rFonts w:eastAsia="Arial"/>
          <w:color w:val="000000"/>
          <w:sz w:val="18"/>
        </w:rPr>
        <w:t xml:space="preserve"> do not sit as councils of revision, empowered to rewrite legislation in accord with their own conceptions of prudent public policy."). </w:t>
      </w:r>
    </w:p>
  </w:footnote>
  <w:footnote w:id="198">
    <w:p w14:paraId="2B0CBC20" w14:textId="77777777" w:rsidR="005C4509" w:rsidRDefault="005C4509" w:rsidP="000E1943">
      <w:pPr>
        <w:spacing w:before="240" w:line="240" w:lineRule="atLeast"/>
        <w:jc w:val="both"/>
      </w:pPr>
      <w:r>
        <w:rPr>
          <w:rFonts w:eastAsia="Arial"/>
          <w:color w:val="000000"/>
          <w:sz w:val="18"/>
          <w:vertAlign w:val="superscript"/>
        </w:rPr>
        <w:t>165 </w:t>
      </w:r>
      <w:r>
        <w:rPr>
          <w:rFonts w:eastAsia="Arial"/>
          <w:color w:val="000000"/>
          <w:sz w:val="18"/>
        </w:rPr>
        <w:t xml:space="preserve">  See </w:t>
      </w:r>
      <w:hyperlink r:id="rId290" w:history="1">
        <w:r>
          <w:rPr>
            <w:rFonts w:eastAsia="Arial"/>
            <w:i/>
            <w:color w:val="0077CC"/>
            <w:sz w:val="18"/>
            <w:u w:val="single"/>
            <w:shd w:val="clear" w:color="auto" w:fill="FFFFFF"/>
          </w:rPr>
          <w:t>People v. Temelkoski, 905 N.W.2d 593, 594 (Mich. 2018)</w:t>
        </w:r>
      </w:hyperlink>
      <w:r>
        <w:rPr>
          <w:rFonts w:eastAsia="Arial"/>
          <w:color w:val="000000"/>
          <w:sz w:val="18"/>
        </w:rPr>
        <w:t xml:space="preserve">; see also </w:t>
      </w:r>
      <w:hyperlink r:id="rId291" w:history="1">
        <w:r>
          <w:rPr>
            <w:rFonts w:eastAsia="Arial"/>
            <w:i/>
            <w:color w:val="0077CC"/>
            <w:sz w:val="18"/>
            <w:u w:val="single"/>
            <w:shd w:val="clear" w:color="auto" w:fill="FFFFFF"/>
          </w:rPr>
          <w:t>Doe v. Cooper, 842 F.3d 833, 838 (4th Cir. 2016)</w:t>
        </w:r>
      </w:hyperlink>
      <w:r>
        <w:rPr>
          <w:rFonts w:eastAsia="Arial"/>
          <w:color w:val="000000"/>
          <w:sz w:val="18"/>
        </w:rPr>
        <w:t xml:space="preserve">;  </w:t>
      </w:r>
      <w:hyperlink r:id="rId292" w:history="1">
        <w:r>
          <w:rPr>
            <w:rFonts w:eastAsia="Arial"/>
            <w:i/>
            <w:color w:val="0077CC"/>
            <w:sz w:val="18"/>
            <w:u w:val="single"/>
            <w:shd w:val="clear" w:color="auto" w:fill="FFFFFF"/>
          </w:rPr>
          <w:t>Does v. Snyder, 834 F.3d 696, 705 (6th Cir. 2016)</w:t>
        </w:r>
      </w:hyperlink>
      <w:r>
        <w:rPr>
          <w:rFonts w:eastAsia="Arial"/>
          <w:color w:val="000000"/>
          <w:sz w:val="18"/>
        </w:rPr>
        <w:t xml:space="preserve">, cert. denied, </w:t>
      </w:r>
      <w:r>
        <w:rPr>
          <w:rFonts w:eastAsia="Arial"/>
          <w:b/>
          <w:i/>
          <w:color w:val="000000"/>
          <w:sz w:val="18"/>
        </w:rPr>
        <w:t>138 S. Ct. 55 (2017)</w:t>
      </w:r>
      <w:r>
        <w:rPr>
          <w:rFonts w:eastAsia="Arial"/>
          <w:color w:val="000000"/>
          <w:sz w:val="18"/>
        </w:rPr>
        <w:t xml:space="preserve">;  </w:t>
      </w:r>
      <w:hyperlink r:id="rId293" w:history="1">
        <w:r>
          <w:rPr>
            <w:rFonts w:eastAsia="Arial"/>
            <w:i/>
            <w:color w:val="0077CC"/>
            <w:sz w:val="18"/>
            <w:u w:val="single"/>
            <w:shd w:val="clear" w:color="auto" w:fill="FFFFFF"/>
          </w:rPr>
          <w:t>Commonwealth v. Muniz, 164 A.3d 1189, 1222 (Pa. 2017)</w:t>
        </w:r>
      </w:hyperlink>
      <w:r>
        <w:rPr>
          <w:rFonts w:eastAsia="Arial"/>
          <w:color w:val="000000"/>
          <w:sz w:val="18"/>
        </w:rPr>
        <w:t xml:space="preserve"> (finding statute ex post facto and citing cases from Alaska, Indiana, and Maryland), cert. denied, </w:t>
      </w:r>
      <w:r>
        <w:rPr>
          <w:rFonts w:eastAsia="Arial"/>
          <w:b/>
          <w:i/>
          <w:color w:val="000000"/>
          <w:sz w:val="18"/>
        </w:rPr>
        <w:t>138 S. Ct. 925 (2018)</w:t>
      </w:r>
      <w:r>
        <w:rPr>
          <w:rFonts w:eastAsia="Arial"/>
          <w:color w:val="000000"/>
          <w:sz w:val="18"/>
        </w:rPr>
        <w:t xml:space="preserve">.  </w:t>
      </w:r>
    </w:p>
  </w:footnote>
  <w:footnote w:id="199">
    <w:p w14:paraId="2299D704" w14:textId="77777777" w:rsidR="005C4509" w:rsidRDefault="005C4509" w:rsidP="000E1943">
      <w:pPr>
        <w:spacing w:before="200" w:line="240" w:lineRule="atLeast"/>
        <w:jc w:val="both"/>
      </w:pPr>
      <w:r>
        <w:rPr>
          <w:rFonts w:eastAsia="Arial"/>
          <w:color w:val="000000"/>
          <w:sz w:val="18"/>
          <w:vertAlign w:val="superscript"/>
        </w:rPr>
        <w:t>166 </w:t>
      </w:r>
      <w:r>
        <w:rPr>
          <w:rFonts w:eastAsia="Arial"/>
          <w:color w:val="000000"/>
          <w:sz w:val="18"/>
        </w:rPr>
        <w:t xml:space="preserve">  See Chin, Making Padilla Practical, supra note , at 688-90; see also Jenerson, supra note 115, at 48 ("Counsel bears a professional and ethical responsibility to advocate for the client during the adversarial process and investigate the impact of collateral consequences, inform the client and the </w:t>
      </w:r>
      <w:r>
        <w:rPr>
          <w:rFonts w:eastAsia="Arial"/>
          <w:b/>
          <w:i/>
          <w:color w:val="000000"/>
          <w:sz w:val="18"/>
          <w:u w:val="single"/>
        </w:rPr>
        <w:t>court</w:t>
      </w:r>
      <w:r>
        <w:rPr>
          <w:rFonts w:eastAsia="Arial"/>
          <w:color w:val="000000"/>
          <w:sz w:val="18"/>
        </w:rPr>
        <w:t xml:space="preserve">, and mitigate and/or avoid those consequences in plea bargaining and sentencing when possible"). </w:t>
      </w:r>
    </w:p>
  </w:footnote>
  <w:footnote w:id="200">
    <w:p w14:paraId="07195619" w14:textId="77777777" w:rsidR="005C4509" w:rsidRDefault="005C4509" w:rsidP="004E202B">
      <w:pPr>
        <w:spacing w:before="240" w:line="240" w:lineRule="atLeast"/>
        <w:jc w:val="both"/>
      </w:pPr>
      <w:r>
        <w:rPr>
          <w:rFonts w:eastAsia="Arial"/>
          <w:color w:val="000000"/>
          <w:sz w:val="18"/>
          <w:vertAlign w:val="superscript"/>
        </w:rPr>
        <w:t>130 </w:t>
      </w:r>
      <w:r>
        <w:rPr>
          <w:rFonts w:eastAsia="Arial"/>
          <w:color w:val="000000"/>
          <w:sz w:val="18"/>
        </w:rPr>
        <w:t xml:space="preserve"> See supra note 84. The Fourth </w:t>
      </w:r>
      <w:r>
        <w:rPr>
          <w:rFonts w:eastAsia="Arial"/>
          <w:b/>
          <w:i/>
          <w:color w:val="000000"/>
          <w:sz w:val="18"/>
          <w:u w:val="single"/>
        </w:rPr>
        <w:t>Circuit</w:t>
      </w:r>
      <w:r>
        <w:rPr>
          <w:rFonts w:eastAsia="Arial"/>
          <w:color w:val="000000"/>
          <w:sz w:val="18"/>
        </w:rPr>
        <w:t xml:space="preserve"> position appears to be closer to the Ninth </w:t>
      </w:r>
      <w:r>
        <w:rPr>
          <w:rFonts w:eastAsia="Arial"/>
          <w:b/>
          <w:i/>
          <w:color w:val="000000"/>
          <w:sz w:val="18"/>
          <w:u w:val="single"/>
        </w:rPr>
        <w:t>Circuit</w:t>
      </w:r>
      <w:r>
        <w:rPr>
          <w:rFonts w:eastAsia="Arial"/>
          <w:color w:val="000000"/>
          <w:sz w:val="18"/>
        </w:rPr>
        <w:t xml:space="preserve"> than it is to the </w:t>
      </w:r>
      <w:hyperlink r:id="rId294" w:history="1">
        <w:r>
          <w:rPr>
            <w:rFonts w:eastAsia="Arial"/>
            <w:i/>
            <w:color w:val="0077CC"/>
            <w:sz w:val="18"/>
            <w:u w:val="single"/>
          </w:rPr>
          <w:t xml:space="preserve">Seventh </w:t>
        </w:r>
      </w:hyperlink>
      <w:hyperlink r:id="rId295" w:history="1">
        <w:r>
          <w:rPr>
            <w:rFonts w:eastAsia="Arial"/>
            <w:b/>
            <w:i/>
            <w:color w:val="0077CC"/>
            <w:sz w:val="18"/>
            <w:u w:val="single"/>
          </w:rPr>
          <w:t>Circuit</w:t>
        </w:r>
      </w:hyperlink>
      <w:hyperlink r:id="rId296" w:history="1">
        <w:r>
          <w:rPr>
            <w:rFonts w:eastAsia="Arial"/>
            <w:i/>
            <w:color w:val="0077CC"/>
            <w:sz w:val="18"/>
            <w:u w:val="single"/>
          </w:rPr>
          <w:t>, United States v. Mandel, 862 F.2d 1067, 1075 (4th Cir. 1988),</w:t>
        </w:r>
      </w:hyperlink>
      <w:r>
        <w:rPr>
          <w:rFonts w:eastAsia="Arial"/>
          <w:color w:val="000000"/>
          <w:sz w:val="18"/>
        </w:rPr>
        <w:t xml:space="preserve"> but the Fourth </w:t>
      </w:r>
      <w:r>
        <w:rPr>
          <w:rFonts w:eastAsia="Arial"/>
          <w:b/>
          <w:i/>
          <w:color w:val="000000"/>
          <w:sz w:val="18"/>
          <w:u w:val="single"/>
        </w:rPr>
        <w:t>Circuit</w:t>
      </w:r>
      <w:r>
        <w:rPr>
          <w:rFonts w:eastAsia="Arial"/>
          <w:color w:val="000000"/>
          <w:sz w:val="18"/>
        </w:rPr>
        <w:t xml:space="preserve"> has never opined in detail on the propriety of a civil disabilities test. Additionally, a footnote in the Fourth </w:t>
      </w:r>
      <w:r>
        <w:rPr>
          <w:rFonts w:eastAsia="Arial"/>
          <w:b/>
          <w:i/>
          <w:color w:val="000000"/>
          <w:sz w:val="18"/>
          <w:u w:val="single"/>
        </w:rPr>
        <w:t>Circuit</w:t>
      </w:r>
      <w:r>
        <w:rPr>
          <w:rFonts w:eastAsia="Arial"/>
          <w:color w:val="000000"/>
          <w:sz w:val="18"/>
        </w:rPr>
        <w:t xml:space="preserve">'s opinion in United States v. Mandel suggests (without holding) that only felony convictions are serious enough to warrant coram nobis review, </w:t>
      </w:r>
      <w:hyperlink r:id="rId297" w:history="1">
        <w:r>
          <w:rPr>
            <w:rFonts w:eastAsia="Arial"/>
            <w:i/>
            <w:color w:val="0077CC"/>
            <w:sz w:val="18"/>
            <w:u w:val="single"/>
          </w:rPr>
          <w:t>id. at 1075 n.12,</w:t>
        </w:r>
      </w:hyperlink>
      <w:r>
        <w:rPr>
          <w:rFonts w:eastAsia="Arial"/>
          <w:color w:val="000000"/>
          <w:sz w:val="18"/>
        </w:rPr>
        <w:t xml:space="preserve"> while the Ninth </w:t>
      </w:r>
      <w:r>
        <w:rPr>
          <w:rFonts w:eastAsia="Arial"/>
          <w:b/>
          <w:i/>
          <w:color w:val="000000"/>
          <w:sz w:val="18"/>
          <w:u w:val="single"/>
        </w:rPr>
        <w:t>Circuit</w:t>
      </w:r>
      <w:r>
        <w:rPr>
          <w:rFonts w:eastAsia="Arial"/>
          <w:color w:val="000000"/>
          <w:sz w:val="18"/>
        </w:rPr>
        <w:t xml:space="preserve"> has held unequivocally that misdemeanor convictions are also eligible for coram nobis review. </w:t>
      </w:r>
      <w:hyperlink r:id="rId298" w:history="1">
        <w:r>
          <w:rPr>
            <w:rFonts w:eastAsia="Arial"/>
            <w:i/>
            <w:color w:val="0077CC"/>
            <w:sz w:val="18"/>
            <w:u w:val="single"/>
          </w:rPr>
          <w:t>Hirabayashi v. United States, 828 F.2d 591, 606-07 (9th Cir. 1987).</w:t>
        </w:r>
      </w:hyperlink>
      <w:r>
        <w:rPr>
          <w:rFonts w:eastAsia="Arial"/>
          <w:color w:val="000000"/>
          <w:sz w:val="18"/>
        </w:rPr>
        <w:t xml:space="preserve">  </w:t>
      </w:r>
    </w:p>
  </w:footnote>
  <w:footnote w:id="201">
    <w:p w14:paraId="7208A5C4" w14:textId="77777777" w:rsidR="005C4509" w:rsidRDefault="005C4509" w:rsidP="004E202B">
      <w:pPr>
        <w:spacing w:before="240" w:line="240" w:lineRule="atLeast"/>
        <w:jc w:val="both"/>
      </w:pPr>
      <w:r>
        <w:rPr>
          <w:rFonts w:eastAsia="Arial"/>
          <w:color w:val="000000"/>
          <w:sz w:val="18"/>
          <w:vertAlign w:val="superscript"/>
        </w:rPr>
        <w:t>131 </w:t>
      </w:r>
      <w:r>
        <w:rPr>
          <w:rFonts w:eastAsia="Arial"/>
          <w:color w:val="000000"/>
          <w:sz w:val="18"/>
        </w:rPr>
        <w:t xml:space="preserve">  </w:t>
      </w:r>
      <w:hyperlink r:id="rId299" w:history="1">
        <w:r>
          <w:rPr>
            <w:rFonts w:eastAsia="Arial"/>
            <w:i/>
            <w:color w:val="0077CC"/>
            <w:sz w:val="18"/>
            <w:u w:val="single"/>
          </w:rPr>
          <w:t>320 U.S. 81 (1943),</w:t>
        </w:r>
      </w:hyperlink>
      <w:r>
        <w:rPr>
          <w:rFonts w:eastAsia="Arial"/>
          <w:color w:val="000000"/>
          <w:sz w:val="18"/>
        </w:rPr>
        <w:t xml:space="preserve"> vacated, </w:t>
      </w:r>
      <w:hyperlink r:id="rId300" w:history="1">
        <w:r>
          <w:rPr>
            <w:rFonts w:eastAsia="Arial"/>
            <w:i/>
            <w:color w:val="0077CC"/>
            <w:sz w:val="18"/>
            <w:u w:val="single"/>
          </w:rPr>
          <w:t>828 F.2d 591 (9th Cir. 1987).</w:t>
        </w:r>
      </w:hyperlink>
      <w:r>
        <w:rPr>
          <w:rFonts w:eastAsia="Arial"/>
          <w:color w:val="000000"/>
          <w:sz w:val="18"/>
        </w:rPr>
        <w:t xml:space="preserve">  </w:t>
      </w:r>
    </w:p>
  </w:footnote>
  <w:footnote w:id="202">
    <w:p w14:paraId="50CC423E" w14:textId="77777777" w:rsidR="005C4509" w:rsidRDefault="005C4509" w:rsidP="004E202B">
      <w:pPr>
        <w:spacing w:before="240" w:line="240" w:lineRule="atLeast"/>
        <w:jc w:val="both"/>
      </w:pPr>
      <w:r>
        <w:rPr>
          <w:rFonts w:eastAsia="Arial"/>
          <w:color w:val="000000"/>
          <w:sz w:val="18"/>
          <w:vertAlign w:val="superscript"/>
        </w:rPr>
        <w:t>132 </w:t>
      </w:r>
      <w:r>
        <w:rPr>
          <w:rFonts w:eastAsia="Arial"/>
          <w:color w:val="000000"/>
          <w:sz w:val="18"/>
        </w:rPr>
        <w:t xml:space="preserve">  </w:t>
      </w:r>
      <w:hyperlink r:id="rId301" w:history="1">
        <w:r>
          <w:rPr>
            <w:rFonts w:eastAsia="Arial"/>
            <w:i/>
            <w:color w:val="0077CC"/>
            <w:sz w:val="18"/>
            <w:u w:val="single"/>
          </w:rPr>
          <w:t>Hirabayashi, 828 F.2d at 593.</w:t>
        </w:r>
      </w:hyperlink>
      <w:r>
        <w:rPr>
          <w:rFonts w:eastAsia="Arial"/>
          <w:color w:val="000000"/>
          <w:sz w:val="18"/>
        </w:rPr>
        <w:t xml:space="preserve">  </w:t>
      </w:r>
    </w:p>
  </w:footnote>
  <w:footnote w:id="203">
    <w:p w14:paraId="4716300C" w14:textId="77777777" w:rsidR="005C4509" w:rsidRDefault="005C4509" w:rsidP="004E202B">
      <w:pPr>
        <w:spacing w:before="240" w:line="240" w:lineRule="atLeast"/>
        <w:jc w:val="both"/>
      </w:pPr>
      <w:r>
        <w:rPr>
          <w:rFonts w:eastAsia="Arial"/>
          <w:color w:val="000000"/>
          <w:sz w:val="18"/>
          <w:vertAlign w:val="superscript"/>
        </w:rPr>
        <w:t>133 </w:t>
      </w:r>
      <w:r>
        <w:rPr>
          <w:rFonts w:eastAsia="Arial"/>
          <w:color w:val="000000"/>
          <w:sz w:val="18"/>
        </w:rPr>
        <w:t xml:space="preserve"> See </w:t>
      </w:r>
      <w:hyperlink r:id="rId302" w:history="1">
        <w:r>
          <w:rPr>
            <w:rFonts w:eastAsia="Arial"/>
            <w:i/>
            <w:color w:val="0077CC"/>
            <w:sz w:val="18"/>
            <w:u w:val="single"/>
          </w:rPr>
          <w:t>id. at 604</w:t>
        </w:r>
      </w:hyperlink>
      <w:r>
        <w:rPr>
          <w:rFonts w:eastAsia="Arial"/>
          <w:color w:val="000000"/>
          <w:sz w:val="18"/>
        </w:rPr>
        <w:t xml:space="preserve"> (noting the absence of alternative relief). </w:t>
      </w:r>
    </w:p>
  </w:footnote>
  <w:footnote w:id="204">
    <w:p w14:paraId="393E08F0" w14:textId="77777777" w:rsidR="005C4509" w:rsidRDefault="005C4509" w:rsidP="004E202B">
      <w:pPr>
        <w:spacing w:before="240" w:line="240" w:lineRule="atLeast"/>
        <w:jc w:val="both"/>
      </w:pPr>
      <w:r>
        <w:rPr>
          <w:rFonts w:eastAsia="Arial"/>
          <w:color w:val="000000"/>
          <w:sz w:val="18"/>
          <w:vertAlign w:val="superscript"/>
        </w:rPr>
        <w:t>134 </w:t>
      </w:r>
      <w:r>
        <w:rPr>
          <w:rFonts w:eastAsia="Arial"/>
          <w:color w:val="000000"/>
          <w:sz w:val="18"/>
        </w:rPr>
        <w:t xml:space="preserve">  </w:t>
      </w:r>
      <w:hyperlink r:id="rId303" w:history="1">
        <w:r>
          <w:rPr>
            <w:rFonts w:eastAsia="Arial"/>
            <w:i/>
            <w:color w:val="0077CC"/>
            <w:sz w:val="18"/>
            <w:u w:val="single"/>
          </w:rPr>
          <w:t>Hirabayashi, 320 U.S. at 81.</w:t>
        </w:r>
      </w:hyperlink>
      <w:r>
        <w:rPr>
          <w:rFonts w:eastAsia="Arial"/>
          <w:color w:val="000000"/>
          <w:sz w:val="18"/>
        </w:rPr>
        <w:t xml:space="preserve">  </w:t>
      </w:r>
    </w:p>
  </w:footnote>
  <w:footnote w:id="205">
    <w:p w14:paraId="1BE9AB18" w14:textId="77777777" w:rsidR="005C4509" w:rsidRDefault="005C4509" w:rsidP="004E202B">
      <w:pPr>
        <w:spacing w:before="240" w:line="240" w:lineRule="atLeast"/>
        <w:jc w:val="both"/>
      </w:pPr>
      <w:r>
        <w:rPr>
          <w:rFonts w:eastAsia="Arial"/>
          <w:color w:val="000000"/>
          <w:sz w:val="18"/>
          <w:vertAlign w:val="superscript"/>
        </w:rPr>
        <w:t>135 </w:t>
      </w:r>
      <w:r>
        <w:rPr>
          <w:rFonts w:eastAsia="Arial"/>
          <w:color w:val="000000"/>
          <w:sz w:val="18"/>
        </w:rPr>
        <w:t xml:space="preserve">  </w:t>
      </w:r>
      <w:hyperlink r:id="rId304" w:history="1">
        <w:r>
          <w:rPr>
            <w:rFonts w:eastAsia="Arial"/>
            <w:i/>
            <w:color w:val="0077CC"/>
            <w:sz w:val="18"/>
            <w:u w:val="single"/>
          </w:rPr>
          <w:t>Hirabayashi, 828 F.2d at 593.</w:t>
        </w:r>
      </w:hyperlink>
      <w:r>
        <w:rPr>
          <w:rFonts w:eastAsia="Arial"/>
          <w:color w:val="000000"/>
          <w:sz w:val="18"/>
        </w:rPr>
        <w:t xml:space="preserve">  </w:t>
      </w:r>
    </w:p>
  </w:footnote>
  <w:footnote w:id="206">
    <w:p w14:paraId="6E556B44" w14:textId="77777777" w:rsidR="005C4509" w:rsidRDefault="005C4509" w:rsidP="004E202B">
      <w:pPr>
        <w:spacing w:before="240" w:line="240" w:lineRule="atLeast"/>
        <w:jc w:val="both"/>
      </w:pPr>
      <w:r>
        <w:rPr>
          <w:rFonts w:eastAsia="Arial"/>
          <w:color w:val="000000"/>
          <w:sz w:val="18"/>
          <w:vertAlign w:val="superscript"/>
        </w:rPr>
        <w:t>136 </w:t>
      </w:r>
      <w:r>
        <w:rPr>
          <w:rFonts w:eastAsia="Arial"/>
          <w:color w:val="000000"/>
          <w:sz w:val="18"/>
        </w:rPr>
        <w:t xml:space="preserve">  </w:t>
      </w:r>
      <w:hyperlink r:id="rId305" w:history="1">
        <w:r>
          <w:rPr>
            <w:rFonts w:eastAsia="Arial"/>
            <w:i/>
            <w:color w:val="0077CC"/>
            <w:sz w:val="18"/>
            <w:u w:val="single"/>
          </w:rPr>
          <w:t>Id. at 598.</w:t>
        </w:r>
      </w:hyperlink>
      <w:r>
        <w:rPr>
          <w:rFonts w:eastAsia="Arial"/>
          <w:color w:val="000000"/>
          <w:sz w:val="18"/>
        </w:rPr>
        <w:t xml:space="preserve">  </w:t>
      </w:r>
    </w:p>
  </w:footnote>
  <w:footnote w:id="207">
    <w:p w14:paraId="5E010EB4" w14:textId="77777777" w:rsidR="005C4509" w:rsidRDefault="005C4509" w:rsidP="004E202B">
      <w:pPr>
        <w:spacing w:before="120" w:line="240" w:lineRule="atLeast"/>
        <w:jc w:val="both"/>
      </w:pPr>
      <w:r>
        <w:rPr>
          <w:rFonts w:eastAsia="Arial"/>
          <w:color w:val="000000"/>
          <w:sz w:val="18"/>
          <w:vertAlign w:val="superscript"/>
        </w:rPr>
        <w:t>137 </w:t>
      </w:r>
      <w:r>
        <w:rPr>
          <w:rFonts w:eastAsia="Arial"/>
          <w:color w:val="000000"/>
          <w:sz w:val="18"/>
        </w:rPr>
        <w:t xml:space="preserve"> Id. Known as the DeWitt Report, the early draft "declared that because of traits peculiar to citizens of Japanese ancestry it would be impossible to separate the loyal from the disloyal." Id. The suppressed report also stated, "it was not that there was insufficient time in which to make such a determination [separating the loyal from the disloyal]; it was simply a matter of facing the realities that a positive determination could not be made, that an exact separation of the "sheep from the goats' was unfeasible." Id. (internal quotations omitted). </w:t>
      </w:r>
    </w:p>
  </w:footnote>
  <w:footnote w:id="208">
    <w:p w14:paraId="699E0B18" w14:textId="77777777" w:rsidR="005C4509" w:rsidRDefault="005C4509" w:rsidP="004E202B">
      <w:pPr>
        <w:spacing w:before="240" w:line="240" w:lineRule="atLeast"/>
        <w:jc w:val="both"/>
      </w:pPr>
      <w:r>
        <w:rPr>
          <w:rFonts w:eastAsia="Arial"/>
          <w:color w:val="000000"/>
          <w:sz w:val="18"/>
          <w:vertAlign w:val="superscript"/>
        </w:rPr>
        <w:t>138 </w:t>
      </w:r>
      <w:r>
        <w:rPr>
          <w:rFonts w:eastAsia="Arial"/>
          <w:color w:val="000000"/>
          <w:sz w:val="18"/>
        </w:rPr>
        <w:t xml:space="preserve">  </w:t>
      </w:r>
      <w:hyperlink r:id="rId306" w:history="1">
        <w:r>
          <w:rPr>
            <w:rFonts w:eastAsia="Arial"/>
            <w:i/>
            <w:color w:val="0077CC"/>
            <w:sz w:val="18"/>
            <w:u w:val="single"/>
          </w:rPr>
          <w:t>Id. at 599.</w:t>
        </w:r>
      </w:hyperlink>
      <w:r>
        <w:rPr>
          <w:rFonts w:eastAsia="Arial"/>
          <w:color w:val="000000"/>
          <w:sz w:val="18"/>
        </w:rPr>
        <w:t xml:space="preserve">  </w:t>
      </w:r>
    </w:p>
  </w:footnote>
  <w:footnote w:id="209">
    <w:p w14:paraId="6F1C93A6" w14:textId="77777777" w:rsidR="005C4509" w:rsidRDefault="005C4509" w:rsidP="004E202B">
      <w:pPr>
        <w:spacing w:before="240" w:line="240" w:lineRule="atLeast"/>
        <w:jc w:val="both"/>
      </w:pPr>
      <w:r>
        <w:rPr>
          <w:rFonts w:eastAsia="Arial"/>
          <w:color w:val="000000"/>
          <w:sz w:val="18"/>
          <w:vertAlign w:val="superscript"/>
        </w:rPr>
        <w:t>139 </w:t>
      </w:r>
      <w:r>
        <w:rPr>
          <w:rFonts w:eastAsia="Arial"/>
          <w:color w:val="000000"/>
          <w:sz w:val="18"/>
        </w:rPr>
        <w:t xml:space="preserve">  </w:t>
      </w:r>
      <w:hyperlink r:id="rId307" w:history="1">
        <w:r>
          <w:rPr>
            <w:rFonts w:eastAsia="Arial"/>
            <w:i/>
            <w:color w:val="0077CC"/>
            <w:sz w:val="18"/>
            <w:u w:val="single"/>
          </w:rPr>
          <w:t>Id. at 603-04.</w:t>
        </w:r>
      </w:hyperlink>
      <w:r>
        <w:rPr>
          <w:rFonts w:eastAsia="Arial"/>
          <w:color w:val="000000"/>
          <w:sz w:val="18"/>
        </w:rPr>
        <w:t xml:space="preserve">  </w:t>
      </w:r>
    </w:p>
  </w:footnote>
  <w:footnote w:id="210">
    <w:p w14:paraId="365931C7" w14:textId="77777777" w:rsidR="005C4509" w:rsidRDefault="005C4509" w:rsidP="004E202B">
      <w:pPr>
        <w:spacing w:before="200" w:line="240" w:lineRule="atLeast"/>
        <w:jc w:val="both"/>
      </w:pPr>
      <w:r>
        <w:rPr>
          <w:rFonts w:eastAsia="Arial"/>
          <w:color w:val="000000"/>
          <w:sz w:val="18"/>
          <w:vertAlign w:val="superscript"/>
        </w:rPr>
        <w:t>140 </w:t>
      </w:r>
      <w:r>
        <w:rPr>
          <w:rFonts w:eastAsia="Arial"/>
          <w:color w:val="000000"/>
          <w:sz w:val="18"/>
        </w:rPr>
        <w:t xml:space="preserve">  </w:t>
      </w:r>
      <w:hyperlink r:id="rId308" w:history="1">
        <w:r>
          <w:rPr>
            <w:rFonts w:eastAsia="Arial"/>
            <w:i/>
            <w:color w:val="0077CC"/>
            <w:sz w:val="18"/>
            <w:u w:val="single"/>
          </w:rPr>
          <w:t>Id. at 605.</w:t>
        </w:r>
      </w:hyperlink>
      <w:r>
        <w:rPr>
          <w:rFonts w:eastAsia="Arial"/>
          <w:color w:val="000000"/>
          <w:sz w:val="18"/>
        </w:rPr>
        <w:t xml:space="preserve"> The government did not dispute that the Internment-era convictions were "part of an unfortunate episode in our nation's history," but vigorously objected to the grant of coram nobis relief. </w:t>
      </w:r>
      <w:hyperlink r:id="rId309" w:history="1">
        <w:r>
          <w:rPr>
            <w:rFonts w:eastAsia="Arial"/>
            <w:i/>
            <w:color w:val="0077CC"/>
            <w:sz w:val="18"/>
            <w:u w:val="single"/>
          </w:rPr>
          <w:t>Id. at 597 n.9.</w:t>
        </w:r>
      </w:hyperlink>
      <w:r>
        <w:rPr>
          <w:rFonts w:eastAsia="Arial"/>
          <w:color w:val="000000"/>
          <w:sz w:val="18"/>
        </w:rPr>
        <w:t xml:space="preserve"> The government asked that the convictions be vacated via </w:t>
      </w:r>
      <w:hyperlink r:id="rId310" w:history="1">
        <w:r>
          <w:rPr>
            <w:rFonts w:eastAsia="Arial"/>
            <w:b/>
            <w:i/>
            <w:color w:val="0077CC"/>
            <w:sz w:val="18"/>
            <w:u w:val="single"/>
          </w:rPr>
          <w:t>Federal</w:t>
        </w:r>
      </w:hyperlink>
      <w:hyperlink r:id="rId311" w:history="1">
        <w:r>
          <w:rPr>
            <w:rFonts w:eastAsia="Arial"/>
            <w:i/>
            <w:color w:val="0077CC"/>
            <w:sz w:val="18"/>
            <w:u w:val="single"/>
          </w:rPr>
          <w:t xml:space="preserve"> Rule of Criminal Procedure 48</w:t>
        </w:r>
      </w:hyperlink>
      <w:r>
        <w:rPr>
          <w:rFonts w:eastAsia="Arial"/>
          <w:color w:val="000000"/>
          <w:sz w:val="18"/>
        </w:rPr>
        <w:t xml:space="preserve">, which permits termination of prosecution and dismissal of the indictment. </w:t>
      </w:r>
      <w:hyperlink r:id="rId312" w:history="1">
        <w:r>
          <w:rPr>
            <w:rFonts w:eastAsia="Arial"/>
            <w:i/>
            <w:color w:val="0077CC"/>
            <w:sz w:val="18"/>
            <w:u w:val="single"/>
          </w:rPr>
          <w:t>Id. at 607.</w:t>
        </w:r>
      </w:hyperlink>
      <w:r>
        <w:rPr>
          <w:rFonts w:eastAsia="Arial"/>
          <w:color w:val="000000"/>
          <w:sz w:val="18"/>
        </w:rPr>
        <w:t xml:space="preserve"> After losing in the Ninth </w:t>
      </w:r>
      <w:r>
        <w:rPr>
          <w:rFonts w:eastAsia="Arial"/>
          <w:b/>
          <w:i/>
          <w:color w:val="000000"/>
          <w:sz w:val="18"/>
          <w:u w:val="single"/>
        </w:rPr>
        <w:t>Circuit</w:t>
      </w:r>
      <w:r>
        <w:rPr>
          <w:rFonts w:eastAsia="Arial"/>
          <w:color w:val="000000"/>
          <w:sz w:val="18"/>
        </w:rPr>
        <w:t xml:space="preserve">, the government did not petition for certiorari. </w:t>
      </w:r>
    </w:p>
  </w:footnote>
  <w:footnote w:id="211">
    <w:p w14:paraId="16D77D7B" w14:textId="77777777" w:rsidR="005C4509" w:rsidRDefault="005C4509" w:rsidP="004E202B">
      <w:pPr>
        <w:spacing w:before="240" w:line="240" w:lineRule="atLeast"/>
        <w:jc w:val="both"/>
      </w:pPr>
      <w:r>
        <w:rPr>
          <w:rFonts w:eastAsia="Arial"/>
          <w:color w:val="000000"/>
          <w:sz w:val="18"/>
          <w:vertAlign w:val="superscript"/>
        </w:rPr>
        <w:t>141 </w:t>
      </w:r>
      <w:r>
        <w:rPr>
          <w:rFonts w:eastAsia="Arial"/>
          <w:color w:val="000000"/>
          <w:sz w:val="18"/>
        </w:rPr>
        <w:t xml:space="preserve">  </w:t>
      </w:r>
      <w:hyperlink r:id="rId313" w:history="1">
        <w:r>
          <w:rPr>
            <w:rFonts w:eastAsia="Arial"/>
            <w:i/>
            <w:color w:val="0077CC"/>
            <w:sz w:val="18"/>
            <w:u w:val="single"/>
          </w:rPr>
          <w:t>Id. at 605.</w:t>
        </w:r>
      </w:hyperlink>
      <w:r>
        <w:rPr>
          <w:rFonts w:eastAsia="Arial"/>
          <w:color w:val="000000"/>
          <w:sz w:val="18"/>
        </w:rPr>
        <w:t xml:space="preserve">  </w:t>
      </w:r>
    </w:p>
  </w:footnote>
  <w:footnote w:id="212">
    <w:p w14:paraId="63F59785" w14:textId="77777777" w:rsidR="005C4509" w:rsidRDefault="005C4509" w:rsidP="004E202B">
      <w:pPr>
        <w:spacing w:before="240" w:line="240" w:lineRule="atLeast"/>
        <w:jc w:val="both"/>
      </w:pPr>
      <w:r>
        <w:rPr>
          <w:rFonts w:eastAsia="Arial"/>
          <w:color w:val="000000"/>
          <w:sz w:val="18"/>
          <w:vertAlign w:val="superscript"/>
        </w:rPr>
        <w:t>142 </w:t>
      </w:r>
      <w:r>
        <w:rPr>
          <w:rFonts w:eastAsia="Arial"/>
          <w:color w:val="000000"/>
          <w:sz w:val="18"/>
        </w:rPr>
        <w:t xml:space="preserve">  </w:t>
      </w:r>
      <w:hyperlink r:id="rId314" w:history="1">
        <w:r>
          <w:rPr>
            <w:rFonts w:eastAsia="Arial"/>
            <w:i/>
            <w:color w:val="0077CC"/>
            <w:sz w:val="18"/>
            <w:u w:val="single"/>
          </w:rPr>
          <w:t>Id. at 606.</w:t>
        </w:r>
      </w:hyperlink>
      <w:r>
        <w:rPr>
          <w:rFonts w:eastAsia="Arial"/>
          <w:color w:val="000000"/>
          <w:sz w:val="18"/>
        </w:rPr>
        <w:t xml:space="preserve">  </w:t>
      </w:r>
    </w:p>
  </w:footnote>
  <w:footnote w:id="213">
    <w:p w14:paraId="5FC2C03A" w14:textId="77777777" w:rsidR="005C4509" w:rsidRDefault="005C4509" w:rsidP="004E202B">
      <w:pPr>
        <w:spacing w:before="240" w:line="240" w:lineRule="atLeast"/>
        <w:jc w:val="both"/>
      </w:pPr>
      <w:r>
        <w:rPr>
          <w:rFonts w:eastAsia="Arial"/>
          <w:color w:val="000000"/>
          <w:sz w:val="18"/>
          <w:vertAlign w:val="superscript"/>
        </w:rPr>
        <w:t>143 </w:t>
      </w:r>
      <w:r>
        <w:rPr>
          <w:rFonts w:eastAsia="Arial"/>
          <w:color w:val="000000"/>
          <w:sz w:val="18"/>
        </w:rPr>
        <w:t xml:space="preserve">  </w:t>
      </w:r>
      <w:hyperlink r:id="rId315" w:history="1">
        <w:r>
          <w:rPr>
            <w:rFonts w:eastAsia="Arial"/>
            <w:i/>
            <w:color w:val="0077CC"/>
            <w:sz w:val="18"/>
            <w:u w:val="single"/>
          </w:rPr>
          <w:t>Id. at 604.</w:t>
        </w:r>
      </w:hyperlink>
      <w:r>
        <w:rPr>
          <w:rFonts w:eastAsia="Arial"/>
          <w:color w:val="000000"/>
          <w:sz w:val="18"/>
        </w:rPr>
        <w:t xml:space="preserve">  </w:t>
      </w:r>
    </w:p>
  </w:footnote>
  <w:footnote w:id="214">
    <w:p w14:paraId="4D555506" w14:textId="77777777" w:rsidR="005C4509" w:rsidRDefault="005C4509" w:rsidP="004E202B">
      <w:pPr>
        <w:spacing w:before="240" w:line="240" w:lineRule="atLeast"/>
        <w:jc w:val="both"/>
      </w:pPr>
      <w:r>
        <w:rPr>
          <w:rFonts w:eastAsia="Arial"/>
          <w:color w:val="000000"/>
          <w:sz w:val="18"/>
          <w:vertAlign w:val="superscript"/>
        </w:rPr>
        <w:t>144 </w:t>
      </w:r>
      <w:r>
        <w:rPr>
          <w:rFonts w:eastAsia="Arial"/>
          <w:color w:val="000000"/>
          <w:sz w:val="18"/>
        </w:rPr>
        <w:t xml:space="preserve">  </w:t>
      </w:r>
      <w:hyperlink r:id="rId316" w:history="1">
        <w:r>
          <w:rPr>
            <w:rFonts w:eastAsia="Arial"/>
            <w:i/>
            <w:color w:val="0077CC"/>
            <w:sz w:val="18"/>
            <w:u w:val="single"/>
          </w:rPr>
          <w:t>392 U.S. 40 (1968).</w:t>
        </w:r>
      </w:hyperlink>
      <w:r>
        <w:rPr>
          <w:rFonts w:eastAsia="Arial"/>
          <w:color w:val="000000"/>
          <w:sz w:val="18"/>
        </w:rPr>
        <w:t xml:space="preserve">  </w:t>
      </w:r>
    </w:p>
  </w:footnote>
  <w:footnote w:id="215">
    <w:p w14:paraId="5DABACDB" w14:textId="77777777" w:rsidR="005C4509" w:rsidRDefault="005C4509" w:rsidP="004E202B">
      <w:pPr>
        <w:spacing w:before="240" w:line="240" w:lineRule="atLeast"/>
        <w:jc w:val="both"/>
      </w:pPr>
      <w:r>
        <w:rPr>
          <w:rFonts w:eastAsia="Arial"/>
          <w:color w:val="000000"/>
          <w:sz w:val="18"/>
          <w:vertAlign w:val="superscript"/>
        </w:rPr>
        <w:t>145 </w:t>
      </w:r>
      <w:r>
        <w:rPr>
          <w:rFonts w:eastAsia="Arial"/>
          <w:color w:val="000000"/>
          <w:sz w:val="18"/>
        </w:rPr>
        <w:t xml:space="preserve">  </w:t>
      </w:r>
      <w:hyperlink r:id="rId317" w:history="1">
        <w:r>
          <w:rPr>
            <w:rFonts w:eastAsia="Arial"/>
            <w:i/>
            <w:color w:val="0077CC"/>
            <w:sz w:val="18"/>
            <w:u w:val="single"/>
          </w:rPr>
          <w:t>Hirabayashi, 828 F.2d at 606.</w:t>
        </w:r>
      </w:hyperlink>
      <w:r>
        <w:rPr>
          <w:rFonts w:eastAsia="Arial"/>
          <w:color w:val="000000"/>
          <w:sz w:val="18"/>
        </w:rPr>
        <w:t xml:space="preserve">  </w:t>
      </w:r>
    </w:p>
  </w:footnote>
  <w:footnote w:id="216">
    <w:p w14:paraId="1E133A0F" w14:textId="77777777" w:rsidR="005C4509" w:rsidRDefault="005C4509" w:rsidP="004E202B">
      <w:pPr>
        <w:spacing w:before="240" w:line="240" w:lineRule="atLeast"/>
        <w:jc w:val="both"/>
      </w:pPr>
      <w:r>
        <w:rPr>
          <w:rFonts w:eastAsia="Arial"/>
          <w:color w:val="000000"/>
          <w:sz w:val="18"/>
          <w:vertAlign w:val="superscript"/>
        </w:rPr>
        <w:t>146 </w:t>
      </w:r>
      <w:r>
        <w:rPr>
          <w:rFonts w:eastAsia="Arial"/>
          <w:color w:val="000000"/>
          <w:sz w:val="18"/>
        </w:rPr>
        <w:t xml:space="preserve">  </w:t>
      </w:r>
      <w:hyperlink r:id="rId318" w:history="1">
        <w:r>
          <w:rPr>
            <w:rFonts w:eastAsia="Arial"/>
            <w:i/>
            <w:color w:val="0077CC"/>
            <w:sz w:val="18"/>
            <w:u w:val="single"/>
          </w:rPr>
          <w:t>Id. at 605</w:t>
        </w:r>
      </w:hyperlink>
      <w:r>
        <w:rPr>
          <w:rFonts w:eastAsia="Arial"/>
          <w:color w:val="000000"/>
          <w:sz w:val="18"/>
        </w:rPr>
        <w:t xml:space="preserve"> (internal quotation marks omitted) (describing the government's position). </w:t>
      </w:r>
    </w:p>
  </w:footnote>
  <w:footnote w:id="217">
    <w:p w14:paraId="62A70586" w14:textId="77777777" w:rsidR="005C4509" w:rsidRDefault="005C4509" w:rsidP="004E202B">
      <w:pPr>
        <w:spacing w:before="200" w:line="240" w:lineRule="atLeast"/>
        <w:jc w:val="both"/>
      </w:pPr>
      <w:r>
        <w:rPr>
          <w:rFonts w:eastAsia="Arial"/>
          <w:color w:val="000000"/>
          <w:sz w:val="18"/>
          <w:vertAlign w:val="superscript"/>
        </w:rPr>
        <w:t>147 </w:t>
      </w:r>
      <w:r>
        <w:rPr>
          <w:rFonts w:eastAsia="Arial"/>
          <w:color w:val="000000"/>
          <w:sz w:val="18"/>
        </w:rPr>
        <w:t xml:space="preserve"> See </w:t>
      </w:r>
      <w:hyperlink r:id="rId319" w:history="1">
        <w:r>
          <w:rPr>
            <w:rFonts w:eastAsia="Arial"/>
            <w:i/>
            <w:color w:val="0077CC"/>
            <w:sz w:val="18"/>
            <w:u w:val="single"/>
          </w:rPr>
          <w:t>id. at 606</w:t>
        </w:r>
      </w:hyperlink>
      <w:r>
        <w:rPr>
          <w:rFonts w:eastAsia="Arial"/>
          <w:color w:val="000000"/>
          <w:sz w:val="18"/>
        </w:rPr>
        <w:t xml:space="preserve"> (quoting </w:t>
      </w:r>
      <w:hyperlink r:id="rId320" w:history="1">
        <w:r>
          <w:rPr>
            <w:rFonts w:eastAsia="Arial"/>
            <w:i/>
            <w:color w:val="0077CC"/>
            <w:sz w:val="18"/>
            <w:u w:val="single"/>
          </w:rPr>
          <w:t>Sibron, 392 U.S. at 57)</w:t>
        </w:r>
      </w:hyperlink>
      <w:r>
        <w:rPr>
          <w:rFonts w:eastAsia="Arial"/>
          <w:color w:val="000000"/>
          <w:sz w:val="18"/>
        </w:rPr>
        <w:t xml:space="preserve"> ("[A] criminal case is moot only if it is shown that there is no possibility that any </w:t>
      </w:r>
      <w:r>
        <w:rPr>
          <w:rFonts w:eastAsia="Arial"/>
          <w:b/>
          <w:i/>
          <w:color w:val="000000"/>
          <w:sz w:val="18"/>
          <w:u w:val="single"/>
        </w:rPr>
        <w:t>collateral</w:t>
      </w:r>
      <w:r>
        <w:rPr>
          <w:rFonts w:eastAsia="Arial"/>
          <w:color w:val="000000"/>
          <w:sz w:val="18"/>
        </w:rPr>
        <w:t xml:space="preserve"> legal consequences will be imposed on the basis of the challenged conviction."). </w:t>
      </w:r>
    </w:p>
  </w:footnote>
  <w:footnote w:id="218">
    <w:p w14:paraId="3C8BC8BC" w14:textId="77777777" w:rsidR="005C4509" w:rsidRDefault="005C4509" w:rsidP="004E202B">
      <w:pPr>
        <w:spacing w:before="240" w:line="240" w:lineRule="atLeast"/>
        <w:jc w:val="both"/>
      </w:pPr>
      <w:r>
        <w:rPr>
          <w:rFonts w:eastAsia="Arial"/>
          <w:color w:val="000000"/>
          <w:sz w:val="18"/>
          <w:vertAlign w:val="superscript"/>
        </w:rPr>
        <w:t>148 </w:t>
      </w:r>
      <w:r>
        <w:rPr>
          <w:rFonts w:eastAsia="Arial"/>
          <w:color w:val="000000"/>
          <w:sz w:val="18"/>
        </w:rPr>
        <w:t xml:space="preserve"> Id. (quoting </w:t>
      </w:r>
      <w:hyperlink r:id="rId321" w:history="1">
        <w:r>
          <w:rPr>
            <w:rFonts w:eastAsia="Arial"/>
            <w:i/>
            <w:color w:val="0077CC"/>
            <w:sz w:val="18"/>
            <w:u w:val="single"/>
          </w:rPr>
          <w:t>Sibron, 392 U.S. at 55).</w:t>
        </w:r>
      </w:hyperlink>
      <w:r>
        <w:rPr>
          <w:rFonts w:eastAsia="Arial"/>
          <w:color w:val="000000"/>
          <w:sz w:val="18"/>
        </w:rPr>
        <w:t xml:space="preserve">  </w:t>
      </w:r>
    </w:p>
  </w:footnote>
  <w:footnote w:id="219">
    <w:p w14:paraId="59A0B314" w14:textId="77777777" w:rsidR="005C4509" w:rsidRDefault="005C4509" w:rsidP="004E202B">
      <w:pPr>
        <w:spacing w:before="240" w:line="240" w:lineRule="atLeast"/>
        <w:jc w:val="both"/>
      </w:pPr>
      <w:r>
        <w:rPr>
          <w:rFonts w:eastAsia="Arial"/>
          <w:color w:val="000000"/>
          <w:sz w:val="18"/>
          <w:vertAlign w:val="superscript"/>
        </w:rPr>
        <w:t>149 </w:t>
      </w:r>
      <w:r>
        <w:rPr>
          <w:rFonts w:eastAsia="Arial"/>
          <w:color w:val="000000"/>
          <w:sz w:val="18"/>
        </w:rPr>
        <w:t xml:space="preserve"> Id. (quoting </w:t>
      </w:r>
      <w:hyperlink r:id="rId322" w:history="1">
        <w:r>
          <w:rPr>
            <w:rFonts w:eastAsia="Arial"/>
            <w:i/>
            <w:color w:val="0077CC"/>
            <w:sz w:val="18"/>
            <w:u w:val="single"/>
          </w:rPr>
          <w:t>Sibron, 392 U.S. at 55).</w:t>
        </w:r>
      </w:hyperlink>
      <w:r>
        <w:rPr>
          <w:rFonts w:eastAsia="Arial"/>
          <w:color w:val="000000"/>
          <w:sz w:val="18"/>
        </w:rPr>
        <w:t xml:space="preserve">  </w:t>
      </w:r>
    </w:p>
  </w:footnote>
  <w:footnote w:id="220">
    <w:p w14:paraId="0502FDDB" w14:textId="77777777" w:rsidR="005C4509" w:rsidRDefault="005C4509" w:rsidP="004E202B">
      <w:pPr>
        <w:spacing w:before="200" w:line="240" w:lineRule="atLeast"/>
        <w:jc w:val="both"/>
      </w:pPr>
      <w:r>
        <w:rPr>
          <w:rFonts w:eastAsia="Arial"/>
          <w:color w:val="000000"/>
          <w:sz w:val="18"/>
          <w:vertAlign w:val="superscript"/>
        </w:rPr>
        <w:t>150 </w:t>
      </w:r>
      <w:r>
        <w:rPr>
          <w:rFonts w:eastAsia="Arial"/>
          <w:color w:val="000000"/>
          <w:sz w:val="18"/>
        </w:rPr>
        <w:t xml:space="preserve"> Id. at 606-07. This last sentence is particularly significant, for it suggests that (a) the government can never, in practice, meet the burden of showing that there are no possible </w:t>
      </w:r>
      <w:r>
        <w:rPr>
          <w:rFonts w:eastAsia="Arial"/>
          <w:b/>
          <w:i/>
          <w:color w:val="000000"/>
          <w:sz w:val="18"/>
          <w:u w:val="single"/>
        </w:rPr>
        <w:t>collateral consequences</w:t>
      </w:r>
      <w:r>
        <w:rPr>
          <w:rFonts w:eastAsia="Arial"/>
          <w:color w:val="000000"/>
          <w:sz w:val="18"/>
        </w:rPr>
        <w:t xml:space="preserve"> so long as the person convicted remains alive, and (b) the potential for adverse professional consequences alone, without "legal" consequences, is sufficient to generate standing for coram nobis review. In any event, the Ninth </w:t>
      </w:r>
      <w:r>
        <w:rPr>
          <w:rFonts w:eastAsia="Arial"/>
          <w:b/>
          <w:i/>
          <w:color w:val="000000"/>
          <w:sz w:val="18"/>
          <w:u w:val="single"/>
        </w:rPr>
        <w:t>Circuit</w:t>
      </w:r>
      <w:r>
        <w:rPr>
          <w:rFonts w:eastAsia="Arial"/>
          <w:color w:val="000000"/>
          <w:sz w:val="18"/>
        </w:rPr>
        <w:t xml:space="preserve"> wrote, "Hirabayashi's conviction was for no ordinary misdemeanor… . A United States citizen who is convicted of a crime on account of race is lastingly aggrieved." Id. at 607. </w:t>
      </w:r>
    </w:p>
  </w:footnote>
  <w:footnote w:id="221">
    <w:p w14:paraId="5ED16A23" w14:textId="77777777" w:rsidR="005C4509" w:rsidRDefault="005C4509" w:rsidP="004E202B">
      <w:pPr>
        <w:spacing w:before="240" w:line="240" w:lineRule="atLeast"/>
        <w:jc w:val="both"/>
      </w:pPr>
      <w:r>
        <w:rPr>
          <w:rFonts w:eastAsia="Arial"/>
          <w:color w:val="000000"/>
          <w:sz w:val="18"/>
          <w:vertAlign w:val="superscript"/>
        </w:rPr>
        <w:t>151 </w:t>
      </w:r>
      <w:r>
        <w:rPr>
          <w:rFonts w:eastAsia="Arial"/>
          <w:color w:val="000000"/>
          <w:sz w:val="18"/>
        </w:rPr>
        <w:t xml:space="preserve">  </w:t>
      </w:r>
      <w:hyperlink r:id="rId323" w:history="1">
        <w:r>
          <w:rPr>
            <w:rFonts w:eastAsia="Arial"/>
            <w:i/>
            <w:color w:val="0077CC"/>
            <w:sz w:val="18"/>
            <w:u w:val="single"/>
          </w:rPr>
          <w:t>885 F.2d 1417, 1419-20 (9th Cir. 1989).</w:t>
        </w:r>
      </w:hyperlink>
      <w:r>
        <w:rPr>
          <w:rFonts w:eastAsia="Arial"/>
          <w:color w:val="000000"/>
          <w:sz w:val="18"/>
        </w:rPr>
        <w:t xml:space="preserve"> Gordon Walgren was the former Senate Majority Leader of the Washington State Legislature, and he had been convicted of mail fraud, RICO, and Travel Act violations after a long FBI investigation into gambling and political corruption in Washington State. </w:t>
      </w:r>
      <w:hyperlink r:id="rId324" w:history="1">
        <w:r>
          <w:rPr>
            <w:rFonts w:eastAsia="Arial"/>
            <w:i/>
            <w:color w:val="0077CC"/>
            <w:sz w:val="18"/>
            <w:u w:val="single"/>
          </w:rPr>
          <w:t>Id. at 1419.</w:t>
        </w:r>
      </w:hyperlink>
      <w:r>
        <w:rPr>
          <w:rFonts w:eastAsia="Arial"/>
          <w:color w:val="000000"/>
          <w:sz w:val="18"/>
        </w:rPr>
        <w:t xml:space="preserve"> The so-called Gamscam scandal led to the resignation and, ultimately, the conviction of both Senate Majority Leader Walgren and the Washington State Speaker of the House, John Bagnariol. Both men were accused of conspiring with California mobsters (in fact, undercover FBI agents) to help legalize certain kinds of gambling in Washington State in exchange for a share of the profits. See generally Kit Oldham, Legislative Leaders John Bagnariol and Gordon Walgren Are Charged in Gamscam Case on April 2, 1980, in HistoryLink.org Essay 8515 (Mar. 3, 2008), http://www. historylink.org/index.cfm?DisplayPage=output.cfm&amp;file_id=8515 (last visited Nov. 2, 2009).</w:t>
      </w:r>
    </w:p>
  </w:footnote>
  <w:footnote w:id="222">
    <w:p w14:paraId="22E1A7AB" w14:textId="77777777" w:rsidR="005C4509" w:rsidRDefault="005C4509" w:rsidP="004E202B">
      <w:pPr>
        <w:spacing w:before="240" w:line="240" w:lineRule="atLeast"/>
        <w:jc w:val="both"/>
      </w:pPr>
      <w:r>
        <w:rPr>
          <w:rFonts w:eastAsia="Arial"/>
          <w:color w:val="000000"/>
          <w:sz w:val="18"/>
          <w:vertAlign w:val="superscript"/>
        </w:rPr>
        <w:t>152 </w:t>
      </w:r>
      <w:r>
        <w:rPr>
          <w:rFonts w:eastAsia="Arial"/>
          <w:color w:val="000000"/>
          <w:sz w:val="18"/>
        </w:rPr>
        <w:t xml:space="preserve">  </w:t>
      </w:r>
      <w:hyperlink r:id="rId325" w:history="1">
        <w:r>
          <w:rPr>
            <w:rFonts w:eastAsia="Arial"/>
            <w:i/>
            <w:color w:val="0077CC"/>
            <w:sz w:val="18"/>
            <w:u w:val="single"/>
          </w:rPr>
          <w:t>Walgren, 885 F.2d at 1424.</w:t>
        </w:r>
      </w:hyperlink>
      <w:r>
        <w:rPr>
          <w:rFonts w:eastAsia="Arial"/>
          <w:color w:val="000000"/>
          <w:sz w:val="18"/>
        </w:rPr>
        <w:t xml:space="preserve">  </w:t>
      </w:r>
    </w:p>
  </w:footnote>
  <w:footnote w:id="223">
    <w:p w14:paraId="45EA14A0" w14:textId="77777777" w:rsidR="005C4509" w:rsidRDefault="005C4509" w:rsidP="004E202B">
      <w:pPr>
        <w:spacing w:before="240" w:line="240" w:lineRule="atLeast"/>
        <w:jc w:val="both"/>
      </w:pPr>
      <w:r>
        <w:rPr>
          <w:rFonts w:eastAsia="Arial"/>
          <w:color w:val="000000"/>
          <w:sz w:val="18"/>
          <w:vertAlign w:val="superscript"/>
        </w:rPr>
        <w:t>153 </w:t>
      </w:r>
      <w:r>
        <w:rPr>
          <w:rFonts w:eastAsia="Arial"/>
          <w:color w:val="000000"/>
          <w:sz w:val="18"/>
        </w:rPr>
        <w:t xml:space="preserve">  </w:t>
      </w:r>
      <w:hyperlink r:id="rId326" w:history="1">
        <w:r>
          <w:rPr>
            <w:rFonts w:eastAsia="Arial"/>
            <w:i/>
            <w:color w:val="0077CC"/>
            <w:sz w:val="18"/>
            <w:u w:val="single"/>
          </w:rPr>
          <w:t>Id. at 1421</w:t>
        </w:r>
      </w:hyperlink>
      <w:r>
        <w:rPr>
          <w:rFonts w:eastAsia="Arial"/>
          <w:color w:val="000000"/>
          <w:sz w:val="18"/>
        </w:rPr>
        <w:t xml:space="preserve"> (quoting </w:t>
      </w:r>
      <w:hyperlink r:id="rId327" w:history="1">
        <w:r>
          <w:rPr>
            <w:rFonts w:eastAsia="Arial"/>
            <w:i/>
            <w:color w:val="0077CC"/>
            <w:sz w:val="18"/>
            <w:u w:val="single"/>
          </w:rPr>
          <w:t>Hirabayashi v. United States, 828 F.2d 591, 606 (9th Cir. 1987)).</w:t>
        </w:r>
      </w:hyperlink>
      <w:r>
        <w:rPr>
          <w:rFonts w:eastAsia="Arial"/>
          <w:color w:val="000000"/>
          <w:sz w:val="18"/>
        </w:rPr>
        <w:t xml:space="preserve">  </w:t>
      </w:r>
    </w:p>
  </w:footnote>
  <w:footnote w:id="224">
    <w:p w14:paraId="40261F3B" w14:textId="77777777" w:rsidR="005C4509" w:rsidRDefault="005C4509" w:rsidP="004E202B">
      <w:pPr>
        <w:spacing w:before="120" w:line="240" w:lineRule="atLeast"/>
        <w:jc w:val="both"/>
      </w:pPr>
      <w:r>
        <w:rPr>
          <w:rFonts w:eastAsia="Arial"/>
          <w:color w:val="000000"/>
          <w:sz w:val="18"/>
          <w:vertAlign w:val="superscript"/>
        </w:rPr>
        <w:t>154 </w:t>
      </w:r>
      <w:r>
        <w:rPr>
          <w:rFonts w:eastAsia="Arial"/>
          <w:color w:val="000000"/>
          <w:sz w:val="18"/>
        </w:rPr>
        <w:t xml:space="preserve"> Id. at 1422. </w:t>
      </w:r>
    </w:p>
  </w:footnote>
  <w:footnote w:id="225">
    <w:p w14:paraId="118903DC" w14:textId="77777777" w:rsidR="005C4509" w:rsidRDefault="005C4509" w:rsidP="004E202B">
      <w:pPr>
        <w:spacing w:before="240" w:line="240" w:lineRule="atLeast"/>
        <w:jc w:val="both"/>
      </w:pPr>
      <w:r>
        <w:rPr>
          <w:rFonts w:eastAsia="Arial"/>
          <w:color w:val="000000"/>
          <w:sz w:val="18"/>
          <w:vertAlign w:val="superscript"/>
        </w:rPr>
        <w:t>155 </w:t>
      </w:r>
      <w:r>
        <w:rPr>
          <w:rFonts w:eastAsia="Arial"/>
          <w:color w:val="000000"/>
          <w:sz w:val="18"/>
        </w:rPr>
        <w:t xml:space="preserve"> In a subsequent case, United States v. McClelland, the Ninth </w:t>
      </w:r>
      <w:r>
        <w:rPr>
          <w:rFonts w:eastAsia="Arial"/>
          <w:b/>
          <w:i/>
          <w:color w:val="000000"/>
          <w:sz w:val="18"/>
          <w:u w:val="single"/>
        </w:rPr>
        <w:t>Circuit</w:t>
      </w:r>
      <w:r>
        <w:rPr>
          <w:rFonts w:eastAsia="Arial"/>
          <w:color w:val="000000"/>
          <w:sz w:val="18"/>
        </w:rPr>
        <w:t xml:space="preserve"> confirmed that an intervening substantive change in the interpretation of a criminal statute by the court of appeals should also be applied retroactively to a coram nobis proceeding. </w:t>
      </w:r>
      <w:hyperlink r:id="rId328" w:history="1">
        <w:r>
          <w:rPr>
            <w:rFonts w:eastAsia="Arial"/>
            <w:i/>
            <w:color w:val="0077CC"/>
            <w:sz w:val="18"/>
            <w:u w:val="single"/>
          </w:rPr>
          <w:t>941 F.2d 999, 1001 (9th Cir. 1991).</w:t>
        </w:r>
      </w:hyperlink>
      <w:r>
        <w:rPr>
          <w:rFonts w:eastAsia="Arial"/>
          <w:color w:val="000000"/>
          <w:sz w:val="18"/>
        </w:rPr>
        <w:t xml:space="preserve">  </w:t>
      </w:r>
    </w:p>
  </w:footnote>
  <w:footnote w:id="226">
    <w:p w14:paraId="22221A86" w14:textId="77777777" w:rsidR="005C4509" w:rsidRDefault="005C4509" w:rsidP="00CC009B">
      <w:pPr>
        <w:spacing w:before="200" w:line="240" w:lineRule="atLeast"/>
        <w:jc w:val="both"/>
      </w:pPr>
      <w:r>
        <w:rPr>
          <w:rFonts w:eastAsia="Arial"/>
          <w:color w:val="000000"/>
          <w:sz w:val="18"/>
          <w:vertAlign w:val="superscript"/>
        </w:rPr>
        <w:t>74 </w:t>
      </w:r>
      <w:r>
        <w:rPr>
          <w:rFonts w:eastAsia="Arial"/>
          <w:color w:val="000000"/>
          <w:sz w:val="18"/>
        </w:rPr>
        <w:t xml:space="preserve">  See generally James B. Jacobs, The Eternal Criminal Record 246-47 (2015); Margaret Colgate Love, Jenny Roberts, &amp; Cecelia Klingele, </w:t>
      </w:r>
      <w:r>
        <w:rPr>
          <w:rFonts w:eastAsia="Arial"/>
          <w:b/>
          <w:i/>
          <w:color w:val="000000"/>
          <w:sz w:val="18"/>
          <w:u w:val="single"/>
        </w:rPr>
        <w:t>Collateral Consequences</w:t>
      </w:r>
      <w:r>
        <w:rPr>
          <w:rFonts w:eastAsia="Arial"/>
          <w:color w:val="000000"/>
          <w:sz w:val="18"/>
        </w:rPr>
        <w:t xml:space="preserve"> of Convictions: Law, Policy and Practice (2013). </w:t>
      </w:r>
    </w:p>
  </w:footnote>
  <w:footnote w:id="227">
    <w:p w14:paraId="11603A02" w14:textId="77777777" w:rsidR="005C4509" w:rsidRDefault="005C4509" w:rsidP="00CC009B">
      <w:pPr>
        <w:spacing w:before="200" w:line="240" w:lineRule="atLeast"/>
        <w:jc w:val="both"/>
      </w:pPr>
      <w:r>
        <w:rPr>
          <w:rFonts w:eastAsia="Arial"/>
          <w:color w:val="000000"/>
          <w:sz w:val="18"/>
          <w:vertAlign w:val="superscript"/>
        </w:rPr>
        <w:t>75 </w:t>
      </w:r>
      <w:r>
        <w:rPr>
          <w:rFonts w:eastAsia="Arial"/>
          <w:color w:val="000000"/>
          <w:sz w:val="18"/>
        </w:rPr>
        <w:t xml:space="preserve">  See National Inventory of the </w:t>
      </w:r>
      <w:r>
        <w:rPr>
          <w:rFonts w:eastAsia="Arial"/>
          <w:b/>
          <w:i/>
          <w:color w:val="000000"/>
          <w:sz w:val="18"/>
          <w:u w:val="single"/>
        </w:rPr>
        <w:t>Collateral Consequences</w:t>
      </w:r>
      <w:r>
        <w:rPr>
          <w:rFonts w:eastAsia="Arial"/>
          <w:color w:val="000000"/>
          <w:sz w:val="18"/>
        </w:rPr>
        <w:t xml:space="preserve"> of Conviction, Justice Ctr., </w:t>
      </w:r>
      <w:hyperlink r:id="rId329" w:history="1">
        <w:r>
          <w:rPr>
            <w:rFonts w:eastAsia="Arial"/>
            <w:i/>
            <w:color w:val="0077CC"/>
            <w:sz w:val="18"/>
            <w:u w:val="single"/>
          </w:rPr>
          <w:t>https://niccc.csgjusticecenter.org</w:t>
        </w:r>
      </w:hyperlink>
      <w:r>
        <w:rPr>
          <w:rFonts w:eastAsia="Arial"/>
          <w:color w:val="000000"/>
          <w:sz w:val="18"/>
        </w:rPr>
        <w:t xml:space="preserve"> [</w:t>
      </w:r>
      <w:hyperlink r:id="rId330" w:history="1">
        <w:r>
          <w:rPr>
            <w:rFonts w:eastAsia="Arial"/>
            <w:i/>
            <w:color w:val="0077CC"/>
            <w:sz w:val="18"/>
            <w:u w:val="single"/>
          </w:rPr>
          <w:t>https://perma.cc/BF5J-73KL</w:t>
        </w:r>
      </w:hyperlink>
      <w:r>
        <w:rPr>
          <w:rFonts w:eastAsia="Arial"/>
          <w:color w:val="000000"/>
          <w:sz w:val="18"/>
        </w:rPr>
        <w:t xml:space="preserve">] (searchable database of approximately 45,000 distinct </w:t>
      </w:r>
      <w:r>
        <w:rPr>
          <w:rFonts w:eastAsia="Arial"/>
          <w:b/>
          <w:i/>
          <w:color w:val="000000"/>
          <w:sz w:val="18"/>
          <w:u w:val="single"/>
        </w:rPr>
        <w:t>collateral consequences</w:t>
      </w:r>
      <w:r>
        <w:rPr>
          <w:rFonts w:eastAsia="Arial"/>
          <w:color w:val="000000"/>
          <w:sz w:val="18"/>
        </w:rPr>
        <w:t xml:space="preserve"> of convictions).</w:t>
      </w:r>
    </w:p>
  </w:footnote>
  <w:footnote w:id="228">
    <w:p w14:paraId="339E2276" w14:textId="77777777" w:rsidR="005C4509" w:rsidRDefault="005C4509" w:rsidP="00CC009B">
      <w:pPr>
        <w:spacing w:before="120" w:line="240" w:lineRule="atLeast"/>
        <w:jc w:val="both"/>
      </w:pPr>
      <w:r>
        <w:rPr>
          <w:rFonts w:eastAsia="Arial"/>
          <w:color w:val="000000"/>
          <w:sz w:val="18"/>
          <w:vertAlign w:val="superscript"/>
        </w:rPr>
        <w:t>76 </w:t>
      </w:r>
      <w:r>
        <w:rPr>
          <w:rFonts w:eastAsia="Arial"/>
          <w:color w:val="000000"/>
          <w:sz w:val="18"/>
        </w:rPr>
        <w:t xml:space="preserve">  Michelle Alexander, The New Jim Crow: Mass Incarceration in the Age of Colorblindness (2010). </w:t>
      </w:r>
    </w:p>
  </w:footnote>
  <w:footnote w:id="229">
    <w:p w14:paraId="549CEA7F" w14:textId="77777777" w:rsidR="005C4509" w:rsidRDefault="005C4509" w:rsidP="00CC009B">
      <w:pPr>
        <w:spacing w:before="240" w:line="240" w:lineRule="atLeast"/>
        <w:jc w:val="both"/>
      </w:pPr>
      <w:r>
        <w:rPr>
          <w:rFonts w:eastAsia="Arial"/>
          <w:color w:val="000000"/>
          <w:sz w:val="18"/>
          <w:vertAlign w:val="superscript"/>
        </w:rPr>
        <w:t>77 </w:t>
      </w:r>
      <w:r>
        <w:rPr>
          <w:rFonts w:eastAsia="Arial"/>
          <w:color w:val="000000"/>
          <w:sz w:val="18"/>
        </w:rPr>
        <w:t xml:space="preserve">  See, e.g., Gabriel J. Chin, The New Civil Death: Rethinking Punishment in the Era of Mass Conviction, </w:t>
      </w:r>
      <w:hyperlink r:id="rId331" w:history="1">
        <w:r>
          <w:rPr>
            <w:rFonts w:eastAsia="Arial"/>
            <w:i/>
            <w:color w:val="0077CC"/>
            <w:sz w:val="18"/>
            <w:u w:val="single"/>
          </w:rPr>
          <w:t>160 U. Pa. L. Rev. 1789, 1814-15 (2012).</w:t>
        </w:r>
      </w:hyperlink>
      <w:r>
        <w:rPr>
          <w:rFonts w:eastAsia="Arial"/>
          <w:color w:val="000000"/>
          <w:sz w:val="18"/>
        </w:rPr>
        <w:t xml:space="preserve">  </w:t>
      </w:r>
    </w:p>
  </w:footnote>
  <w:footnote w:id="230">
    <w:p w14:paraId="22DCFDFA" w14:textId="77777777" w:rsidR="005C4509" w:rsidRDefault="005C4509" w:rsidP="00CC009B">
      <w:pPr>
        <w:spacing w:before="200" w:line="240" w:lineRule="atLeast"/>
        <w:jc w:val="both"/>
      </w:pPr>
      <w:r>
        <w:rPr>
          <w:rFonts w:eastAsia="Arial"/>
          <w:color w:val="000000"/>
          <w:sz w:val="18"/>
          <w:vertAlign w:val="superscript"/>
        </w:rPr>
        <w:t>78 </w:t>
      </w:r>
      <w:r>
        <w:rPr>
          <w:rFonts w:eastAsia="Arial"/>
          <w:color w:val="000000"/>
          <w:sz w:val="18"/>
        </w:rPr>
        <w:t xml:space="preserve">  See Jenny Roberts, The Mythical Divide Between </w:t>
      </w:r>
      <w:r>
        <w:rPr>
          <w:rFonts w:eastAsia="Arial"/>
          <w:b/>
          <w:i/>
          <w:color w:val="000000"/>
          <w:sz w:val="18"/>
          <w:u w:val="single"/>
        </w:rPr>
        <w:t>Collateral</w:t>
      </w:r>
      <w:r>
        <w:rPr>
          <w:rFonts w:eastAsia="Arial"/>
          <w:color w:val="000000"/>
          <w:sz w:val="18"/>
        </w:rPr>
        <w:t xml:space="preserve"> and Direct Consequences of Criminal Convictions: Involuntary Commitment of "Sexually Violent Predators," </w:t>
      </w:r>
      <w:hyperlink r:id="rId332" w:history="1">
        <w:r>
          <w:rPr>
            <w:rFonts w:eastAsia="Arial"/>
            <w:i/>
            <w:color w:val="0077CC"/>
            <w:sz w:val="18"/>
            <w:u w:val="single"/>
          </w:rPr>
          <w:t>93 Minn. L. Rev. 670, 671-72 (2008)</w:t>
        </w:r>
      </w:hyperlink>
      <w:r>
        <w:rPr>
          <w:rFonts w:eastAsia="Arial"/>
          <w:color w:val="000000"/>
          <w:sz w:val="18"/>
        </w:rPr>
        <w:t xml:space="preserve"> (explaining constitutional jurisprudence regarding </w:t>
      </w:r>
      <w:r>
        <w:rPr>
          <w:rFonts w:eastAsia="Arial"/>
          <w:b/>
          <w:i/>
          <w:color w:val="000000"/>
          <w:sz w:val="18"/>
          <w:u w:val="single"/>
        </w:rPr>
        <w:t>collateral consequences</w:t>
      </w:r>
      <w:r>
        <w:rPr>
          <w:rFonts w:eastAsia="Arial"/>
          <w:color w:val="000000"/>
          <w:sz w:val="18"/>
        </w:rPr>
        <w:t xml:space="preserve">). </w:t>
      </w:r>
    </w:p>
  </w:footnote>
  <w:footnote w:id="231">
    <w:p w14:paraId="1308329F" w14:textId="77777777" w:rsidR="005C4509" w:rsidRDefault="005C4509" w:rsidP="00CC009B">
      <w:pPr>
        <w:spacing w:before="240" w:line="240" w:lineRule="atLeast"/>
        <w:jc w:val="both"/>
      </w:pPr>
      <w:r>
        <w:rPr>
          <w:rFonts w:eastAsia="Arial"/>
          <w:color w:val="000000"/>
          <w:sz w:val="18"/>
          <w:vertAlign w:val="superscript"/>
        </w:rPr>
        <w:t>79 </w:t>
      </w:r>
      <w:r>
        <w:rPr>
          <w:rFonts w:eastAsia="Arial"/>
          <w:color w:val="000000"/>
          <w:sz w:val="18"/>
        </w:rPr>
        <w:t xml:space="preserve">   </w:t>
      </w:r>
      <w:hyperlink r:id="rId333" w:history="1">
        <w:r>
          <w:rPr>
            <w:rFonts w:eastAsia="Arial"/>
            <w:i/>
            <w:color w:val="0077CC"/>
            <w:sz w:val="18"/>
            <w:u w:val="single"/>
          </w:rPr>
          <w:t>559 U.S. 356, 374 (2010).</w:t>
        </w:r>
      </w:hyperlink>
      <w:r>
        <w:rPr>
          <w:rFonts w:eastAsia="Arial"/>
          <w:color w:val="000000"/>
          <w:sz w:val="18"/>
        </w:rPr>
        <w:t xml:space="preserve">  </w:t>
      </w:r>
    </w:p>
  </w:footnote>
  <w:footnote w:id="232">
    <w:p w14:paraId="3C8AA639" w14:textId="77777777" w:rsidR="005C4509" w:rsidRDefault="005C4509" w:rsidP="00CC009B">
      <w:pPr>
        <w:spacing w:before="240" w:line="240" w:lineRule="atLeast"/>
        <w:jc w:val="both"/>
      </w:pPr>
      <w:r>
        <w:rPr>
          <w:rFonts w:eastAsia="Arial"/>
          <w:color w:val="000000"/>
          <w:sz w:val="18"/>
          <w:vertAlign w:val="superscript"/>
        </w:rPr>
        <w:t>80 </w:t>
      </w:r>
      <w:r>
        <w:rPr>
          <w:rFonts w:eastAsia="Arial"/>
          <w:color w:val="000000"/>
          <w:sz w:val="18"/>
        </w:rPr>
        <w:t xml:space="preserve">   </w:t>
      </w:r>
      <w:hyperlink r:id="rId334" w:history="1">
        <w:r>
          <w:rPr>
            <w:rFonts w:eastAsia="Arial"/>
            <w:i/>
            <w:color w:val="0077CC"/>
            <w:sz w:val="18"/>
            <w:u w:val="single"/>
          </w:rPr>
          <w:t>Id. at 366.</w:t>
        </w:r>
      </w:hyperlink>
      <w:r>
        <w:rPr>
          <w:rFonts w:eastAsia="Arial"/>
          <w:color w:val="000000"/>
          <w:sz w:val="18"/>
        </w:rPr>
        <w:t xml:space="preserve">  </w:t>
      </w:r>
    </w:p>
  </w:footnote>
  <w:footnote w:id="233">
    <w:p w14:paraId="2E17B5D8" w14:textId="77777777" w:rsidR="005C4509" w:rsidRDefault="005C4509" w:rsidP="00CC009B">
      <w:pPr>
        <w:spacing w:before="240" w:line="240" w:lineRule="atLeast"/>
        <w:jc w:val="both"/>
      </w:pPr>
      <w:r>
        <w:rPr>
          <w:rFonts w:eastAsia="Arial"/>
          <w:color w:val="000000"/>
          <w:sz w:val="18"/>
          <w:vertAlign w:val="superscript"/>
        </w:rPr>
        <w:t>81 </w:t>
      </w:r>
      <w:r>
        <w:rPr>
          <w:rFonts w:eastAsia="Arial"/>
          <w:color w:val="000000"/>
          <w:sz w:val="18"/>
        </w:rPr>
        <w:t xml:space="preserve">  See, e.g., </w:t>
      </w:r>
      <w:hyperlink r:id="rId335" w:history="1">
        <w:r>
          <w:rPr>
            <w:rFonts w:eastAsia="Arial"/>
            <w:i/>
            <w:color w:val="0077CC"/>
            <w:sz w:val="18"/>
            <w:u w:val="single"/>
          </w:rPr>
          <w:t>United States v. Stewart, 590 F.3d 93, 141 (2d Cir. 2009)</w:t>
        </w:r>
      </w:hyperlink>
      <w:r>
        <w:rPr>
          <w:rFonts w:eastAsia="Arial"/>
          <w:color w:val="000000"/>
          <w:sz w:val="18"/>
        </w:rPr>
        <w:t xml:space="preserve"> (affirming trial court's consideration of impact of conviction on defendant's career as academic or translator). </w:t>
      </w:r>
    </w:p>
  </w:footnote>
  <w:footnote w:id="234">
    <w:p w14:paraId="5EA7F0D7" w14:textId="77777777" w:rsidR="005C4509" w:rsidRDefault="005C4509" w:rsidP="00CC009B">
      <w:pPr>
        <w:spacing w:before="200" w:line="240" w:lineRule="atLeast"/>
        <w:jc w:val="both"/>
      </w:pPr>
      <w:r>
        <w:rPr>
          <w:rFonts w:eastAsia="Arial"/>
          <w:color w:val="000000"/>
          <w:sz w:val="18"/>
          <w:vertAlign w:val="superscript"/>
        </w:rPr>
        <w:t>82 </w:t>
      </w:r>
      <w:r>
        <w:rPr>
          <w:rFonts w:eastAsia="Arial"/>
          <w:color w:val="000000"/>
          <w:sz w:val="18"/>
        </w:rPr>
        <w:t xml:space="preserve">  See, e.g., Sentenced for Life: Considering the </w:t>
      </w:r>
      <w:r>
        <w:rPr>
          <w:rFonts w:eastAsia="Arial"/>
          <w:b/>
          <w:i/>
          <w:color w:val="000000"/>
          <w:sz w:val="18"/>
          <w:u w:val="single"/>
        </w:rPr>
        <w:t>Collateral Consequences</w:t>
      </w:r>
      <w:r>
        <w:rPr>
          <w:rFonts w:eastAsia="Arial"/>
          <w:color w:val="000000"/>
          <w:sz w:val="18"/>
        </w:rPr>
        <w:t xml:space="preserve"> of Criminal Convictions, Am. Constitution Soc'y for L. &amp; Pol'y (June 17, 2011), http://www .acslaw.org/news/video/sentenced-for-life-considering-the-</w:t>
      </w:r>
      <w:r>
        <w:rPr>
          <w:rFonts w:eastAsia="Arial"/>
          <w:b/>
          <w:i/>
          <w:color w:val="000000"/>
          <w:sz w:val="18"/>
          <w:u w:val="single"/>
        </w:rPr>
        <w:t>collateral</w:t>
      </w:r>
      <w:r>
        <w:rPr>
          <w:rFonts w:eastAsia="Arial"/>
          <w:color w:val="000000"/>
          <w:sz w:val="18"/>
        </w:rPr>
        <w:t>-consequen ces-of-criminal-convictions [</w:t>
      </w:r>
      <w:hyperlink r:id="rId336" w:history="1">
        <w:r>
          <w:rPr>
            <w:rFonts w:eastAsia="Arial"/>
            <w:i/>
            <w:color w:val="0077CC"/>
            <w:sz w:val="18"/>
            <w:u w:val="single"/>
          </w:rPr>
          <w:t>https://perma.cc/LDV8-BWW9</w:t>
        </w:r>
      </w:hyperlink>
      <w:r>
        <w:rPr>
          <w:rFonts w:eastAsia="Arial"/>
          <w:color w:val="000000"/>
          <w:sz w:val="18"/>
        </w:rPr>
        <w:t xml:space="preserve">] (panel discussion featuring Judge Adelman discussing </w:t>
      </w:r>
      <w:r>
        <w:rPr>
          <w:rFonts w:eastAsia="Arial"/>
          <w:b/>
          <w:i/>
          <w:color w:val="000000"/>
          <w:sz w:val="18"/>
          <w:u w:val="single"/>
        </w:rPr>
        <w:t>collateral consequences</w:t>
      </w:r>
      <w:r>
        <w:rPr>
          <w:rFonts w:eastAsia="Arial"/>
          <w:color w:val="000000"/>
          <w:sz w:val="18"/>
        </w:rPr>
        <w:t>); see also Lynn Adelman, Criminal Justice Reform: The Present Moment,</w:t>
      </w:r>
      <w:hyperlink r:id="rId337" w:history="1">
        <w:r>
          <w:rPr>
            <w:rFonts w:eastAsia="Arial"/>
            <w:i/>
            <w:color w:val="0077CC"/>
            <w:sz w:val="18"/>
            <w:u w:val="single"/>
          </w:rPr>
          <w:t>2015 Wis. L. Rev. 181 (2015)</w:t>
        </w:r>
      </w:hyperlink>
      <w:r>
        <w:rPr>
          <w:rFonts w:eastAsia="Arial"/>
          <w:color w:val="000000"/>
          <w:sz w:val="18"/>
        </w:rPr>
        <w:t xml:space="preserve"> (calling for widespread criminal justice reform, including to </w:t>
      </w:r>
      <w:r>
        <w:rPr>
          <w:rFonts w:eastAsia="Arial"/>
          <w:b/>
          <w:i/>
          <w:color w:val="000000"/>
          <w:sz w:val="18"/>
          <w:u w:val="single"/>
        </w:rPr>
        <w:t>collateral consequences</w:t>
      </w:r>
      <w:r>
        <w:rPr>
          <w:rFonts w:eastAsia="Arial"/>
          <w:color w:val="000000"/>
          <w:sz w:val="18"/>
        </w:rPr>
        <w:t xml:space="preserve"> of conviction). </w:t>
      </w:r>
    </w:p>
  </w:footnote>
  <w:footnote w:id="235">
    <w:p w14:paraId="6BCF4BFC" w14:textId="77777777" w:rsidR="005C4509" w:rsidRDefault="005C4509" w:rsidP="00CC009B">
      <w:pPr>
        <w:spacing w:before="240" w:line="240" w:lineRule="atLeast"/>
        <w:jc w:val="both"/>
      </w:pPr>
      <w:r>
        <w:rPr>
          <w:rFonts w:eastAsia="Arial"/>
          <w:color w:val="000000"/>
          <w:sz w:val="18"/>
          <w:vertAlign w:val="superscript"/>
        </w:rPr>
        <w:t>83 </w:t>
      </w:r>
      <w:r>
        <w:rPr>
          <w:rFonts w:eastAsia="Arial"/>
          <w:color w:val="000000"/>
          <w:sz w:val="18"/>
        </w:rPr>
        <w:t xml:space="preserve">  See </w:t>
      </w:r>
      <w:hyperlink r:id="rId338" w:history="1">
        <w:r>
          <w:rPr>
            <w:rFonts w:eastAsia="Arial"/>
            <w:i/>
            <w:color w:val="0077CC"/>
            <w:sz w:val="18"/>
            <w:u w:val="single"/>
          </w:rPr>
          <w:t>Doe v. United States, 110 F. Supp. 3d 448, 458 (E.D.N.Y. 2015)</w:t>
        </w:r>
      </w:hyperlink>
      <w:r>
        <w:rPr>
          <w:rFonts w:eastAsia="Arial"/>
          <w:color w:val="000000"/>
          <w:sz w:val="18"/>
        </w:rPr>
        <w:t xml:space="preserve"> (Gleeson, J.) (Doe I); </w:t>
      </w:r>
      <w:hyperlink r:id="rId339" w:history="1">
        <w:r>
          <w:rPr>
            <w:rFonts w:eastAsia="Arial"/>
            <w:i/>
            <w:color w:val="0077CC"/>
            <w:sz w:val="18"/>
            <w:u w:val="single"/>
          </w:rPr>
          <w:t>Doe v. United States, 168 F. Supp. 3d 427 (E.D.N.Y. 2016)</w:t>
        </w:r>
      </w:hyperlink>
      <w:r>
        <w:rPr>
          <w:rFonts w:eastAsia="Arial"/>
          <w:color w:val="000000"/>
          <w:sz w:val="18"/>
        </w:rPr>
        <w:t xml:space="preserve"> (Gleeson, J.) (Doe II). </w:t>
      </w:r>
    </w:p>
  </w:footnote>
  <w:footnote w:id="236">
    <w:p w14:paraId="0AA2E143" w14:textId="77777777" w:rsidR="005C4509" w:rsidRDefault="005C4509" w:rsidP="00CC009B">
      <w:pPr>
        <w:spacing w:before="240" w:line="240" w:lineRule="atLeast"/>
        <w:jc w:val="both"/>
      </w:pPr>
      <w:r>
        <w:rPr>
          <w:rFonts w:eastAsia="Arial"/>
          <w:color w:val="000000"/>
          <w:sz w:val="18"/>
          <w:vertAlign w:val="superscript"/>
        </w:rPr>
        <w:t>84 </w:t>
      </w:r>
      <w:r>
        <w:rPr>
          <w:rFonts w:eastAsia="Arial"/>
          <w:color w:val="000000"/>
          <w:sz w:val="18"/>
        </w:rPr>
        <w:t xml:space="preserve">   </w:t>
      </w:r>
      <w:hyperlink r:id="rId340" w:history="1">
        <w:r>
          <w:rPr>
            <w:rFonts w:eastAsia="Arial"/>
            <w:i/>
            <w:color w:val="0077CC"/>
            <w:sz w:val="18"/>
            <w:u w:val="single"/>
          </w:rPr>
          <w:t>Doe II, 168 F. Supp. 3d at 429-30.</w:t>
        </w:r>
      </w:hyperlink>
      <w:r>
        <w:rPr>
          <w:rFonts w:eastAsia="Arial"/>
          <w:color w:val="000000"/>
          <w:sz w:val="18"/>
        </w:rPr>
        <w:t xml:space="preserve">  </w:t>
      </w:r>
    </w:p>
  </w:footnote>
  <w:footnote w:id="237">
    <w:p w14:paraId="25A86B3C" w14:textId="77777777" w:rsidR="005C4509" w:rsidRDefault="005C4509" w:rsidP="00CC009B">
      <w:pPr>
        <w:spacing w:before="240" w:line="240" w:lineRule="atLeast"/>
        <w:jc w:val="both"/>
      </w:pPr>
      <w:r>
        <w:rPr>
          <w:rFonts w:eastAsia="Arial"/>
          <w:color w:val="000000"/>
          <w:sz w:val="18"/>
          <w:vertAlign w:val="superscript"/>
        </w:rPr>
        <w:t>85 </w:t>
      </w:r>
      <w:r>
        <w:rPr>
          <w:rFonts w:eastAsia="Arial"/>
          <w:color w:val="000000"/>
          <w:sz w:val="18"/>
        </w:rPr>
        <w:t xml:space="preserve">  See </w:t>
      </w:r>
      <w:hyperlink r:id="rId341" w:history="1">
        <w:r>
          <w:rPr>
            <w:rFonts w:eastAsia="Arial"/>
            <w:i/>
            <w:color w:val="0077CC"/>
            <w:sz w:val="18"/>
            <w:u w:val="single"/>
          </w:rPr>
          <w:t>id. at 433.</w:t>
        </w:r>
      </w:hyperlink>
      <w:r>
        <w:rPr>
          <w:rFonts w:eastAsia="Arial"/>
          <w:color w:val="000000"/>
          <w:sz w:val="18"/>
        </w:rPr>
        <w:t xml:space="preserve">  </w:t>
      </w:r>
    </w:p>
  </w:footnote>
  <w:footnote w:id="238">
    <w:p w14:paraId="4926907F" w14:textId="77777777" w:rsidR="005C4509" w:rsidRDefault="005C4509" w:rsidP="00CC009B">
      <w:pPr>
        <w:spacing w:before="240" w:line="240" w:lineRule="atLeast"/>
        <w:jc w:val="both"/>
      </w:pPr>
      <w:r>
        <w:rPr>
          <w:rFonts w:eastAsia="Arial"/>
          <w:color w:val="000000"/>
          <w:sz w:val="18"/>
          <w:vertAlign w:val="superscript"/>
        </w:rPr>
        <w:t>86 </w:t>
      </w:r>
      <w:r>
        <w:rPr>
          <w:rFonts w:eastAsia="Arial"/>
          <w:color w:val="000000"/>
          <w:sz w:val="18"/>
        </w:rPr>
        <w:t xml:space="preserve">  See </w:t>
      </w:r>
      <w:hyperlink r:id="rId342" w:history="1">
        <w:r>
          <w:rPr>
            <w:rFonts w:eastAsia="Arial"/>
            <w:i/>
            <w:color w:val="0077CC"/>
            <w:sz w:val="18"/>
            <w:u w:val="single"/>
          </w:rPr>
          <w:t>Doe I, 110 F. Supp. 3d at 457</w:t>
        </w:r>
      </w:hyperlink>
      <w:r>
        <w:rPr>
          <w:rFonts w:eastAsia="Arial"/>
          <w:color w:val="000000"/>
          <w:sz w:val="18"/>
        </w:rPr>
        <w:t xml:space="preserve"> ("The seemingly automatic refusals by judges to expunge convictions when the inability to find employment is the 'only' ground for the application have undervalued the critical role employment plays in re-entry. They are also increasingly out of step with public opinion."). </w:t>
      </w:r>
    </w:p>
  </w:footnote>
  <w:footnote w:id="239">
    <w:p w14:paraId="67823EB6" w14:textId="77777777" w:rsidR="005C4509" w:rsidRDefault="005C4509" w:rsidP="00CC009B">
      <w:pPr>
        <w:spacing w:before="240" w:line="240" w:lineRule="atLeast"/>
        <w:jc w:val="both"/>
      </w:pPr>
      <w:r>
        <w:rPr>
          <w:rFonts w:eastAsia="Arial"/>
          <w:color w:val="000000"/>
          <w:sz w:val="18"/>
          <w:vertAlign w:val="superscript"/>
        </w:rPr>
        <w:t>87 </w:t>
      </w:r>
      <w:r>
        <w:rPr>
          <w:rFonts w:eastAsia="Arial"/>
          <w:color w:val="000000"/>
          <w:sz w:val="18"/>
        </w:rPr>
        <w:t xml:space="preserve">  See </w:t>
      </w:r>
      <w:hyperlink r:id="rId343" w:history="1">
        <w:r>
          <w:rPr>
            <w:rFonts w:eastAsia="Arial"/>
            <w:i/>
            <w:color w:val="0077CC"/>
            <w:sz w:val="18"/>
            <w:u w:val="single"/>
          </w:rPr>
          <w:t>Doe II, 168 F. Supp. 3d at 446 n.41</w:t>
        </w:r>
      </w:hyperlink>
      <w:r>
        <w:rPr>
          <w:rFonts w:eastAsia="Arial"/>
          <w:color w:val="000000"/>
          <w:sz w:val="18"/>
        </w:rPr>
        <w:t xml:space="preserve"> (describing as "unfortunate[]" the infrequency of pardons issued by the Executive branch). </w:t>
      </w:r>
    </w:p>
  </w:footnote>
  <w:footnote w:id="240">
    <w:p w14:paraId="0AACBF83" w14:textId="77777777" w:rsidR="005C4509" w:rsidRDefault="005C4509" w:rsidP="00CC009B">
      <w:pPr>
        <w:spacing w:before="200" w:line="240" w:lineRule="atLeast"/>
        <w:jc w:val="both"/>
      </w:pPr>
      <w:r>
        <w:rPr>
          <w:rFonts w:eastAsia="Arial"/>
          <w:color w:val="000000"/>
          <w:sz w:val="18"/>
          <w:vertAlign w:val="superscript"/>
        </w:rPr>
        <w:t>88 </w:t>
      </w:r>
      <w:r>
        <w:rPr>
          <w:rFonts w:eastAsia="Arial"/>
          <w:color w:val="000000"/>
          <w:sz w:val="18"/>
        </w:rPr>
        <w:t xml:space="preserve">  See </w:t>
      </w:r>
      <w:hyperlink r:id="rId344" w:history="1">
        <w:r>
          <w:rPr>
            <w:rFonts w:eastAsia="Arial"/>
            <w:i/>
            <w:color w:val="0077CC"/>
            <w:sz w:val="18"/>
            <w:u w:val="single"/>
          </w:rPr>
          <w:t>id. at 445</w:t>
        </w:r>
      </w:hyperlink>
      <w:r>
        <w:rPr>
          <w:rFonts w:eastAsia="Arial"/>
          <w:color w:val="000000"/>
          <w:sz w:val="18"/>
        </w:rPr>
        <w:t xml:space="preserve"> (calling for congressional authorization of a "robust </w:t>
      </w:r>
      <w:r>
        <w:rPr>
          <w:rFonts w:eastAsia="Arial"/>
          <w:b/>
          <w:i/>
          <w:color w:val="000000"/>
          <w:sz w:val="18"/>
          <w:u w:val="single"/>
        </w:rPr>
        <w:t>federal</w:t>
      </w:r>
      <w:r>
        <w:rPr>
          <w:rFonts w:eastAsia="Arial"/>
          <w:color w:val="000000"/>
          <w:sz w:val="18"/>
        </w:rPr>
        <w:t xml:space="preserve"> certification system" like that in effect in New York and several other states). </w:t>
      </w:r>
    </w:p>
  </w:footnote>
  <w:footnote w:id="241">
    <w:p w14:paraId="203BAD94" w14:textId="77777777" w:rsidR="005C4509" w:rsidRDefault="005C4509" w:rsidP="00CC009B">
      <w:pPr>
        <w:spacing w:before="240" w:line="240" w:lineRule="atLeast"/>
        <w:jc w:val="both"/>
      </w:pPr>
      <w:r>
        <w:rPr>
          <w:rFonts w:eastAsia="Arial"/>
          <w:color w:val="000000"/>
          <w:sz w:val="18"/>
          <w:vertAlign w:val="superscript"/>
        </w:rPr>
        <w:t>89 </w:t>
      </w:r>
      <w:r>
        <w:rPr>
          <w:rFonts w:eastAsia="Arial"/>
          <w:color w:val="000000"/>
          <w:sz w:val="18"/>
        </w:rPr>
        <w:t xml:space="preserve">  See </w:t>
      </w:r>
      <w:hyperlink r:id="rId345" w:history="1">
        <w:r>
          <w:rPr>
            <w:rFonts w:eastAsia="Arial"/>
            <w:i/>
            <w:color w:val="0077CC"/>
            <w:sz w:val="18"/>
            <w:u w:val="single"/>
          </w:rPr>
          <w:t>Doe I, 110 F. Supp. 3d at 457</w:t>
        </w:r>
      </w:hyperlink>
      <w:r>
        <w:rPr>
          <w:rFonts w:eastAsia="Arial"/>
          <w:color w:val="000000"/>
          <w:sz w:val="18"/>
        </w:rPr>
        <w:t xml:space="preserve"> (Doe I's case "highlights the need to take a fresh look at policies that shut people out from the social, economic, and educational opportunities they desperately need in order to reenter society successfully."). </w:t>
      </w:r>
    </w:p>
  </w:footnote>
  <w:footnote w:id="242">
    <w:p w14:paraId="2C7EC7F4" w14:textId="77777777" w:rsidR="005C4509" w:rsidRDefault="005C4509" w:rsidP="00CC009B">
      <w:pPr>
        <w:spacing w:before="240" w:line="240" w:lineRule="atLeast"/>
        <w:jc w:val="both"/>
      </w:pPr>
      <w:r>
        <w:rPr>
          <w:rFonts w:eastAsia="Arial"/>
          <w:color w:val="000000"/>
          <w:sz w:val="18"/>
          <w:vertAlign w:val="superscript"/>
        </w:rPr>
        <w:t>90 </w:t>
      </w:r>
      <w:r>
        <w:rPr>
          <w:rFonts w:eastAsia="Arial"/>
          <w:color w:val="000000"/>
          <w:sz w:val="18"/>
        </w:rPr>
        <w:t xml:space="preserve">  See </w:t>
      </w:r>
      <w:hyperlink r:id="rId346" w:history="1">
        <w:r>
          <w:rPr>
            <w:rFonts w:eastAsia="Arial"/>
            <w:i/>
            <w:color w:val="0077CC"/>
            <w:sz w:val="18"/>
            <w:u w:val="single"/>
          </w:rPr>
          <w:t>Brief and Appendix for the United States at 7, Doe v. United States, 833 F.3d 192 (2d Cir. 2016) (No. 15-1967), 2015 WL 5559948</w:t>
        </w:r>
      </w:hyperlink>
      <w:r>
        <w:rPr>
          <w:rFonts w:eastAsia="Arial"/>
          <w:color w:val="000000"/>
          <w:sz w:val="18"/>
        </w:rPr>
        <w:t xml:space="preserve"> (describing order issued by Judge Gleeson asking the government to consider consenting to expungement). </w:t>
      </w:r>
    </w:p>
  </w:footnote>
  <w:footnote w:id="243">
    <w:p w14:paraId="16C9B688" w14:textId="77777777" w:rsidR="005C4509" w:rsidRDefault="005C4509" w:rsidP="00CC009B">
      <w:pPr>
        <w:spacing w:before="240" w:line="240" w:lineRule="atLeast"/>
        <w:jc w:val="both"/>
      </w:pPr>
      <w:r>
        <w:rPr>
          <w:rFonts w:eastAsia="Arial"/>
          <w:color w:val="000000"/>
          <w:sz w:val="18"/>
          <w:vertAlign w:val="superscript"/>
        </w:rPr>
        <w:t>91 </w:t>
      </w:r>
      <w:r>
        <w:rPr>
          <w:rFonts w:eastAsia="Arial"/>
          <w:color w:val="000000"/>
          <w:sz w:val="18"/>
        </w:rPr>
        <w:t xml:space="preserve">   </w:t>
      </w:r>
      <w:hyperlink r:id="rId347" w:history="1">
        <w:r>
          <w:rPr>
            <w:rFonts w:eastAsia="Arial"/>
            <w:i/>
            <w:color w:val="0077CC"/>
            <w:sz w:val="18"/>
            <w:u w:val="single"/>
          </w:rPr>
          <w:t>Doe I, 110 F. Supp. 3d at 455.</w:t>
        </w:r>
      </w:hyperlink>
      <w:r>
        <w:rPr>
          <w:rFonts w:eastAsia="Arial"/>
          <w:color w:val="000000"/>
          <w:sz w:val="18"/>
        </w:rPr>
        <w:t xml:space="preserve"> In granting the expungement, Judge Gleeson cited among other considerations Doe's representation that she had been "terminated from half a dozen jobs [as a home health aide] because of the record of her conviction." Id. </w:t>
      </w:r>
    </w:p>
  </w:footnote>
  <w:footnote w:id="244">
    <w:p w14:paraId="536C3F8B" w14:textId="77777777" w:rsidR="005C4509" w:rsidRDefault="005C4509" w:rsidP="00CC009B">
      <w:pPr>
        <w:spacing w:before="240" w:line="240" w:lineRule="atLeast"/>
        <w:jc w:val="both"/>
      </w:pPr>
      <w:r>
        <w:rPr>
          <w:rFonts w:eastAsia="Arial"/>
          <w:color w:val="000000"/>
          <w:sz w:val="18"/>
          <w:vertAlign w:val="superscript"/>
        </w:rPr>
        <w:t>92 </w:t>
      </w:r>
      <w:r>
        <w:rPr>
          <w:rFonts w:eastAsia="Arial"/>
          <w:color w:val="000000"/>
          <w:sz w:val="18"/>
        </w:rPr>
        <w:t xml:space="preserve">  See </w:t>
      </w:r>
      <w:hyperlink r:id="rId348" w:history="1">
        <w:r>
          <w:rPr>
            <w:rFonts w:eastAsia="Arial"/>
            <w:i/>
            <w:color w:val="0077CC"/>
            <w:sz w:val="18"/>
            <w:u w:val="single"/>
          </w:rPr>
          <w:t>Doe II, 168 F. Supp. 2d at 447</w:t>
        </w:r>
      </w:hyperlink>
      <w:r>
        <w:rPr>
          <w:rFonts w:eastAsia="Arial"/>
          <w:color w:val="000000"/>
          <w:sz w:val="18"/>
        </w:rPr>
        <w:t xml:space="preserve"> (attachment showing Certificate of Rehabilitation issued, co-signed by the Chief Probation Officer for the District). </w:t>
      </w:r>
    </w:p>
  </w:footnote>
  <w:footnote w:id="245">
    <w:p w14:paraId="7ACEA3EA" w14:textId="77777777" w:rsidR="005C4509" w:rsidRDefault="005C4509" w:rsidP="00CC009B">
      <w:pPr>
        <w:spacing w:before="240" w:line="240" w:lineRule="atLeast"/>
        <w:jc w:val="both"/>
      </w:pPr>
      <w:r>
        <w:rPr>
          <w:rFonts w:eastAsia="Arial"/>
          <w:color w:val="000000"/>
          <w:sz w:val="18"/>
          <w:vertAlign w:val="superscript"/>
        </w:rPr>
        <w:t>93 </w:t>
      </w:r>
      <w:r>
        <w:rPr>
          <w:rFonts w:eastAsia="Arial"/>
          <w:color w:val="000000"/>
          <w:sz w:val="18"/>
        </w:rPr>
        <w:t xml:space="preserve">   </w:t>
      </w:r>
      <w:hyperlink r:id="rId349" w:history="1">
        <w:r>
          <w:rPr>
            <w:rFonts w:eastAsia="Arial"/>
            <w:i/>
            <w:color w:val="0077CC"/>
            <w:sz w:val="18"/>
            <w:u w:val="single"/>
          </w:rPr>
          <w:t>Doe v. United States, 833 F.3d 192, 196-98 (2d Cir. 2016).</w:t>
        </w:r>
      </w:hyperlink>
      <w:r>
        <w:rPr>
          <w:rFonts w:eastAsia="Arial"/>
          <w:color w:val="000000"/>
          <w:sz w:val="18"/>
        </w:rPr>
        <w:t xml:space="preserve">  </w:t>
      </w:r>
    </w:p>
  </w:footnote>
  <w:footnote w:id="246">
    <w:p w14:paraId="647341D7" w14:textId="77777777" w:rsidR="005C4509" w:rsidRDefault="005C4509" w:rsidP="00CC009B">
      <w:pPr>
        <w:spacing w:before="240" w:line="240" w:lineRule="atLeast"/>
        <w:jc w:val="both"/>
      </w:pPr>
      <w:r>
        <w:rPr>
          <w:rFonts w:eastAsia="Arial"/>
          <w:color w:val="000000"/>
          <w:sz w:val="18"/>
          <w:vertAlign w:val="superscript"/>
        </w:rPr>
        <w:t>94 </w:t>
      </w:r>
      <w:r>
        <w:rPr>
          <w:rFonts w:eastAsia="Arial"/>
          <w:color w:val="000000"/>
          <w:sz w:val="18"/>
        </w:rPr>
        <w:t xml:space="preserve">  In addition to Nesbeth, discussed infra, see, for example, </w:t>
      </w:r>
      <w:hyperlink r:id="rId350" w:history="1">
        <w:r>
          <w:rPr>
            <w:rFonts w:eastAsia="Arial"/>
            <w:i/>
            <w:color w:val="0077CC"/>
            <w:sz w:val="18"/>
            <w:u w:val="single"/>
          </w:rPr>
          <w:t>United States v. Saena Tech Corp., 140 F. Supp. 3d 11, 42-47 (D.D.C. 2015)</w:t>
        </w:r>
      </w:hyperlink>
      <w:r>
        <w:rPr>
          <w:rFonts w:eastAsia="Arial"/>
          <w:color w:val="000000"/>
          <w:sz w:val="18"/>
        </w:rPr>
        <w:t xml:space="preserve"> (Sullivan, J.) (citing Doe I and in dicta imploring the Department of Justice to use deferred prosecution agreements and other similar tools in individual prosecutions to allow individual defendants, like corporate defendants, a chance to avoid the deleterious </w:t>
      </w:r>
      <w:r>
        <w:rPr>
          <w:rFonts w:eastAsia="Arial"/>
          <w:b/>
          <w:i/>
          <w:color w:val="000000"/>
          <w:sz w:val="18"/>
          <w:u w:val="single"/>
        </w:rPr>
        <w:t>collateral consequences</w:t>
      </w:r>
      <w:r>
        <w:rPr>
          <w:rFonts w:eastAsia="Arial"/>
          <w:color w:val="000000"/>
          <w:sz w:val="18"/>
        </w:rPr>
        <w:t xml:space="preserve"> of criminal convictions); </w:t>
      </w:r>
      <w:hyperlink r:id="rId351" w:history="1">
        <w:r>
          <w:rPr>
            <w:rFonts w:eastAsia="Arial"/>
            <w:i/>
            <w:color w:val="0077CC"/>
            <w:sz w:val="18"/>
            <w:u w:val="single"/>
          </w:rPr>
          <w:t>Stephenson v. United States, 139 F. Supp. 3d 566, 572 (E.D.N.Y. 2015)</w:t>
        </w:r>
      </w:hyperlink>
      <w:r>
        <w:rPr>
          <w:rFonts w:eastAsia="Arial"/>
          <w:color w:val="000000"/>
          <w:sz w:val="18"/>
        </w:rPr>
        <w:t xml:space="preserve"> (Dearie, J.) (in dicta calling for action by all three branches of government to ensure that individuals who are finished serving their sentences are given a second chance to make a life). </w:t>
      </w:r>
    </w:p>
  </w:footnote>
  <w:footnote w:id="247">
    <w:p w14:paraId="34B1BC6F" w14:textId="77777777" w:rsidR="005C4509" w:rsidRDefault="005C4509" w:rsidP="00CC009B">
      <w:pPr>
        <w:spacing w:before="240" w:line="240" w:lineRule="atLeast"/>
        <w:jc w:val="both"/>
      </w:pPr>
      <w:r>
        <w:rPr>
          <w:rFonts w:eastAsia="Arial"/>
          <w:color w:val="000000"/>
          <w:sz w:val="18"/>
          <w:vertAlign w:val="superscript"/>
        </w:rPr>
        <w:t>95 </w:t>
      </w:r>
      <w:r>
        <w:rPr>
          <w:rFonts w:eastAsia="Arial"/>
          <w:color w:val="000000"/>
          <w:sz w:val="18"/>
        </w:rPr>
        <w:t xml:space="preserve">  See </w:t>
      </w:r>
      <w:hyperlink r:id="rId352" w:history="1">
        <w:r>
          <w:rPr>
            <w:rFonts w:eastAsia="Arial"/>
            <w:i/>
            <w:color w:val="0077CC"/>
            <w:sz w:val="18"/>
            <w:u w:val="single"/>
          </w:rPr>
          <w:t>Doe v. United States, 833 F.3d at 199</w:t>
        </w:r>
      </w:hyperlink>
      <w:r>
        <w:rPr>
          <w:rFonts w:eastAsia="Arial"/>
          <w:color w:val="000000"/>
          <w:sz w:val="18"/>
        </w:rPr>
        <w:t xml:space="preserve"> ("The unfortunate consequences of Doe's conviction compel us to offer a few additional observations."). </w:t>
      </w:r>
    </w:p>
  </w:footnote>
  <w:footnote w:id="248">
    <w:p w14:paraId="2196B44F" w14:textId="77777777" w:rsidR="005C4509" w:rsidRDefault="005C4509" w:rsidP="00CC009B">
      <w:pPr>
        <w:spacing w:before="240" w:line="240" w:lineRule="atLeast"/>
        <w:jc w:val="both"/>
      </w:pPr>
      <w:r>
        <w:rPr>
          <w:rFonts w:eastAsia="Arial"/>
          <w:color w:val="000000"/>
          <w:sz w:val="18"/>
          <w:vertAlign w:val="superscript"/>
        </w:rPr>
        <w:t>96 </w:t>
      </w:r>
      <w:r>
        <w:rPr>
          <w:rFonts w:eastAsia="Arial"/>
          <w:color w:val="000000"/>
          <w:sz w:val="18"/>
        </w:rPr>
        <w:t xml:space="preserve">  Id. The opinion went on to quote at length a speech by then-Attorney General Loretta Lynch calling for reforms of the laws that effectively turns "terms of incarceration into … a life sentence." </w:t>
      </w:r>
      <w:hyperlink r:id="rId353" w:history="1">
        <w:r>
          <w:rPr>
            <w:rFonts w:eastAsia="Arial"/>
            <w:i/>
            <w:color w:val="0077CC"/>
            <w:sz w:val="18"/>
            <w:u w:val="single"/>
          </w:rPr>
          <w:t>Id. at 200</w:t>
        </w:r>
      </w:hyperlink>
      <w:r>
        <w:rPr>
          <w:rFonts w:eastAsia="Arial"/>
          <w:color w:val="000000"/>
          <w:sz w:val="18"/>
        </w:rPr>
        <w:t xml:space="preserve"> (quoting Loretta E. Lynch, Attorney Gen., Dep't of Justice, Remarks at National Reentry Week Event in Philadelphia (Apr. 25, 2016), </w:t>
      </w:r>
      <w:hyperlink r:id="rId354" w:history="1">
        <w:r>
          <w:rPr>
            <w:rFonts w:eastAsia="Arial"/>
            <w:i/>
            <w:color w:val="0077CC"/>
            <w:sz w:val="18"/>
            <w:u w:val="single"/>
          </w:rPr>
          <w:t>https://www.justice.gov/opa/speech/attorney-general-loretta-e-lynch-delivers-remarks-national-reentry-week-event</w:t>
        </w:r>
      </w:hyperlink>
      <w:r>
        <w:rPr>
          <w:rFonts w:eastAsia="Arial"/>
          <w:color w:val="000000"/>
          <w:sz w:val="18"/>
        </w:rPr>
        <w:t xml:space="preserve"> [</w:t>
      </w:r>
      <w:hyperlink r:id="rId355" w:history="1">
        <w:r>
          <w:rPr>
            <w:rFonts w:eastAsia="Arial"/>
            <w:i/>
            <w:color w:val="0077CC"/>
            <w:sz w:val="18"/>
            <w:u w:val="single"/>
          </w:rPr>
          <w:t>https://perma.cc/4R</w:t>
        </w:r>
      </w:hyperlink>
      <w:r>
        <w:rPr>
          <w:rFonts w:eastAsia="Arial"/>
          <w:color w:val="000000"/>
          <w:sz w:val="18"/>
        </w:rPr>
        <w:t xml:space="preserve"> 7X-C9DY]).</w:t>
      </w:r>
    </w:p>
  </w:footnote>
  <w:footnote w:id="249">
    <w:p w14:paraId="2D900734" w14:textId="77777777" w:rsidR="005C4509" w:rsidRDefault="005C4509" w:rsidP="00CC009B">
      <w:pPr>
        <w:spacing w:before="240" w:line="240" w:lineRule="atLeast"/>
        <w:jc w:val="both"/>
      </w:pPr>
      <w:r>
        <w:rPr>
          <w:rFonts w:eastAsia="Arial"/>
          <w:color w:val="000000"/>
          <w:sz w:val="18"/>
          <w:vertAlign w:val="superscript"/>
        </w:rPr>
        <w:t>97 </w:t>
      </w:r>
      <w:r>
        <w:rPr>
          <w:rFonts w:eastAsia="Arial"/>
          <w:color w:val="000000"/>
          <w:sz w:val="18"/>
        </w:rPr>
        <w:t xml:space="preserve">   </w:t>
      </w:r>
      <w:hyperlink r:id="rId356" w:history="1">
        <w:r>
          <w:rPr>
            <w:rFonts w:eastAsia="Arial"/>
            <w:i/>
            <w:color w:val="0077CC"/>
            <w:sz w:val="18"/>
            <w:u w:val="single"/>
          </w:rPr>
          <w:t>188 F. Supp. 3d 179 (E.D.N.Y. 2016)</w:t>
        </w:r>
      </w:hyperlink>
      <w:r>
        <w:rPr>
          <w:rFonts w:eastAsia="Arial"/>
          <w:color w:val="000000"/>
          <w:sz w:val="18"/>
        </w:rPr>
        <w:t xml:space="preserve"> (Block, J.). </w:t>
      </w:r>
    </w:p>
  </w:footnote>
  <w:footnote w:id="250">
    <w:p w14:paraId="09711AD4" w14:textId="77777777" w:rsidR="005C4509" w:rsidRDefault="005C4509" w:rsidP="00CC009B">
      <w:pPr>
        <w:spacing w:before="240" w:line="240" w:lineRule="atLeast"/>
        <w:jc w:val="both"/>
      </w:pPr>
      <w:r>
        <w:rPr>
          <w:rFonts w:eastAsia="Arial"/>
          <w:color w:val="000000"/>
          <w:sz w:val="18"/>
          <w:vertAlign w:val="superscript"/>
        </w:rPr>
        <w:t>98 </w:t>
      </w:r>
      <w:r>
        <w:rPr>
          <w:rFonts w:eastAsia="Arial"/>
          <w:color w:val="000000"/>
          <w:sz w:val="18"/>
        </w:rPr>
        <w:t xml:space="preserve">  See </w:t>
      </w:r>
      <w:hyperlink r:id="rId357" w:history="1">
        <w:r>
          <w:rPr>
            <w:rFonts w:eastAsia="Arial"/>
            <w:i/>
            <w:color w:val="0077CC"/>
            <w:sz w:val="18"/>
            <w:u w:val="single"/>
          </w:rPr>
          <w:t>id. at 188.</w:t>
        </w:r>
      </w:hyperlink>
      <w:r>
        <w:rPr>
          <w:rFonts w:eastAsia="Arial"/>
          <w:color w:val="000000"/>
          <w:sz w:val="18"/>
        </w:rPr>
        <w:t xml:space="preserve">  </w:t>
      </w:r>
    </w:p>
  </w:footnote>
  <w:footnote w:id="251">
    <w:p w14:paraId="531EEEB0" w14:textId="77777777" w:rsidR="005C4509" w:rsidRDefault="005C4509" w:rsidP="00CC009B">
      <w:pPr>
        <w:spacing w:before="240" w:line="240" w:lineRule="atLeast"/>
        <w:jc w:val="both"/>
      </w:pPr>
      <w:r>
        <w:rPr>
          <w:rFonts w:eastAsia="Arial"/>
          <w:color w:val="000000"/>
          <w:sz w:val="18"/>
          <w:vertAlign w:val="superscript"/>
        </w:rPr>
        <w:t>99 </w:t>
      </w:r>
      <w:r>
        <w:rPr>
          <w:rFonts w:eastAsia="Arial"/>
          <w:color w:val="000000"/>
          <w:sz w:val="18"/>
        </w:rPr>
        <w:t xml:space="preserve">   </w:t>
      </w:r>
      <w:hyperlink r:id="rId358" w:history="1">
        <w:r>
          <w:rPr>
            <w:rFonts w:eastAsia="Arial"/>
            <w:i/>
            <w:color w:val="0077CC"/>
            <w:sz w:val="18"/>
            <w:u w:val="single"/>
          </w:rPr>
          <w:t>Id. at 194.</w:t>
        </w:r>
      </w:hyperlink>
      <w:r>
        <w:rPr>
          <w:rFonts w:eastAsia="Arial"/>
          <w:color w:val="000000"/>
          <w:sz w:val="18"/>
        </w:rPr>
        <w:t xml:space="preserve">  </w:t>
      </w:r>
    </w:p>
  </w:footnote>
  <w:footnote w:id="252">
    <w:p w14:paraId="64B7AE33" w14:textId="77777777" w:rsidR="005C4509" w:rsidRDefault="005C4509" w:rsidP="00CC009B">
      <w:pPr>
        <w:spacing w:before="240" w:line="240" w:lineRule="atLeast"/>
        <w:jc w:val="both"/>
      </w:pPr>
      <w:r>
        <w:rPr>
          <w:rFonts w:eastAsia="Arial"/>
          <w:color w:val="000000"/>
          <w:sz w:val="18"/>
          <w:vertAlign w:val="superscript"/>
        </w:rPr>
        <w:t>100 </w:t>
      </w:r>
      <w:r>
        <w:rPr>
          <w:rFonts w:eastAsia="Arial"/>
          <w:color w:val="000000"/>
          <w:sz w:val="18"/>
        </w:rPr>
        <w:t xml:space="preserve">   </w:t>
      </w:r>
      <w:hyperlink r:id="rId359" w:history="1">
        <w:r>
          <w:rPr>
            <w:rFonts w:eastAsia="Arial"/>
            <w:i/>
            <w:color w:val="0077CC"/>
            <w:sz w:val="18"/>
            <w:u w:val="single"/>
          </w:rPr>
          <w:t>Id. at 181-83.</w:t>
        </w:r>
      </w:hyperlink>
      <w:r>
        <w:rPr>
          <w:rFonts w:eastAsia="Arial"/>
          <w:color w:val="000000"/>
          <w:sz w:val="18"/>
        </w:rPr>
        <w:t xml:space="preserve">  </w:t>
      </w:r>
    </w:p>
  </w:footnote>
  <w:footnote w:id="253">
    <w:p w14:paraId="75A2D9AD" w14:textId="77777777" w:rsidR="005C4509" w:rsidRDefault="005C4509" w:rsidP="00CC009B">
      <w:pPr>
        <w:spacing w:before="240" w:line="240" w:lineRule="atLeast"/>
        <w:jc w:val="both"/>
      </w:pPr>
      <w:r>
        <w:rPr>
          <w:rFonts w:eastAsia="Arial"/>
          <w:color w:val="000000"/>
          <w:sz w:val="18"/>
          <w:vertAlign w:val="superscript"/>
        </w:rPr>
        <w:t>101 </w:t>
      </w:r>
      <w:r>
        <w:rPr>
          <w:rFonts w:eastAsia="Arial"/>
          <w:color w:val="000000"/>
          <w:sz w:val="18"/>
        </w:rPr>
        <w:t xml:space="preserve">   </w:t>
      </w:r>
      <w:hyperlink r:id="rId360" w:history="1">
        <w:r>
          <w:rPr>
            <w:rFonts w:eastAsia="Arial"/>
            <w:i/>
            <w:color w:val="0077CC"/>
            <w:sz w:val="18"/>
            <w:u w:val="single"/>
          </w:rPr>
          <w:t>Id. at 183.</w:t>
        </w:r>
      </w:hyperlink>
      <w:r>
        <w:rPr>
          <w:rFonts w:eastAsia="Arial"/>
          <w:color w:val="000000"/>
          <w:sz w:val="18"/>
        </w:rPr>
        <w:t xml:space="preserve">  </w:t>
      </w:r>
    </w:p>
  </w:footnote>
  <w:footnote w:id="254">
    <w:p w14:paraId="0385CB6C" w14:textId="77777777" w:rsidR="005C4509" w:rsidRDefault="005C4509" w:rsidP="00CC009B">
      <w:pPr>
        <w:spacing w:before="240" w:line="240" w:lineRule="atLeast"/>
        <w:jc w:val="both"/>
      </w:pPr>
      <w:r>
        <w:rPr>
          <w:rFonts w:eastAsia="Arial"/>
          <w:color w:val="000000"/>
          <w:sz w:val="18"/>
          <w:vertAlign w:val="superscript"/>
        </w:rPr>
        <w:t>102 </w:t>
      </w:r>
      <w:r>
        <w:rPr>
          <w:rFonts w:eastAsia="Arial"/>
          <w:color w:val="000000"/>
          <w:sz w:val="18"/>
        </w:rPr>
        <w:t xml:space="preserve">   </w:t>
      </w:r>
      <w:hyperlink r:id="rId361" w:history="1">
        <w:r>
          <w:rPr>
            <w:rFonts w:eastAsia="Arial"/>
            <w:i/>
            <w:color w:val="0077CC"/>
            <w:sz w:val="18"/>
            <w:u w:val="single"/>
          </w:rPr>
          <w:t>Id. at 198</w:t>
        </w:r>
      </w:hyperlink>
      <w:r>
        <w:rPr>
          <w:rFonts w:eastAsia="Arial"/>
          <w:color w:val="000000"/>
          <w:sz w:val="18"/>
        </w:rPr>
        <w:t xml:space="preserve"> ("It is for Congress and the states' legislatures to determine whether the plethora of post-sentence punishments imposed upon felons is truly warranted, and to take a hard look at whether they do the country more harm than good. Hopefully, this opinion will be of value to the bench and bar, and to all those who are committed to serving the ends of justice."). </w:t>
      </w:r>
    </w:p>
  </w:footnote>
  <w:footnote w:id="255">
    <w:p w14:paraId="3ED98E3B" w14:textId="77777777" w:rsidR="005C4509" w:rsidRDefault="005C4509" w:rsidP="00CC009B">
      <w:pPr>
        <w:spacing w:before="240" w:line="240" w:lineRule="atLeast"/>
        <w:jc w:val="both"/>
      </w:pPr>
      <w:r>
        <w:rPr>
          <w:rFonts w:eastAsia="Arial"/>
          <w:color w:val="000000"/>
          <w:sz w:val="18"/>
          <w:vertAlign w:val="superscript"/>
        </w:rPr>
        <w:t>103 </w:t>
      </w:r>
      <w:r>
        <w:rPr>
          <w:rFonts w:eastAsia="Arial"/>
          <w:color w:val="000000"/>
          <w:sz w:val="18"/>
        </w:rPr>
        <w:t xml:space="preserve">   </w:t>
      </w:r>
      <w:hyperlink r:id="rId362" w:history="1">
        <w:r>
          <w:rPr>
            <w:rFonts w:eastAsia="Arial"/>
            <w:i/>
            <w:color w:val="0077CC"/>
            <w:sz w:val="18"/>
            <w:u w:val="single"/>
          </w:rPr>
          <w:t>188 F. Supp. 3d at 196-97</w:t>
        </w:r>
      </w:hyperlink>
      <w:r>
        <w:rPr>
          <w:rFonts w:eastAsia="Arial"/>
          <w:color w:val="000000"/>
          <w:sz w:val="18"/>
        </w:rPr>
        <w:t xml:space="preserve"> (citing defense counsel's duties to advocate the client's cause, consult with the client on important decisions, and keep the client informed of significant developments, as well as prosecutors' obligations under Rule 3.8 of New York's Rules of Professional Conduct as a "minister of justice," imposed on </w:t>
      </w:r>
      <w:r>
        <w:rPr>
          <w:rFonts w:eastAsia="Arial"/>
          <w:b/>
          <w:i/>
          <w:color w:val="000000"/>
          <w:sz w:val="18"/>
          <w:u w:val="single"/>
        </w:rPr>
        <w:t>federal</w:t>
      </w:r>
      <w:r>
        <w:rPr>
          <w:rFonts w:eastAsia="Arial"/>
          <w:color w:val="000000"/>
          <w:sz w:val="18"/>
        </w:rPr>
        <w:t xml:space="preserve"> prosecutors pursuant to </w:t>
      </w:r>
      <w:hyperlink r:id="rId363" w:history="1">
        <w:r>
          <w:rPr>
            <w:rFonts w:eastAsia="Arial"/>
            <w:i/>
            <w:color w:val="0077CC"/>
            <w:sz w:val="18"/>
            <w:u w:val="single"/>
          </w:rPr>
          <w:t>28 U.S.C. § 530B(a)</w:t>
        </w:r>
      </w:hyperlink>
      <w:r>
        <w:rPr>
          <w:rFonts w:eastAsia="Arial"/>
          <w:color w:val="000000"/>
          <w:sz w:val="18"/>
        </w:rPr>
        <w:t xml:space="preserve"> (2012)). </w:t>
      </w:r>
    </w:p>
  </w:footnote>
  <w:footnote w:id="256">
    <w:p w14:paraId="3B32366A" w14:textId="77777777" w:rsidR="005C4509" w:rsidRDefault="005C4509" w:rsidP="00CC009B">
      <w:pPr>
        <w:spacing w:before="200" w:line="240" w:lineRule="atLeast"/>
        <w:jc w:val="both"/>
      </w:pPr>
      <w:r>
        <w:rPr>
          <w:rFonts w:eastAsia="Arial"/>
          <w:color w:val="000000"/>
          <w:sz w:val="18"/>
          <w:vertAlign w:val="superscript"/>
        </w:rPr>
        <w:t>104 </w:t>
      </w:r>
      <w:r>
        <w:rPr>
          <w:rFonts w:eastAsia="Arial"/>
          <w:color w:val="000000"/>
          <w:sz w:val="18"/>
        </w:rPr>
        <w:t xml:space="preserve">   </w:t>
      </w:r>
      <w:hyperlink r:id="rId364" w:history="1">
        <w:r>
          <w:rPr>
            <w:rFonts w:eastAsia="Arial"/>
            <w:i/>
            <w:color w:val="0077CC"/>
            <w:sz w:val="18"/>
            <w:u w:val="single"/>
          </w:rPr>
          <w:t>Id. at 197.</w:t>
        </w:r>
      </w:hyperlink>
      <w:r>
        <w:rPr>
          <w:rFonts w:eastAsia="Arial"/>
          <w:color w:val="000000"/>
          <w:sz w:val="18"/>
        </w:rPr>
        <w:t xml:space="preserve"> Following the Nesbeth decision, the Probation Department in the Eastern District of New York has included a </w:t>
      </w:r>
      <w:r>
        <w:rPr>
          <w:rFonts w:eastAsia="Arial"/>
          <w:b/>
          <w:i/>
          <w:color w:val="000000"/>
          <w:sz w:val="18"/>
          <w:u w:val="single"/>
        </w:rPr>
        <w:t>collateral consequences</w:t>
      </w:r>
      <w:r>
        <w:rPr>
          <w:rFonts w:eastAsia="Arial"/>
          <w:color w:val="000000"/>
          <w:sz w:val="18"/>
        </w:rPr>
        <w:t xml:space="preserve"> analysis for all defendants sentenced in that district. Telephone Interview with Eileen Kelly, Chief Probation Officer, E.D.N.Y. (Jan. 10, 2017) (notes on file with author). </w:t>
      </w:r>
    </w:p>
  </w:footnote>
  <w:footnote w:id="257">
    <w:p w14:paraId="62399F93" w14:textId="77777777" w:rsidR="005C4509" w:rsidRDefault="005C4509" w:rsidP="00C058DE">
      <w:pPr>
        <w:spacing w:before="120" w:line="240" w:lineRule="atLeast"/>
        <w:jc w:val="both"/>
      </w:pPr>
      <w:r>
        <w:rPr>
          <w:rFonts w:eastAsia="Arial"/>
          <w:color w:val="000000"/>
          <w:sz w:val="18"/>
          <w:vertAlign w:val="superscript"/>
        </w:rPr>
        <w:t>266 </w:t>
      </w:r>
      <w:r>
        <w:rPr>
          <w:rFonts w:eastAsia="Arial"/>
          <w:color w:val="000000"/>
          <w:sz w:val="18"/>
        </w:rPr>
        <w:t xml:space="preserve"> And if such a cost-benefit analysis were to show that coram nobis is inefficient both before and after civil disabilities, then it proves too much, for coram nobis during the imposition of civil disabilities is not in controversy. </w:t>
      </w:r>
    </w:p>
  </w:footnote>
  <w:footnote w:id="258">
    <w:p w14:paraId="57ABBEFD" w14:textId="77777777" w:rsidR="005C4509" w:rsidRDefault="005C4509" w:rsidP="00C058DE">
      <w:pPr>
        <w:spacing w:before="200" w:line="240" w:lineRule="atLeast"/>
        <w:jc w:val="both"/>
      </w:pPr>
      <w:r>
        <w:rPr>
          <w:rFonts w:eastAsia="Arial"/>
          <w:color w:val="000000"/>
          <w:sz w:val="18"/>
          <w:vertAlign w:val="superscript"/>
        </w:rPr>
        <w:t>267 </w:t>
      </w:r>
      <w:r>
        <w:rPr>
          <w:rFonts w:eastAsia="Arial"/>
          <w:color w:val="000000"/>
          <w:sz w:val="18"/>
        </w:rPr>
        <w:t xml:space="preserve"> A search of the Ninth </w:t>
      </w:r>
      <w:r>
        <w:rPr>
          <w:rFonts w:eastAsia="Arial"/>
          <w:b/>
          <w:i/>
          <w:color w:val="000000"/>
          <w:sz w:val="18"/>
          <w:u w:val="single"/>
        </w:rPr>
        <w:t>Circuit</w:t>
      </w:r>
      <w:r>
        <w:rPr>
          <w:rFonts w:eastAsia="Arial"/>
          <w:color w:val="000000"/>
          <w:sz w:val="18"/>
        </w:rPr>
        <w:t xml:space="preserve"> combined dockets database on Westlaw yields fewer than 100 cases since January 1, 2000, with the "cause segment" identified as "petition for writ of coram nobis." </w:t>
      </w:r>
    </w:p>
  </w:footnote>
  <w:footnote w:id="259">
    <w:p w14:paraId="72CAE206" w14:textId="77777777" w:rsidR="005C4509" w:rsidRDefault="005C4509" w:rsidP="00C058DE">
      <w:pPr>
        <w:spacing w:before="240" w:line="240" w:lineRule="atLeast"/>
        <w:jc w:val="both"/>
      </w:pPr>
      <w:r>
        <w:rPr>
          <w:rFonts w:eastAsia="Arial"/>
          <w:color w:val="000000"/>
          <w:sz w:val="18"/>
          <w:vertAlign w:val="superscript"/>
        </w:rPr>
        <w:t>268 </w:t>
      </w:r>
      <w:r>
        <w:rPr>
          <w:rFonts w:eastAsia="Arial"/>
          <w:color w:val="000000"/>
          <w:sz w:val="18"/>
        </w:rPr>
        <w:t xml:space="preserve"> See generally Toby J. Stern, </w:t>
      </w:r>
      <w:r>
        <w:rPr>
          <w:rFonts w:eastAsia="Arial"/>
          <w:b/>
          <w:i/>
          <w:color w:val="000000"/>
          <w:sz w:val="18"/>
          <w:u w:val="single"/>
        </w:rPr>
        <w:t>Federal</w:t>
      </w:r>
      <w:r>
        <w:rPr>
          <w:rFonts w:eastAsia="Arial"/>
          <w:color w:val="000000"/>
          <w:sz w:val="18"/>
        </w:rPr>
        <w:t xml:space="preserve"> Judges and Fearing the "Floodgates of Litigation," </w:t>
      </w:r>
      <w:hyperlink r:id="rId365" w:history="1">
        <w:r>
          <w:rPr>
            <w:rFonts w:eastAsia="Arial"/>
            <w:i/>
            <w:color w:val="0077CC"/>
            <w:sz w:val="18"/>
            <w:u w:val="single"/>
          </w:rPr>
          <w:t>6 U. Pa. J. Const. L. 377 (2003)</w:t>
        </w:r>
      </w:hyperlink>
      <w:r>
        <w:rPr>
          <w:rFonts w:eastAsia="Arial"/>
          <w:color w:val="000000"/>
          <w:sz w:val="18"/>
        </w:rPr>
        <w:t xml:space="preserve"> (criticizing arguments based on a fear of opening the floodgates of litigation). </w:t>
      </w:r>
    </w:p>
  </w:footnote>
  <w:footnote w:id="260">
    <w:p w14:paraId="6C4DF285" w14:textId="77777777" w:rsidR="005C4509" w:rsidRDefault="005C4509" w:rsidP="00C058DE">
      <w:pPr>
        <w:spacing w:before="240" w:line="240" w:lineRule="atLeast"/>
        <w:jc w:val="both"/>
      </w:pPr>
      <w:r>
        <w:rPr>
          <w:rFonts w:eastAsia="Arial"/>
          <w:color w:val="000000"/>
          <w:sz w:val="18"/>
          <w:vertAlign w:val="superscript"/>
        </w:rPr>
        <w:t>269 </w:t>
      </w:r>
      <w:r>
        <w:rPr>
          <w:rFonts w:eastAsia="Arial"/>
          <w:color w:val="000000"/>
          <w:sz w:val="18"/>
        </w:rPr>
        <w:t xml:space="preserve">  </w:t>
      </w:r>
      <w:hyperlink r:id="rId366" w:history="1">
        <w:r>
          <w:rPr>
            <w:rFonts w:eastAsia="Arial"/>
            <w:i/>
            <w:color w:val="0077CC"/>
            <w:sz w:val="18"/>
            <w:u w:val="single"/>
          </w:rPr>
          <w:t>United States v. Keane, 852 F.2d 199, 201 (7th Cir. 1988).</w:t>
        </w:r>
      </w:hyperlink>
      <w:r>
        <w:rPr>
          <w:rFonts w:eastAsia="Arial"/>
          <w:color w:val="000000"/>
          <w:sz w:val="18"/>
        </w:rPr>
        <w:t xml:space="preserve">  </w:t>
      </w:r>
    </w:p>
  </w:footnote>
  <w:footnote w:id="261">
    <w:p w14:paraId="055DB95A" w14:textId="77777777" w:rsidR="005C4509" w:rsidRDefault="005C4509" w:rsidP="00C058DE">
      <w:pPr>
        <w:spacing w:before="120" w:line="240" w:lineRule="atLeast"/>
        <w:jc w:val="both"/>
      </w:pPr>
      <w:r>
        <w:rPr>
          <w:rFonts w:eastAsia="Arial"/>
          <w:color w:val="000000"/>
          <w:sz w:val="18"/>
          <w:vertAlign w:val="superscript"/>
        </w:rPr>
        <w:t>270 </w:t>
      </w:r>
      <w:r>
        <w:rPr>
          <w:rFonts w:eastAsia="Arial"/>
          <w:color w:val="000000"/>
          <w:sz w:val="18"/>
        </w:rPr>
        <w:t xml:space="preserve"> Id. </w:t>
      </w:r>
    </w:p>
  </w:footnote>
  <w:footnote w:id="262">
    <w:p w14:paraId="779C6DDC" w14:textId="77777777" w:rsidR="005C4509" w:rsidRDefault="005C4509" w:rsidP="00C058DE">
      <w:pPr>
        <w:spacing w:before="240" w:line="240" w:lineRule="atLeast"/>
        <w:jc w:val="both"/>
      </w:pPr>
      <w:r>
        <w:rPr>
          <w:rFonts w:eastAsia="Arial"/>
          <w:color w:val="000000"/>
          <w:sz w:val="18"/>
          <w:vertAlign w:val="superscript"/>
        </w:rPr>
        <w:t>271 </w:t>
      </w:r>
      <w:r>
        <w:rPr>
          <w:rFonts w:eastAsia="Arial"/>
          <w:color w:val="000000"/>
          <w:sz w:val="18"/>
        </w:rPr>
        <w:t xml:space="preserve"> Larry W. Yackle, Form and Function in the Administration of Justice: The Bill of Rights and </w:t>
      </w:r>
      <w:r>
        <w:rPr>
          <w:rFonts w:eastAsia="Arial"/>
          <w:b/>
          <w:i/>
          <w:color w:val="000000"/>
          <w:sz w:val="18"/>
          <w:u w:val="single"/>
        </w:rPr>
        <w:t>Federal</w:t>
      </w:r>
      <w:r>
        <w:rPr>
          <w:rFonts w:eastAsia="Arial"/>
          <w:color w:val="000000"/>
          <w:sz w:val="18"/>
        </w:rPr>
        <w:t xml:space="preserve"> Habeas Corpus, </w:t>
      </w:r>
      <w:hyperlink r:id="rId367" w:history="1">
        <w:r>
          <w:rPr>
            <w:rFonts w:eastAsia="Arial"/>
            <w:i/>
            <w:color w:val="0077CC"/>
            <w:sz w:val="18"/>
            <w:u w:val="single"/>
          </w:rPr>
          <w:t>23 U. Mich. J.L. Reform 685, 722-23 (1990).</w:t>
        </w:r>
      </w:hyperlink>
      <w:r>
        <w:rPr>
          <w:rFonts w:eastAsia="Arial"/>
          <w:color w:val="000000"/>
          <w:sz w:val="18"/>
        </w:rPr>
        <w:t xml:space="preserve">  </w:t>
      </w:r>
    </w:p>
  </w:footnote>
  <w:footnote w:id="263">
    <w:p w14:paraId="472F8BA8" w14:textId="77777777" w:rsidR="005C4509" w:rsidRDefault="005C4509" w:rsidP="00C058DE">
      <w:pPr>
        <w:spacing w:before="200" w:line="240" w:lineRule="atLeast"/>
        <w:jc w:val="both"/>
      </w:pPr>
      <w:r>
        <w:rPr>
          <w:rFonts w:eastAsia="Arial"/>
          <w:color w:val="000000"/>
          <w:sz w:val="18"/>
          <w:vertAlign w:val="superscript"/>
        </w:rPr>
        <w:t>272 </w:t>
      </w:r>
      <w:r>
        <w:rPr>
          <w:rFonts w:eastAsia="Arial"/>
          <w:color w:val="000000"/>
          <w:sz w:val="18"/>
        </w:rPr>
        <w:t xml:space="preserve"> This is because current retroactivity jurisprudence holds that </w:t>
      </w:r>
      <w:r>
        <w:rPr>
          <w:rFonts w:eastAsia="Arial"/>
          <w:b/>
          <w:i/>
          <w:color w:val="000000"/>
          <w:sz w:val="18"/>
          <w:u w:val="single"/>
        </w:rPr>
        <w:t>collateral</w:t>
      </w:r>
      <w:r>
        <w:rPr>
          <w:rFonts w:eastAsia="Arial"/>
          <w:color w:val="000000"/>
          <w:sz w:val="18"/>
        </w:rPr>
        <w:t xml:space="preserve"> review petitioners receive the benefit of the latest authoritative cases on the constitutionality and substantive interpretation of criminal statutes. See id.; supra Part III.C. </w:t>
      </w:r>
    </w:p>
  </w:footnote>
  <w:footnote w:id="264">
    <w:p w14:paraId="060D73E4" w14:textId="77777777" w:rsidR="005C4509" w:rsidRDefault="005C4509" w:rsidP="00C058DE">
      <w:pPr>
        <w:spacing w:before="120" w:line="240" w:lineRule="atLeast"/>
        <w:jc w:val="both"/>
      </w:pPr>
      <w:r>
        <w:rPr>
          <w:rFonts w:eastAsia="Arial"/>
          <w:color w:val="000000"/>
          <w:sz w:val="18"/>
          <w:vertAlign w:val="superscript"/>
        </w:rPr>
        <w:t>273 </w:t>
      </w:r>
      <w:r>
        <w:rPr>
          <w:rFonts w:eastAsia="Arial"/>
          <w:color w:val="000000"/>
          <w:sz w:val="18"/>
        </w:rPr>
        <w:t xml:space="preserve"> As one commentator put it,</w:t>
      </w:r>
    </w:p>
    <w:p w14:paraId="4D23ACB9" w14:textId="77777777" w:rsidR="005C4509" w:rsidRDefault="005C4509" w:rsidP="00C058DE">
      <w:pPr>
        <w:spacing w:before="120" w:line="240" w:lineRule="atLeast"/>
        <w:jc w:val="both"/>
      </w:pPr>
      <w:r>
        <w:rPr>
          <w:rFonts w:eastAsia="Arial"/>
          <w:color w:val="000000"/>
          <w:sz w:val="18"/>
        </w:rPr>
        <w:t>The limited use of retroactivity is also necessary for the development of constitutional law. The Supreme Court is obviously reluctant to announce decisions that provide for greater protection of criminal procedure, which would create a substantial strain on the judiciary. By allowing the retroactive application of all decisions, the cost of change would be very significant.</w:t>
      </w:r>
    </w:p>
    <w:p w14:paraId="6CA60634" w14:textId="77777777" w:rsidR="005C4509" w:rsidRDefault="005C4509" w:rsidP="00C058DE">
      <w:pPr>
        <w:spacing w:before="240" w:line="240" w:lineRule="atLeast"/>
        <w:jc w:val="both"/>
      </w:pPr>
      <w:r>
        <w:rPr>
          <w:rFonts w:eastAsia="Arial"/>
          <w:color w:val="000000"/>
          <w:sz w:val="18"/>
        </w:rPr>
        <w:t xml:space="preserve"> Matthew R. Doherty, Note, The Reluctance Towards Retroactivity: The Retroactive Application of Laws in Death Penalty </w:t>
      </w:r>
      <w:r>
        <w:rPr>
          <w:rFonts w:eastAsia="Arial"/>
          <w:b/>
          <w:i/>
          <w:color w:val="000000"/>
          <w:sz w:val="18"/>
          <w:u w:val="single"/>
        </w:rPr>
        <w:t>Collateral</w:t>
      </w:r>
      <w:r>
        <w:rPr>
          <w:rFonts w:eastAsia="Arial"/>
          <w:color w:val="000000"/>
          <w:sz w:val="18"/>
        </w:rPr>
        <w:t xml:space="preserve"> Review Cases, </w:t>
      </w:r>
      <w:hyperlink r:id="rId368" w:history="1">
        <w:r>
          <w:rPr>
            <w:rFonts w:eastAsia="Arial"/>
            <w:i/>
            <w:color w:val="0077CC"/>
            <w:sz w:val="18"/>
            <w:u w:val="single"/>
          </w:rPr>
          <w:t>39 Val. U. L. Rev. 445, 474 (2004)</w:t>
        </w:r>
      </w:hyperlink>
      <w:r>
        <w:rPr>
          <w:rFonts w:eastAsia="Arial"/>
          <w:color w:val="000000"/>
          <w:sz w:val="18"/>
        </w:rPr>
        <w:t xml:space="preserve"> (citations omitted). </w:t>
      </w:r>
    </w:p>
  </w:footnote>
  <w:footnote w:id="265">
    <w:p w14:paraId="3848E04B" w14:textId="77777777" w:rsidR="005C4509" w:rsidRDefault="005C4509" w:rsidP="00C058DE">
      <w:pPr>
        <w:spacing w:before="120" w:line="240" w:lineRule="atLeast"/>
        <w:jc w:val="both"/>
      </w:pPr>
      <w:r>
        <w:rPr>
          <w:rFonts w:eastAsia="Arial"/>
          <w:color w:val="000000"/>
          <w:sz w:val="18"/>
          <w:vertAlign w:val="superscript"/>
        </w:rPr>
        <w:t>274 </w:t>
      </w:r>
      <w:r>
        <w:rPr>
          <w:rFonts w:eastAsia="Arial"/>
          <w:color w:val="000000"/>
          <w:sz w:val="18"/>
        </w:rPr>
        <w:t xml:space="preserve"> This is not an argument that Judge Easterbrook, or any other judge, has made in the context of coram nobis. </w:t>
      </w:r>
    </w:p>
  </w:footnote>
  <w:footnote w:id="266">
    <w:p w14:paraId="5ED16A32" w14:textId="77777777" w:rsidR="005C4509" w:rsidRDefault="005C4509" w:rsidP="00C058DE">
      <w:pPr>
        <w:spacing w:before="120" w:line="240" w:lineRule="atLeast"/>
        <w:jc w:val="both"/>
      </w:pPr>
      <w:r>
        <w:rPr>
          <w:rFonts w:eastAsia="Arial"/>
          <w:color w:val="000000"/>
          <w:sz w:val="18"/>
          <w:vertAlign w:val="superscript"/>
        </w:rPr>
        <w:t>275 </w:t>
      </w:r>
      <w:r>
        <w:rPr>
          <w:rFonts w:eastAsia="Arial"/>
          <w:color w:val="000000"/>
          <w:sz w:val="18"/>
        </w:rPr>
        <w:t xml:space="preserve"> See Stern, supra note 268, at 396-403 (discussing the separation-of-powers argument against judicial decisions based on caseload concerns). </w:t>
      </w:r>
    </w:p>
  </w:footnote>
  <w:footnote w:id="267">
    <w:p w14:paraId="22E3EEE9" w14:textId="77777777" w:rsidR="005C4509" w:rsidRDefault="005C4509" w:rsidP="00C058DE">
      <w:pPr>
        <w:spacing w:before="240" w:line="240" w:lineRule="atLeast"/>
        <w:jc w:val="both"/>
      </w:pPr>
      <w:r>
        <w:rPr>
          <w:rFonts w:eastAsia="Arial"/>
          <w:color w:val="000000"/>
          <w:sz w:val="18"/>
          <w:vertAlign w:val="superscript"/>
        </w:rPr>
        <w:t>276 </w:t>
      </w:r>
      <w:r>
        <w:rPr>
          <w:rFonts w:eastAsia="Arial"/>
          <w:color w:val="000000"/>
          <w:sz w:val="18"/>
        </w:rPr>
        <w:t xml:space="preserve"> In any event, the reason that </w:t>
      </w:r>
      <w:r>
        <w:rPr>
          <w:rFonts w:eastAsia="Arial"/>
          <w:b/>
          <w:i/>
          <w:color w:val="000000"/>
          <w:sz w:val="18"/>
          <w:u w:val="single"/>
        </w:rPr>
        <w:t>collateral</w:t>
      </w:r>
      <w:r>
        <w:rPr>
          <w:rFonts w:eastAsia="Arial"/>
          <w:color w:val="000000"/>
          <w:sz w:val="18"/>
        </w:rPr>
        <w:t xml:space="preserve"> review concerns creep in here at all is the doctrine that constitutional and substantive criminal decisions should be "retroactively" applied to cases on </w:t>
      </w:r>
      <w:r>
        <w:rPr>
          <w:rFonts w:eastAsia="Arial"/>
          <w:b/>
          <w:i/>
          <w:color w:val="000000"/>
          <w:sz w:val="18"/>
          <w:u w:val="single"/>
        </w:rPr>
        <w:t>collateral</w:t>
      </w:r>
      <w:r>
        <w:rPr>
          <w:rFonts w:eastAsia="Arial"/>
          <w:color w:val="000000"/>
          <w:sz w:val="18"/>
        </w:rPr>
        <w:t xml:space="preserve"> review. If one is worried about the </w:t>
      </w:r>
      <w:r>
        <w:rPr>
          <w:rFonts w:eastAsia="Arial"/>
          <w:b/>
          <w:i/>
          <w:color w:val="000000"/>
          <w:sz w:val="18"/>
          <w:u w:val="single"/>
        </w:rPr>
        <w:t>collateral</w:t>
      </w:r>
      <w:r>
        <w:rPr>
          <w:rFonts w:eastAsia="Arial"/>
          <w:color w:val="000000"/>
          <w:sz w:val="18"/>
        </w:rPr>
        <w:t xml:space="preserve"> review consequences of constitutional and substantive criminal decisions, then the place to advocate change is not in constitutional and substantive decisions, but rather in our retroactivity jurisprudence. For a penetrating analysis of the flaws in current retroactivity jurisprudence, see Kermit Roosevelt III, A Little Theory Is a Dangerous Thing: The Myth of Adjudicative Retroactivity, </w:t>
      </w:r>
      <w:hyperlink r:id="rId369" w:history="1">
        <w:r>
          <w:rPr>
            <w:rFonts w:eastAsia="Arial"/>
            <w:i/>
            <w:color w:val="0077CC"/>
            <w:sz w:val="18"/>
            <w:u w:val="single"/>
          </w:rPr>
          <w:t>31 Conn. L. Rev. 1075 (1999).</w:t>
        </w:r>
      </w:hyperlink>
      <w:r>
        <w:rPr>
          <w:rFonts w:eastAsia="Arial"/>
          <w:color w:val="000000"/>
          <w:sz w:val="18"/>
        </w:rPr>
        <w:t xml:space="preserve">  </w:t>
      </w:r>
    </w:p>
  </w:footnote>
  <w:footnote w:id="268">
    <w:p w14:paraId="1D5125F5" w14:textId="77777777" w:rsidR="005C4509" w:rsidRDefault="005C4509" w:rsidP="00C058DE">
      <w:pPr>
        <w:spacing w:before="200" w:line="240" w:lineRule="atLeast"/>
        <w:jc w:val="both"/>
      </w:pPr>
      <w:r>
        <w:rPr>
          <w:rFonts w:eastAsia="Arial"/>
          <w:color w:val="000000"/>
          <w:sz w:val="18"/>
          <w:vertAlign w:val="superscript"/>
        </w:rPr>
        <w:t>277 </w:t>
      </w:r>
      <w:r>
        <w:rPr>
          <w:rFonts w:eastAsia="Arial"/>
          <w:color w:val="000000"/>
          <w:sz w:val="18"/>
        </w:rPr>
        <w:t xml:space="preserve"> Moreover, the marginal increase in </w:t>
      </w:r>
      <w:r>
        <w:rPr>
          <w:rFonts w:eastAsia="Arial"/>
          <w:b/>
          <w:i/>
          <w:color w:val="000000"/>
          <w:sz w:val="18"/>
          <w:u w:val="single"/>
        </w:rPr>
        <w:t>collateral</w:t>
      </w:r>
      <w:r>
        <w:rPr>
          <w:rFonts w:eastAsia="Arial"/>
          <w:color w:val="000000"/>
          <w:sz w:val="18"/>
        </w:rPr>
        <w:t xml:space="preserve"> review that would result from jettisoning the civil disabilities test would barely register with </w:t>
      </w:r>
      <w:r>
        <w:rPr>
          <w:rFonts w:eastAsia="Arial"/>
          <w:b/>
          <w:i/>
          <w:color w:val="000000"/>
          <w:sz w:val="18"/>
          <w:u w:val="single"/>
        </w:rPr>
        <w:t>federal</w:t>
      </w:r>
      <w:r>
        <w:rPr>
          <w:rFonts w:eastAsia="Arial"/>
          <w:color w:val="000000"/>
          <w:sz w:val="18"/>
        </w:rPr>
        <w:t xml:space="preserve"> judges. We could look to the Ninth </w:t>
      </w:r>
      <w:r>
        <w:rPr>
          <w:rFonts w:eastAsia="Arial"/>
          <w:b/>
          <w:i/>
          <w:color w:val="000000"/>
          <w:sz w:val="18"/>
          <w:u w:val="single"/>
        </w:rPr>
        <w:t>Circuit</w:t>
      </w:r>
      <w:r>
        <w:rPr>
          <w:rFonts w:eastAsia="Arial"/>
          <w:color w:val="000000"/>
          <w:sz w:val="18"/>
        </w:rPr>
        <w:t xml:space="preserve"> to see whether a more liberal coram nobis regime actually results in fewer liberalizing criminal decisions. There are no studies on point, but there is no reason to suspect that Ninth </w:t>
      </w:r>
      <w:r>
        <w:rPr>
          <w:rFonts w:eastAsia="Arial"/>
          <w:b/>
          <w:i/>
          <w:color w:val="000000"/>
          <w:sz w:val="18"/>
          <w:u w:val="single"/>
        </w:rPr>
        <w:t>Circuit</w:t>
      </w:r>
      <w:r>
        <w:rPr>
          <w:rFonts w:eastAsia="Arial"/>
          <w:color w:val="000000"/>
          <w:sz w:val="18"/>
        </w:rPr>
        <w:t xml:space="preserve"> judges are any more reluctant than their peers to strike down criminal laws as unconstitutional or to narrowly interpret them. </w:t>
      </w:r>
    </w:p>
  </w:footnote>
  <w:footnote w:id="269">
    <w:p w14:paraId="409985FB" w14:textId="77777777" w:rsidR="005C4509" w:rsidRDefault="005C4509" w:rsidP="00572D60">
      <w:pPr>
        <w:spacing w:before="200" w:line="240" w:lineRule="atLeast"/>
        <w:jc w:val="both"/>
      </w:pPr>
      <w:r>
        <w:rPr>
          <w:rFonts w:eastAsia="Arial"/>
          <w:color w:val="000000"/>
          <w:sz w:val="18"/>
          <w:vertAlign w:val="superscript"/>
        </w:rPr>
        <w:t>145 </w:t>
      </w:r>
      <w:r>
        <w:rPr>
          <w:rFonts w:eastAsia="Arial"/>
          <w:color w:val="000000"/>
          <w:sz w:val="18"/>
        </w:rPr>
        <w:t xml:space="preserve">  </w:t>
      </w:r>
      <w:r>
        <w:rPr>
          <w:rFonts w:eastAsia="Arial"/>
          <w:i/>
          <w:color w:val="000000"/>
          <w:sz w:val="18"/>
        </w:rPr>
        <w:t>See</w:t>
      </w:r>
      <w:r>
        <w:rPr>
          <w:rFonts w:eastAsia="Arial"/>
          <w:color w:val="000000"/>
          <w:sz w:val="18"/>
        </w:rPr>
        <w:t xml:space="preserve"> proposal put forth by GARDINER COMM., </w:t>
      </w:r>
      <w:r>
        <w:rPr>
          <w:rFonts w:eastAsia="Arial"/>
          <w:i/>
          <w:color w:val="000000"/>
          <w:sz w:val="18"/>
        </w:rPr>
        <w:t>supra</w:t>
      </w:r>
      <w:r>
        <w:rPr>
          <w:rFonts w:eastAsia="Arial"/>
          <w:color w:val="000000"/>
          <w:sz w:val="18"/>
        </w:rPr>
        <w:t xml:space="preserve"> note 20, at 14-23.</w:t>
      </w:r>
    </w:p>
  </w:footnote>
  <w:footnote w:id="270">
    <w:p w14:paraId="5CB5B8BC" w14:textId="77777777" w:rsidR="005C4509" w:rsidRDefault="005C4509" w:rsidP="00572D60">
      <w:pPr>
        <w:spacing w:before="200" w:line="240" w:lineRule="atLeast"/>
        <w:jc w:val="both"/>
      </w:pPr>
      <w:r>
        <w:rPr>
          <w:rFonts w:eastAsia="Arial"/>
          <w:color w:val="000000"/>
          <w:sz w:val="18"/>
          <w:vertAlign w:val="superscript"/>
        </w:rPr>
        <w:t>146 </w:t>
      </w:r>
      <w:r>
        <w:rPr>
          <w:rFonts w:eastAsia="Arial"/>
          <w:color w:val="000000"/>
          <w:sz w:val="18"/>
        </w:rPr>
        <w:t xml:space="preserve">  </w:t>
      </w:r>
      <w:r>
        <w:rPr>
          <w:rFonts w:eastAsia="Arial"/>
          <w:i/>
          <w:color w:val="000000"/>
          <w:sz w:val="18"/>
        </w:rPr>
        <w:t>See</w:t>
      </w:r>
      <w:r>
        <w:rPr>
          <w:rFonts w:eastAsia="Arial"/>
          <w:color w:val="000000"/>
          <w:sz w:val="18"/>
        </w:rPr>
        <w:t xml:space="preserve"> MODEL PENAL CODE § 306.3 (West 1998).</w:t>
      </w:r>
    </w:p>
  </w:footnote>
  <w:footnote w:id="271">
    <w:p w14:paraId="427CFA3C" w14:textId="77777777" w:rsidR="005C4509" w:rsidRDefault="005C4509" w:rsidP="00572D60">
      <w:pPr>
        <w:spacing w:before="200" w:line="240" w:lineRule="atLeast"/>
        <w:jc w:val="both"/>
      </w:pPr>
      <w:r>
        <w:rPr>
          <w:rFonts w:eastAsia="Arial"/>
          <w:color w:val="000000"/>
          <w:sz w:val="18"/>
          <w:vertAlign w:val="superscript"/>
        </w:rPr>
        <w:t>147 </w:t>
      </w:r>
      <w:r>
        <w:rPr>
          <w:rFonts w:eastAsia="Arial"/>
          <w:color w:val="000000"/>
          <w:sz w:val="18"/>
        </w:rPr>
        <w:t xml:space="preserve"> MOORE, </w:t>
      </w:r>
      <w:r>
        <w:rPr>
          <w:rFonts w:eastAsia="Arial"/>
          <w:i/>
          <w:color w:val="000000"/>
          <w:sz w:val="18"/>
        </w:rPr>
        <w:t>supra</w:t>
      </w:r>
      <w:r>
        <w:rPr>
          <w:rFonts w:eastAsia="Arial"/>
          <w:color w:val="000000"/>
          <w:sz w:val="18"/>
        </w:rPr>
        <w:t xml:space="preserve"> note 32, at 224 (noting that Florida, Colorado, and Washington have adopted such provisions). </w:t>
      </w:r>
      <w:r>
        <w:rPr>
          <w:rFonts w:eastAsia="Arial"/>
          <w:i/>
          <w:color w:val="000000"/>
          <w:sz w:val="18"/>
        </w:rPr>
        <w:t>See also</w:t>
      </w:r>
      <w:r>
        <w:rPr>
          <w:rFonts w:eastAsia="Arial"/>
          <w:color w:val="000000"/>
          <w:sz w:val="18"/>
        </w:rPr>
        <w:t xml:space="preserve"> CIVIL DISABILITIES OF CONVICTED FELONS, </w:t>
      </w:r>
      <w:r>
        <w:rPr>
          <w:rFonts w:eastAsia="Arial"/>
          <w:i/>
          <w:color w:val="000000"/>
          <w:sz w:val="18"/>
        </w:rPr>
        <w:t>supra</w:t>
      </w:r>
      <w:r>
        <w:rPr>
          <w:rFonts w:eastAsia="Arial"/>
          <w:color w:val="000000"/>
          <w:sz w:val="18"/>
        </w:rPr>
        <w:t xml:space="preserve"> note 7, at app. A (detailing specific restoration provisions for all 50 states and the District of Columbia).</w:t>
      </w:r>
    </w:p>
  </w:footnote>
  <w:footnote w:id="272">
    <w:p w14:paraId="4F98A5E4" w14:textId="77777777" w:rsidR="005C4509" w:rsidRDefault="005C4509" w:rsidP="00572D60">
      <w:pPr>
        <w:spacing w:before="200" w:line="240" w:lineRule="atLeast"/>
        <w:jc w:val="both"/>
      </w:pPr>
      <w:r>
        <w:rPr>
          <w:rFonts w:eastAsia="Arial"/>
          <w:color w:val="000000"/>
          <w:sz w:val="18"/>
          <w:vertAlign w:val="superscript"/>
        </w:rPr>
        <w:t>148 </w:t>
      </w:r>
      <w:r>
        <w:rPr>
          <w:rFonts w:eastAsia="Arial"/>
          <w:color w:val="000000"/>
          <w:sz w:val="18"/>
        </w:rPr>
        <w:t xml:space="preserve">  </w:t>
      </w:r>
      <w:r>
        <w:rPr>
          <w:rFonts w:eastAsia="Arial"/>
          <w:i/>
          <w:color w:val="000000"/>
          <w:sz w:val="18"/>
        </w:rPr>
        <w:t>See</w:t>
      </w:r>
      <w:r>
        <w:rPr>
          <w:rFonts w:eastAsia="Arial"/>
          <w:color w:val="000000"/>
          <w:sz w:val="18"/>
        </w:rPr>
        <w:t xml:space="preserve"> MOORE, </w:t>
      </w:r>
      <w:r>
        <w:rPr>
          <w:rFonts w:eastAsia="Arial"/>
          <w:i/>
          <w:color w:val="000000"/>
          <w:sz w:val="18"/>
        </w:rPr>
        <w:t>supra</w:t>
      </w:r>
      <w:r>
        <w:rPr>
          <w:rFonts w:eastAsia="Arial"/>
          <w:color w:val="000000"/>
          <w:sz w:val="18"/>
        </w:rPr>
        <w:t xml:space="preserve"> note 32, at 224 (describing English model).</w:t>
      </w:r>
    </w:p>
  </w:footnote>
  <w:footnote w:id="273">
    <w:p w14:paraId="2E20EA5B" w14:textId="77777777" w:rsidR="005C4509" w:rsidRDefault="005C4509" w:rsidP="00572D60">
      <w:pPr>
        <w:spacing w:before="200" w:line="240" w:lineRule="atLeast"/>
        <w:jc w:val="both"/>
      </w:pPr>
      <w:r>
        <w:rPr>
          <w:rFonts w:eastAsia="Arial"/>
          <w:color w:val="000000"/>
          <w:sz w:val="18"/>
          <w:vertAlign w:val="superscript"/>
        </w:rPr>
        <w:t>149 </w:t>
      </w:r>
      <w:r>
        <w:rPr>
          <w:rFonts w:eastAsia="Arial"/>
          <w:color w:val="000000"/>
          <w:sz w:val="18"/>
        </w:rPr>
        <w:t xml:space="preserve">  </w:t>
      </w:r>
      <w:r>
        <w:rPr>
          <w:rFonts w:eastAsia="Arial"/>
          <w:i/>
          <w:color w:val="000000"/>
          <w:sz w:val="18"/>
        </w:rPr>
        <w:t>Id.</w:t>
      </w:r>
    </w:p>
  </w:footnote>
  <w:footnote w:id="274">
    <w:p w14:paraId="3FCB6652" w14:textId="77777777" w:rsidR="005C4509" w:rsidRDefault="005C4509" w:rsidP="00572D60">
      <w:pPr>
        <w:spacing w:before="200" w:line="240" w:lineRule="atLeast"/>
        <w:jc w:val="both"/>
      </w:pPr>
      <w:r>
        <w:rPr>
          <w:rFonts w:eastAsia="Arial"/>
          <w:color w:val="000000"/>
          <w:sz w:val="18"/>
          <w:vertAlign w:val="superscript"/>
        </w:rPr>
        <w:t>150 </w:t>
      </w:r>
      <w:r>
        <w:rPr>
          <w:rFonts w:eastAsia="Arial"/>
          <w:color w:val="000000"/>
          <w:sz w:val="18"/>
        </w:rPr>
        <w:t xml:space="preserve">  </w:t>
      </w:r>
      <w:r>
        <w:rPr>
          <w:rFonts w:eastAsia="Arial"/>
          <w:i/>
          <w:color w:val="000000"/>
          <w:sz w:val="18"/>
        </w:rPr>
        <w:t>See generally id.</w:t>
      </w:r>
      <w:r>
        <w:rPr>
          <w:rFonts w:eastAsia="Arial"/>
          <w:color w:val="000000"/>
          <w:sz w:val="18"/>
        </w:rPr>
        <w:t xml:space="preserve"> at 82-84 (discussing how the Reagan administration's reluctance to grant pardons came, in part, out of a desire to reflect its philosophy toward crime); Kobil, </w:t>
      </w:r>
      <w:r>
        <w:rPr>
          <w:rFonts w:eastAsia="Arial"/>
          <w:i/>
          <w:color w:val="000000"/>
          <w:sz w:val="18"/>
        </w:rPr>
        <w:t>supra</w:t>
      </w:r>
      <w:r>
        <w:rPr>
          <w:rFonts w:eastAsia="Arial"/>
          <w:color w:val="000000"/>
          <w:sz w:val="18"/>
        </w:rPr>
        <w:t xml:space="preserve"> note 35, at 607-11 (discussing political pressures on state governors in their clemency decisions and concluding that "the most important factor in successful clemency applications appears to be the widespread support of influential individuals in the community."). For a discussion of types of reinstatement proceedings, see Mirjan R. Damaska, </w:t>
      </w:r>
      <w:r>
        <w:rPr>
          <w:rFonts w:eastAsia="Arial"/>
          <w:i/>
          <w:color w:val="000000"/>
          <w:sz w:val="18"/>
        </w:rPr>
        <w:t>Adverse Legal Consequences of Conviction and Their Removal: A Comparative Study (Part 2)</w:t>
      </w:r>
      <w:r>
        <w:rPr>
          <w:rFonts w:eastAsia="Arial"/>
          <w:color w:val="000000"/>
          <w:sz w:val="18"/>
        </w:rPr>
        <w:t xml:space="preserve">, 59 J. CRIM. L., CRIMINOLOGY &amp; POLICE SCI. 542, 563-67 (1968) [hereinafter, Damaska, </w:t>
      </w:r>
      <w:r>
        <w:rPr>
          <w:rFonts w:eastAsia="Arial"/>
          <w:i/>
          <w:color w:val="000000"/>
          <w:sz w:val="18"/>
        </w:rPr>
        <w:t>Part II</w:t>
      </w:r>
      <w:r>
        <w:rPr>
          <w:rFonts w:eastAsia="Arial"/>
          <w:color w:val="000000"/>
          <w:sz w:val="18"/>
        </w:rPr>
        <w:t>].</w:t>
      </w:r>
    </w:p>
  </w:footnote>
  <w:footnote w:id="275">
    <w:p w14:paraId="792139A4" w14:textId="77777777" w:rsidR="005C4509" w:rsidRDefault="005C4509" w:rsidP="00572D60">
      <w:pPr>
        <w:spacing w:before="200" w:line="240" w:lineRule="atLeast"/>
        <w:jc w:val="both"/>
      </w:pPr>
      <w:r>
        <w:rPr>
          <w:rFonts w:eastAsia="Arial"/>
          <w:color w:val="000000"/>
          <w:sz w:val="18"/>
          <w:vertAlign w:val="superscript"/>
        </w:rPr>
        <w:t>151 </w:t>
      </w:r>
      <w:r>
        <w:rPr>
          <w:rFonts w:eastAsia="Arial"/>
          <w:color w:val="000000"/>
          <w:sz w:val="18"/>
        </w:rPr>
        <w:t xml:space="preserve"> NATIONAL GOVERNORS' ASS'N CTR. FOR POL'Y RESEARCH, </w:t>
      </w:r>
      <w:r>
        <w:rPr>
          <w:rFonts w:eastAsia="Arial"/>
          <w:i/>
          <w:color w:val="000000"/>
          <w:sz w:val="18"/>
        </w:rPr>
        <w:t>supra</w:t>
      </w:r>
      <w:r>
        <w:rPr>
          <w:rFonts w:eastAsia="Arial"/>
          <w:color w:val="000000"/>
          <w:sz w:val="18"/>
        </w:rPr>
        <w:t xml:space="preserve"> note 32, 166-67 tbls.3 &amp; 4.</w:t>
      </w:r>
    </w:p>
  </w:footnote>
  <w:footnote w:id="276">
    <w:p w14:paraId="0AAD5153" w14:textId="77777777" w:rsidR="005C4509" w:rsidRDefault="005C4509" w:rsidP="00572D60">
      <w:pPr>
        <w:spacing w:before="200" w:line="240" w:lineRule="atLeast"/>
        <w:jc w:val="both"/>
      </w:pPr>
      <w:r>
        <w:rPr>
          <w:rFonts w:eastAsia="Arial"/>
          <w:color w:val="000000"/>
          <w:sz w:val="18"/>
          <w:vertAlign w:val="superscript"/>
        </w:rPr>
        <w:t>152 </w:t>
      </w:r>
      <w:r>
        <w:rPr>
          <w:rFonts w:eastAsia="Arial"/>
          <w:color w:val="000000"/>
          <w:sz w:val="18"/>
        </w:rPr>
        <w:t xml:space="preserve"> Cohen &amp; Rivkin, </w:t>
      </w:r>
      <w:r>
        <w:rPr>
          <w:rFonts w:eastAsia="Arial"/>
          <w:i/>
          <w:color w:val="000000"/>
          <w:sz w:val="18"/>
        </w:rPr>
        <w:t>supra</w:t>
      </w:r>
      <w:r>
        <w:rPr>
          <w:rFonts w:eastAsia="Arial"/>
          <w:color w:val="000000"/>
          <w:sz w:val="18"/>
        </w:rPr>
        <w:t xml:space="preserve"> note 50, at 24; </w:t>
      </w:r>
      <w:r>
        <w:rPr>
          <w:rFonts w:eastAsia="Arial"/>
          <w:i/>
          <w:color w:val="000000"/>
          <w:sz w:val="18"/>
        </w:rPr>
        <w:t>see also</w:t>
      </w:r>
      <w:r>
        <w:rPr>
          <w:rFonts w:eastAsia="Arial"/>
          <w:color w:val="000000"/>
          <w:sz w:val="18"/>
        </w:rPr>
        <w:t xml:space="preserve"> CIVIL DISABILITIES OF CONVICTED FELONS, </w:t>
      </w:r>
      <w:r>
        <w:rPr>
          <w:rFonts w:eastAsia="Arial"/>
          <w:i/>
          <w:color w:val="000000"/>
          <w:sz w:val="18"/>
        </w:rPr>
        <w:t>supra</w:t>
      </w:r>
      <w:r>
        <w:rPr>
          <w:rFonts w:eastAsia="Arial"/>
          <w:color w:val="000000"/>
          <w:sz w:val="18"/>
        </w:rPr>
        <w:t xml:space="preserve"> note 7, at 19-144 (outlining state laws on the loss of occupational and professional licenses, as well as the means by which civil and political disabilities--but not occupational licenses--may be restored).</w:t>
      </w:r>
    </w:p>
  </w:footnote>
  <w:footnote w:id="277">
    <w:p w14:paraId="3615A3A9" w14:textId="77777777" w:rsidR="005C4509" w:rsidRDefault="005C4509" w:rsidP="00572D60">
      <w:pPr>
        <w:spacing w:before="200" w:line="240" w:lineRule="atLeast"/>
        <w:jc w:val="both"/>
      </w:pPr>
      <w:r>
        <w:rPr>
          <w:rFonts w:eastAsia="Arial"/>
          <w:color w:val="000000"/>
          <w:sz w:val="18"/>
          <w:vertAlign w:val="superscript"/>
        </w:rPr>
        <w:t>153 </w:t>
      </w:r>
      <w:r>
        <w:rPr>
          <w:rFonts w:eastAsia="Arial"/>
          <w:color w:val="000000"/>
          <w:sz w:val="18"/>
        </w:rPr>
        <w:t xml:space="preserve">  </w:t>
      </w:r>
      <w:r>
        <w:rPr>
          <w:rFonts w:eastAsia="Arial"/>
          <w:i/>
          <w:color w:val="000000"/>
          <w:sz w:val="18"/>
        </w:rPr>
        <w:t>See</w:t>
      </w:r>
      <w:r>
        <w:rPr>
          <w:rFonts w:eastAsia="Arial"/>
          <w:color w:val="000000"/>
          <w:sz w:val="18"/>
        </w:rPr>
        <w:t xml:space="preserve"> Julian Roberts, </w:t>
      </w:r>
      <w:r>
        <w:rPr>
          <w:rFonts w:eastAsia="Arial"/>
          <w:i/>
          <w:color w:val="000000"/>
          <w:sz w:val="18"/>
        </w:rPr>
        <w:t>The Role of Criminal Record in the Sentencing Process, in</w:t>
      </w:r>
      <w:r>
        <w:rPr>
          <w:rFonts w:eastAsia="Arial"/>
          <w:color w:val="000000"/>
          <w:sz w:val="18"/>
        </w:rPr>
        <w:t xml:space="preserve"> 22 CRIME AND JUSTICE: A REVIEW OF RESEARCH 303, 340 (Michael Tonry ed., 1997).</w:t>
      </w:r>
    </w:p>
  </w:footnote>
  <w:footnote w:id="278">
    <w:p w14:paraId="7734614F" w14:textId="77777777" w:rsidR="005C4509" w:rsidRDefault="005C4509" w:rsidP="00572D60">
      <w:pPr>
        <w:spacing w:before="200" w:line="240" w:lineRule="atLeast"/>
        <w:jc w:val="both"/>
      </w:pPr>
      <w:r>
        <w:rPr>
          <w:rFonts w:eastAsia="Arial"/>
          <w:color w:val="000000"/>
          <w:sz w:val="18"/>
          <w:vertAlign w:val="superscript"/>
        </w:rPr>
        <w:t>154 </w:t>
      </w:r>
      <w:r>
        <w:rPr>
          <w:rFonts w:eastAsia="Arial"/>
          <w:color w:val="000000"/>
          <w:sz w:val="18"/>
        </w:rPr>
        <w:t xml:space="preserve">  </w:t>
      </w:r>
      <w:r>
        <w:rPr>
          <w:rFonts w:eastAsia="Arial"/>
          <w:i/>
          <w:color w:val="000000"/>
          <w:sz w:val="18"/>
        </w:rPr>
        <w:t>Id.</w:t>
      </w:r>
      <w:r>
        <w:rPr>
          <w:rFonts w:eastAsia="Arial"/>
          <w:color w:val="000000"/>
          <w:sz w:val="18"/>
        </w:rPr>
        <w:t xml:space="preserve"> at 356.</w:t>
      </w:r>
    </w:p>
  </w:footnote>
  <w:footnote w:id="279">
    <w:p w14:paraId="2F860884" w14:textId="77777777" w:rsidR="005C4509" w:rsidRDefault="005C4509" w:rsidP="00572D60">
      <w:pPr>
        <w:spacing w:before="200" w:line="240" w:lineRule="atLeast"/>
        <w:jc w:val="both"/>
      </w:pPr>
      <w:r>
        <w:rPr>
          <w:rFonts w:eastAsia="Arial"/>
          <w:color w:val="000000"/>
          <w:sz w:val="18"/>
          <w:vertAlign w:val="superscript"/>
        </w:rPr>
        <w:t>155 </w:t>
      </w:r>
      <w:r>
        <w:rPr>
          <w:rFonts w:eastAsia="Arial"/>
          <w:color w:val="000000"/>
          <w:sz w:val="18"/>
        </w:rPr>
        <w:t xml:space="preserve">  </w:t>
      </w:r>
      <w:r>
        <w:rPr>
          <w:rFonts w:eastAsia="Arial"/>
          <w:i/>
          <w:color w:val="000000"/>
          <w:sz w:val="18"/>
        </w:rPr>
        <w:t>See</w:t>
      </w:r>
      <w:r>
        <w:rPr>
          <w:rFonts w:eastAsia="Arial"/>
          <w:color w:val="000000"/>
          <w:sz w:val="18"/>
        </w:rPr>
        <w:t xml:space="preserve"> BUREAU OF JUSTICE STAT., SURVEY OF CRIMINAL HISTORY INFORMATION SYSTEMS 13 1992 tbl.1 (1993).</w:t>
      </w:r>
    </w:p>
  </w:footnote>
  <w:footnote w:id="280">
    <w:p w14:paraId="44016A53" w14:textId="77777777" w:rsidR="005C4509" w:rsidRDefault="005C4509" w:rsidP="00572D60">
      <w:pPr>
        <w:spacing w:before="240" w:line="240" w:lineRule="atLeast"/>
        <w:jc w:val="both"/>
      </w:pPr>
      <w:r>
        <w:rPr>
          <w:rFonts w:eastAsia="Arial"/>
          <w:color w:val="000000"/>
          <w:sz w:val="18"/>
          <w:vertAlign w:val="superscript"/>
        </w:rPr>
        <w:t>156 </w:t>
      </w:r>
      <w:r>
        <w:rPr>
          <w:rFonts w:eastAsia="Arial"/>
          <w:color w:val="000000"/>
          <w:sz w:val="18"/>
        </w:rPr>
        <w:t xml:space="preserve">  </w:t>
      </w:r>
      <w:r>
        <w:rPr>
          <w:rFonts w:eastAsia="Arial"/>
          <w:i/>
          <w:color w:val="000000"/>
          <w:sz w:val="18"/>
        </w:rPr>
        <w:t>See</w:t>
      </w:r>
      <w:r>
        <w:rPr>
          <w:rFonts w:eastAsia="Arial"/>
          <w:color w:val="000000"/>
          <w:sz w:val="18"/>
        </w:rPr>
        <w:t xml:space="preserve"> Aidan R. Gough, </w:t>
      </w:r>
      <w:r>
        <w:rPr>
          <w:rFonts w:eastAsia="Arial"/>
          <w:i/>
          <w:color w:val="000000"/>
          <w:sz w:val="18"/>
        </w:rPr>
        <w:t>The Expungement of Adjudication Records of Juvenile and Adult Offenders: A Problem of Status</w:t>
      </w:r>
      <w:r>
        <w:rPr>
          <w:rFonts w:eastAsia="Arial"/>
          <w:color w:val="000000"/>
          <w:sz w:val="18"/>
        </w:rPr>
        <w:t xml:space="preserve">, 1966 WASH. U. L. Q. 147, 149.  </w:t>
      </w:r>
      <w:r>
        <w:rPr>
          <w:rFonts w:eastAsia="Arial"/>
          <w:i/>
          <w:color w:val="000000"/>
          <w:sz w:val="18"/>
        </w:rPr>
        <w:t>But see</w:t>
      </w:r>
      <w:r>
        <w:rPr>
          <w:rFonts w:eastAsia="Arial"/>
          <w:color w:val="000000"/>
          <w:sz w:val="18"/>
        </w:rPr>
        <w:t xml:space="preserve"> T. Marcus Funk, </w:t>
      </w:r>
      <w:r>
        <w:rPr>
          <w:rFonts w:eastAsia="Arial"/>
          <w:i/>
          <w:color w:val="000000"/>
          <w:sz w:val="18"/>
        </w:rPr>
        <w:t>Considering Juvenile Crime Records in Criminal Sentencing</w:t>
      </w:r>
      <w:r>
        <w:rPr>
          <w:rFonts w:eastAsia="Arial"/>
          <w:color w:val="000000"/>
          <w:sz w:val="18"/>
        </w:rPr>
        <w:t xml:space="preserve">, </w:t>
      </w:r>
      <w:hyperlink r:id="rId370" w:history="1">
        <w:r>
          <w:rPr>
            <w:rFonts w:eastAsia="Arial"/>
            <w:i/>
            <w:color w:val="0077CC"/>
            <w:sz w:val="18"/>
            <w:u w:val="single"/>
            <w:shd w:val="clear" w:color="auto" w:fill="FFFFFF"/>
          </w:rPr>
          <w:t>11 FED. SENTENCING REP. 282 (1999)</w:t>
        </w:r>
      </w:hyperlink>
      <w:r>
        <w:rPr>
          <w:rFonts w:eastAsia="Arial"/>
          <w:color w:val="000000"/>
          <w:sz w:val="18"/>
        </w:rPr>
        <w:t xml:space="preserve"> (recommending creation of a national database that catalogues serious juvenile records).</w:t>
      </w:r>
    </w:p>
  </w:footnote>
  <w:footnote w:id="281">
    <w:p w14:paraId="0558B8BD" w14:textId="77777777" w:rsidR="005C4509" w:rsidRDefault="005C4509" w:rsidP="00572D60">
      <w:pPr>
        <w:spacing w:before="240" w:line="240" w:lineRule="atLeast"/>
        <w:jc w:val="both"/>
      </w:pPr>
      <w:r>
        <w:rPr>
          <w:rFonts w:eastAsia="Arial"/>
          <w:color w:val="000000"/>
          <w:sz w:val="18"/>
          <w:vertAlign w:val="superscript"/>
        </w:rPr>
        <w:t>74 </w:t>
      </w:r>
      <w:r>
        <w:rPr>
          <w:rFonts w:eastAsia="Arial"/>
          <w:color w:val="000000"/>
          <w:sz w:val="18"/>
        </w:rPr>
        <w:t xml:space="preserve">  </w:t>
      </w:r>
      <w:r>
        <w:rPr>
          <w:rFonts w:eastAsia="Arial"/>
          <w:i/>
          <w:color w:val="000000"/>
          <w:sz w:val="18"/>
        </w:rPr>
        <w:t>See</w:t>
      </w:r>
      <w:r>
        <w:rPr>
          <w:rFonts w:eastAsia="Arial"/>
          <w:color w:val="000000"/>
          <w:sz w:val="18"/>
        </w:rPr>
        <w:t xml:space="preserve"> Margaret Colgate Love, </w:t>
      </w:r>
      <w:r>
        <w:rPr>
          <w:rFonts w:eastAsia="Arial"/>
          <w:i/>
          <w:color w:val="000000"/>
          <w:sz w:val="18"/>
        </w:rPr>
        <w:t>Starting Over with a Clean Slate: In Praise of a Forgotten Section of the Model Penal Code</w:t>
      </w:r>
      <w:r>
        <w:rPr>
          <w:rFonts w:eastAsia="Arial"/>
          <w:color w:val="000000"/>
          <w:sz w:val="18"/>
        </w:rPr>
        <w:t xml:space="preserve">, </w:t>
      </w:r>
      <w:hyperlink r:id="rId371" w:history="1">
        <w:r>
          <w:rPr>
            <w:rFonts w:eastAsia="Arial"/>
            <w:i/>
            <w:color w:val="0077CC"/>
            <w:sz w:val="18"/>
            <w:u w:val="single"/>
            <w:shd w:val="clear" w:color="auto" w:fill="FFFFFF"/>
          </w:rPr>
          <w:t>30 FORDHAM URB. L.J. 1705, 1717-19(2003).</w:t>
        </w:r>
      </w:hyperlink>
    </w:p>
  </w:footnote>
  <w:footnote w:id="282">
    <w:p w14:paraId="37B3E22F" w14:textId="77777777" w:rsidR="005C4509" w:rsidRDefault="005C4509" w:rsidP="00572D60">
      <w:pPr>
        <w:spacing w:before="200" w:line="240" w:lineRule="atLeast"/>
        <w:jc w:val="both"/>
      </w:pPr>
      <w:r>
        <w:rPr>
          <w:rFonts w:eastAsia="Arial"/>
          <w:color w:val="000000"/>
          <w:sz w:val="18"/>
          <w:vertAlign w:val="superscript"/>
        </w:rPr>
        <w:t>75 </w:t>
      </w:r>
      <w:r>
        <w:rPr>
          <w:rFonts w:eastAsia="Arial"/>
          <w:color w:val="000000"/>
          <w:sz w:val="18"/>
        </w:rPr>
        <w:t xml:space="preserve">  </w:t>
      </w:r>
      <w:r>
        <w:rPr>
          <w:rFonts w:eastAsia="Arial"/>
          <w:i/>
          <w:color w:val="000000"/>
          <w:sz w:val="18"/>
        </w:rPr>
        <w:t xml:space="preserve">See </w:t>
      </w:r>
      <w:r>
        <w:rPr>
          <w:rFonts w:eastAsia="Arial"/>
          <w:color w:val="000000"/>
          <w:sz w:val="18"/>
        </w:rPr>
        <w:t>id. at 1718-19.</w:t>
      </w:r>
    </w:p>
  </w:footnote>
  <w:footnote w:id="283">
    <w:p w14:paraId="0AF8EF68" w14:textId="77777777" w:rsidR="005C4509" w:rsidRDefault="005C4509" w:rsidP="00572D60">
      <w:pPr>
        <w:spacing w:before="240" w:line="240" w:lineRule="atLeast"/>
        <w:jc w:val="both"/>
      </w:pPr>
      <w:r>
        <w:rPr>
          <w:rFonts w:eastAsia="Arial"/>
          <w:color w:val="000000"/>
          <w:sz w:val="18"/>
          <w:vertAlign w:val="superscript"/>
        </w:rPr>
        <w:t>76 </w:t>
      </w:r>
      <w:r>
        <w:rPr>
          <w:rFonts w:eastAsia="Arial"/>
          <w:color w:val="000000"/>
          <w:sz w:val="18"/>
        </w:rPr>
        <w:t xml:space="preserve">  </w:t>
      </w:r>
      <w:hyperlink r:id="rId372" w:history="1">
        <w:r>
          <w:rPr>
            <w:rFonts w:eastAsia="Arial"/>
            <w:i/>
            <w:color w:val="0077CC"/>
            <w:sz w:val="18"/>
            <w:u w:val="single"/>
            <w:shd w:val="clear" w:color="auto" w:fill="FFFFFF"/>
          </w:rPr>
          <w:t>Id. at 1720-23.</w:t>
        </w:r>
      </w:hyperlink>
    </w:p>
  </w:footnote>
  <w:footnote w:id="284">
    <w:p w14:paraId="0B052374" w14:textId="77777777" w:rsidR="005C4509" w:rsidRDefault="005C4509" w:rsidP="00572D60">
      <w:pPr>
        <w:spacing w:before="240" w:line="240" w:lineRule="atLeast"/>
        <w:jc w:val="both"/>
      </w:pPr>
      <w:r>
        <w:rPr>
          <w:rFonts w:eastAsia="Arial"/>
          <w:color w:val="000000"/>
          <w:sz w:val="18"/>
          <w:vertAlign w:val="superscript"/>
        </w:rPr>
        <w:t>77 </w:t>
      </w:r>
      <w:r>
        <w:rPr>
          <w:rFonts w:eastAsia="Arial"/>
          <w:color w:val="000000"/>
          <w:sz w:val="18"/>
        </w:rPr>
        <w:t xml:space="preserve">  </w:t>
      </w:r>
      <w:hyperlink r:id="rId373" w:history="1">
        <w:r>
          <w:rPr>
            <w:rFonts w:eastAsia="Arial"/>
            <w:i/>
            <w:color w:val="0077CC"/>
            <w:sz w:val="18"/>
            <w:u w:val="single"/>
            <w:shd w:val="clear" w:color="auto" w:fill="FFFFFF"/>
          </w:rPr>
          <w:t>Id. at 1721.</w:t>
        </w:r>
      </w:hyperlink>
    </w:p>
  </w:footnote>
  <w:footnote w:id="285">
    <w:p w14:paraId="5F2DD53B" w14:textId="77777777" w:rsidR="005C4509" w:rsidRDefault="005C4509" w:rsidP="00572D60">
      <w:pPr>
        <w:spacing w:before="240" w:line="240" w:lineRule="atLeast"/>
        <w:jc w:val="both"/>
      </w:pPr>
      <w:r>
        <w:rPr>
          <w:rFonts w:eastAsia="Arial"/>
          <w:color w:val="000000"/>
          <w:sz w:val="18"/>
          <w:vertAlign w:val="superscript"/>
        </w:rPr>
        <w:t>78 </w:t>
      </w:r>
      <w:r>
        <w:rPr>
          <w:rFonts w:eastAsia="Arial"/>
          <w:color w:val="000000"/>
          <w:sz w:val="18"/>
        </w:rPr>
        <w:t xml:space="preserve">  </w:t>
      </w:r>
      <w:hyperlink r:id="rId374" w:history="1">
        <w:r>
          <w:rPr>
            <w:rFonts w:eastAsia="Arial"/>
            <w:i/>
            <w:color w:val="0077CC"/>
            <w:sz w:val="18"/>
            <w:u w:val="single"/>
            <w:shd w:val="clear" w:color="auto" w:fill="FFFFFF"/>
          </w:rPr>
          <w:t>Id. at 1721-23.</w:t>
        </w:r>
      </w:hyperlink>
    </w:p>
  </w:footnote>
  <w:footnote w:id="286">
    <w:p w14:paraId="7C5A2C32" w14:textId="77777777" w:rsidR="005C4509" w:rsidRDefault="005C4509" w:rsidP="00572D60">
      <w:pPr>
        <w:spacing w:before="200" w:line="240" w:lineRule="atLeast"/>
        <w:jc w:val="both"/>
      </w:pPr>
      <w:r>
        <w:rPr>
          <w:rFonts w:eastAsia="Arial"/>
          <w:color w:val="000000"/>
          <w:sz w:val="18"/>
          <w:vertAlign w:val="superscript"/>
        </w:rPr>
        <w:t>79 </w:t>
      </w:r>
      <w:r>
        <w:rPr>
          <w:rFonts w:eastAsia="Arial"/>
          <w:color w:val="000000"/>
          <w:sz w:val="18"/>
        </w:rPr>
        <w:t xml:space="preserve">  </w:t>
      </w:r>
      <w:r>
        <w:rPr>
          <w:rFonts w:eastAsia="Arial"/>
          <w:i/>
          <w:color w:val="000000"/>
          <w:sz w:val="18"/>
        </w:rPr>
        <w:t>See generally id.</w:t>
      </w:r>
      <w:r>
        <w:rPr>
          <w:rFonts w:eastAsia="Arial"/>
          <w:color w:val="000000"/>
          <w:sz w:val="18"/>
        </w:rPr>
        <w:t xml:space="preserve">; Demleitner, </w:t>
      </w:r>
      <w:r>
        <w:rPr>
          <w:rFonts w:eastAsia="Arial"/>
          <w:i/>
          <w:color w:val="000000"/>
          <w:sz w:val="18"/>
        </w:rPr>
        <w:t>supra</w:t>
      </w:r>
      <w:r>
        <w:rPr>
          <w:rFonts w:eastAsia="Arial"/>
          <w:color w:val="000000"/>
          <w:sz w:val="18"/>
        </w:rPr>
        <w:t xml:space="preserve"> note 53.</w:t>
      </w:r>
    </w:p>
  </w:footnote>
  <w:footnote w:id="287">
    <w:p w14:paraId="03610AC1" w14:textId="77777777" w:rsidR="005C4509" w:rsidRDefault="005C4509" w:rsidP="00FF296C">
      <w:pPr>
        <w:spacing w:before="240" w:line="240" w:lineRule="atLeast"/>
        <w:jc w:val="both"/>
      </w:pPr>
      <w:r>
        <w:rPr>
          <w:rFonts w:eastAsia="Arial"/>
          <w:color w:val="000000"/>
          <w:sz w:val="18"/>
          <w:vertAlign w:val="superscript"/>
        </w:rPr>
        <w:t>260 </w:t>
      </w:r>
      <w:r>
        <w:rPr>
          <w:rFonts w:eastAsia="Arial"/>
          <w:color w:val="000000"/>
          <w:sz w:val="18"/>
        </w:rPr>
        <w:t xml:space="preserve">  </w:t>
      </w:r>
      <w:hyperlink r:id="rId375" w:history="1">
        <w:r>
          <w:rPr>
            <w:rFonts w:eastAsia="Arial"/>
            <w:i/>
            <w:color w:val="0077CC"/>
            <w:sz w:val="18"/>
            <w:u w:val="single"/>
          </w:rPr>
          <w:t>Sanders v. United States, 373 U.S. 1, 24-25 (1963)</w:t>
        </w:r>
      </w:hyperlink>
      <w:r>
        <w:rPr>
          <w:rFonts w:eastAsia="Arial"/>
          <w:color w:val="000000"/>
          <w:sz w:val="18"/>
        </w:rPr>
        <w:t xml:space="preserve"> (Harlan, J., dissenting). This view was later adopted by a majority of the Supreme Court. See </w:t>
      </w:r>
      <w:hyperlink r:id="rId376" w:history="1">
        <w:r>
          <w:rPr>
            <w:rFonts w:eastAsia="Arial"/>
            <w:i/>
            <w:color w:val="0077CC"/>
            <w:sz w:val="18"/>
            <w:u w:val="single"/>
          </w:rPr>
          <w:t>Engle v. Isaac, 456 U.S. 107, 127 (1982)</w:t>
        </w:r>
      </w:hyperlink>
      <w:r>
        <w:rPr>
          <w:rFonts w:eastAsia="Arial"/>
          <w:color w:val="000000"/>
          <w:sz w:val="18"/>
        </w:rPr>
        <w:t xml:space="preserve"> (quoting </w:t>
      </w:r>
      <w:hyperlink r:id="rId377" w:history="1">
        <w:r>
          <w:rPr>
            <w:rFonts w:eastAsia="Arial"/>
            <w:i/>
            <w:color w:val="0077CC"/>
            <w:sz w:val="18"/>
            <w:u w:val="single"/>
          </w:rPr>
          <w:t>Sanders, 373 U.S. at 24-25</w:t>
        </w:r>
      </w:hyperlink>
      <w:r>
        <w:rPr>
          <w:rFonts w:eastAsia="Arial"/>
          <w:color w:val="000000"/>
          <w:sz w:val="18"/>
        </w:rPr>
        <w:t xml:space="preserve"> (Harlan, J., dissenting)). But see </w:t>
      </w:r>
      <w:hyperlink r:id="rId378" w:history="1">
        <w:r>
          <w:rPr>
            <w:rFonts w:eastAsia="Arial"/>
            <w:i/>
            <w:color w:val="0077CC"/>
            <w:sz w:val="18"/>
            <w:u w:val="single"/>
          </w:rPr>
          <w:t>Ashe v. Swenson, 397 U.S. 436, 464-65 (1970)</w:t>
        </w:r>
      </w:hyperlink>
      <w:r>
        <w:rPr>
          <w:rFonts w:eastAsia="Arial"/>
          <w:color w:val="000000"/>
          <w:sz w:val="18"/>
        </w:rPr>
        <w:t xml:space="preserve"> (Burger, C.J., dissenting) ("In criminal cases, finality and conservation of private, public, and judicial resources are lesser values than in civil litigation."). </w:t>
      </w:r>
    </w:p>
  </w:footnote>
  <w:footnote w:id="288">
    <w:p w14:paraId="3CE634DA" w14:textId="77777777" w:rsidR="005C4509" w:rsidRDefault="005C4509" w:rsidP="00FF296C">
      <w:pPr>
        <w:spacing w:before="120" w:line="240" w:lineRule="atLeast"/>
        <w:jc w:val="both"/>
      </w:pPr>
      <w:r>
        <w:rPr>
          <w:rFonts w:eastAsia="Arial"/>
          <w:color w:val="000000"/>
          <w:sz w:val="18"/>
          <w:vertAlign w:val="superscript"/>
        </w:rPr>
        <w:t>261 </w:t>
      </w:r>
      <w:r>
        <w:rPr>
          <w:rFonts w:eastAsia="Arial"/>
          <w:color w:val="000000"/>
          <w:sz w:val="18"/>
        </w:rPr>
        <w:t xml:space="preserve"> Bryan A. Stevenson, Director of the Equal Justice Initiative of Alabama, put this point best:</w:t>
      </w:r>
    </w:p>
    <w:p w14:paraId="66866583" w14:textId="77777777" w:rsidR="005C4509" w:rsidRDefault="005C4509" w:rsidP="00FF296C">
      <w:pPr>
        <w:spacing w:before="200" w:line="240" w:lineRule="atLeast"/>
        <w:jc w:val="both"/>
      </w:pPr>
      <w:r>
        <w:rPr>
          <w:rFonts w:eastAsia="Arial"/>
          <w:color w:val="000000"/>
          <w:sz w:val="18"/>
        </w:rPr>
        <w:t xml:space="preserve">Between 1995 and 2004, ninety-nine percent of all </w:t>
      </w:r>
      <w:r>
        <w:rPr>
          <w:rFonts w:eastAsia="Arial"/>
          <w:b/>
          <w:i/>
          <w:color w:val="000000"/>
          <w:sz w:val="18"/>
          <w:u w:val="single"/>
        </w:rPr>
        <w:t>federal</w:t>
      </w:r>
      <w:r>
        <w:rPr>
          <w:rFonts w:eastAsia="Arial"/>
          <w:color w:val="000000"/>
          <w:sz w:val="18"/>
        </w:rPr>
        <w:t xml:space="preserve"> habeas filings were made by prisoners not under a sentence of death. Accordingly, filing a habeas petition neither delays nor avoids a petitioner's sentence. Almost every habeas petitioner has a compelling incentive to achieve efficient and timely review of his claims because he contends that his detention or imprisonment is wrongful. Whether the punishment is five years of incarceration or fifty years, it is being fully implemented during the pendency of any </w:t>
      </w:r>
      <w:r>
        <w:rPr>
          <w:rFonts w:eastAsia="Arial"/>
          <w:b/>
          <w:i/>
          <w:color w:val="000000"/>
          <w:sz w:val="18"/>
          <w:u w:val="single"/>
        </w:rPr>
        <w:t>collateral</w:t>
      </w:r>
      <w:r>
        <w:rPr>
          <w:rFonts w:eastAsia="Arial"/>
          <w:color w:val="000000"/>
          <w:sz w:val="18"/>
        </w:rPr>
        <w:t xml:space="preserve"> litigation.</w:t>
      </w:r>
    </w:p>
    <w:p w14:paraId="4CF13605" w14:textId="77777777" w:rsidR="005C4509" w:rsidRDefault="005C4509" w:rsidP="00FF296C">
      <w:pPr>
        <w:spacing w:before="240" w:line="240" w:lineRule="atLeast"/>
        <w:jc w:val="both"/>
      </w:pPr>
      <w:r>
        <w:rPr>
          <w:rFonts w:eastAsia="Arial"/>
          <w:color w:val="000000"/>
          <w:sz w:val="18"/>
        </w:rPr>
        <w:t xml:space="preserve"> Bryan A. Stevenson, Confronting Mass Imprisonment and Restoring Fairness to </w:t>
      </w:r>
      <w:r>
        <w:rPr>
          <w:rFonts w:eastAsia="Arial"/>
          <w:b/>
          <w:i/>
          <w:color w:val="000000"/>
          <w:sz w:val="18"/>
          <w:u w:val="single"/>
        </w:rPr>
        <w:t>Collateral</w:t>
      </w:r>
      <w:r>
        <w:rPr>
          <w:rFonts w:eastAsia="Arial"/>
          <w:color w:val="000000"/>
          <w:sz w:val="18"/>
        </w:rPr>
        <w:t xml:space="preserve"> Review of Criminal Cases, </w:t>
      </w:r>
      <w:hyperlink r:id="rId379" w:history="1">
        <w:r>
          <w:rPr>
            <w:rFonts w:eastAsia="Arial"/>
            <w:i/>
            <w:color w:val="0077CC"/>
            <w:sz w:val="18"/>
            <w:u w:val="single"/>
          </w:rPr>
          <w:t>41 Harv. C.R.-C.L. L. Rev. 339, 352 (2006).</w:t>
        </w:r>
      </w:hyperlink>
      <w:r>
        <w:rPr>
          <w:rFonts w:eastAsia="Arial"/>
          <w:color w:val="000000"/>
          <w:sz w:val="18"/>
        </w:rPr>
        <w:t xml:space="preserve">  </w:t>
      </w:r>
    </w:p>
  </w:footnote>
  <w:footnote w:id="289">
    <w:p w14:paraId="5CB23914" w14:textId="77777777" w:rsidR="005C4509" w:rsidRDefault="005C4509" w:rsidP="00FF296C">
      <w:pPr>
        <w:spacing w:before="200" w:line="240" w:lineRule="atLeast"/>
        <w:jc w:val="both"/>
      </w:pPr>
      <w:r>
        <w:rPr>
          <w:rFonts w:eastAsia="Arial"/>
          <w:color w:val="000000"/>
          <w:sz w:val="18"/>
          <w:vertAlign w:val="superscript"/>
        </w:rPr>
        <w:t>262 </w:t>
      </w:r>
      <w:r>
        <w:rPr>
          <w:rFonts w:eastAsia="Arial"/>
          <w:color w:val="000000"/>
          <w:sz w:val="18"/>
        </w:rPr>
        <w:t xml:space="preserve"> A major 2007 empirical study of </w:t>
      </w:r>
      <w:r>
        <w:rPr>
          <w:rFonts w:eastAsia="Arial"/>
          <w:b/>
          <w:i/>
          <w:color w:val="000000"/>
          <w:sz w:val="18"/>
          <w:u w:val="single"/>
        </w:rPr>
        <w:t>federal</w:t>
      </w:r>
      <w:r>
        <w:rPr>
          <w:rFonts w:eastAsia="Arial"/>
          <w:color w:val="000000"/>
          <w:sz w:val="18"/>
        </w:rPr>
        <w:t xml:space="preserve"> habeas review found that only seven out of 2,384 randomly-selected non-capital habeas cases resulted in any relief for the petitioner. Nancy J. King, Fred L. Cheesman II &amp; Brian J. Ostrom, Final Technical Report: Habeas Litigation in U.S. District Courts 52 (2007), </w:t>
      </w:r>
      <w:hyperlink r:id="rId380" w:history="1">
        <w:r>
          <w:rPr>
            <w:rFonts w:eastAsia="Arial"/>
            <w:i/>
            <w:color w:val="0077CC"/>
            <w:sz w:val="18"/>
            <w:u w:val="single"/>
          </w:rPr>
          <w:t>http://www.ncjrs.gov/</w:t>
        </w:r>
      </w:hyperlink>
      <w:r>
        <w:rPr>
          <w:rFonts w:eastAsia="Arial"/>
          <w:color w:val="000000"/>
          <w:sz w:val="18"/>
        </w:rPr>
        <w:t xml:space="preserve"> pdffiles1/nij/grants/219559.pdf (finding a "0.29%" rate of relief for </w:t>
      </w:r>
      <w:r>
        <w:rPr>
          <w:rFonts w:eastAsia="Arial"/>
          <w:b/>
          <w:i/>
          <w:color w:val="000000"/>
          <w:sz w:val="18"/>
          <w:u w:val="single"/>
        </w:rPr>
        <w:t>federal</w:t>
      </w:r>
      <w:r>
        <w:rPr>
          <w:rFonts w:eastAsia="Arial"/>
          <w:color w:val="000000"/>
          <w:sz w:val="18"/>
        </w:rPr>
        <w:t xml:space="preserve"> habeas petitioners). A 1991 study of habeas petitions in New York showed that, on average, only three or four percent of prisoners seeking </w:t>
      </w:r>
      <w:r>
        <w:rPr>
          <w:rFonts w:eastAsia="Arial"/>
          <w:b/>
          <w:i/>
          <w:color w:val="000000"/>
          <w:sz w:val="18"/>
          <w:u w:val="single"/>
        </w:rPr>
        <w:t>collateral</w:t>
      </w:r>
      <w:r>
        <w:rPr>
          <w:rFonts w:eastAsia="Arial"/>
          <w:color w:val="000000"/>
          <w:sz w:val="18"/>
        </w:rPr>
        <w:t xml:space="preserve"> review are successful. Richard Faust et al., The Great Writ in Action: Empirical Light on the </w:t>
      </w:r>
      <w:r>
        <w:rPr>
          <w:rFonts w:eastAsia="Arial"/>
          <w:b/>
          <w:i/>
          <w:color w:val="000000"/>
          <w:sz w:val="18"/>
          <w:u w:val="single"/>
        </w:rPr>
        <w:t>Federal</w:t>
      </w:r>
      <w:r>
        <w:rPr>
          <w:rFonts w:eastAsia="Arial"/>
          <w:color w:val="000000"/>
          <w:sz w:val="18"/>
        </w:rPr>
        <w:t xml:space="preserve"> Habeas Corpus Debate,18 N.Y.U. Rev. L. &amp; Soc. Change 637, 680-81 (1991).  </w:t>
      </w:r>
    </w:p>
  </w:footnote>
  <w:footnote w:id="290">
    <w:p w14:paraId="3C44973F" w14:textId="77777777" w:rsidR="005C4509" w:rsidRDefault="005C4509" w:rsidP="00FF296C">
      <w:pPr>
        <w:spacing w:before="200" w:line="240" w:lineRule="atLeast"/>
        <w:jc w:val="both"/>
      </w:pPr>
      <w:r>
        <w:rPr>
          <w:rFonts w:eastAsia="Arial"/>
          <w:color w:val="000000"/>
          <w:sz w:val="18"/>
          <w:vertAlign w:val="superscript"/>
        </w:rPr>
        <w:t>263 </w:t>
      </w:r>
      <w:r>
        <w:rPr>
          <w:rFonts w:eastAsia="Arial"/>
          <w:color w:val="000000"/>
          <w:sz w:val="18"/>
        </w:rPr>
        <w:t xml:space="preserve"> Death penalty cases are an obvious exception, as </w:t>
      </w:r>
      <w:r>
        <w:rPr>
          <w:rFonts w:eastAsia="Arial"/>
          <w:b/>
          <w:i/>
          <w:color w:val="000000"/>
          <w:sz w:val="18"/>
          <w:u w:val="single"/>
        </w:rPr>
        <w:t>collateral</w:t>
      </w:r>
      <w:r>
        <w:rPr>
          <w:rFonts w:eastAsia="Arial"/>
          <w:color w:val="000000"/>
          <w:sz w:val="18"/>
        </w:rPr>
        <w:t xml:space="preserve"> procedures may, in fact, delay the imposition of the prescribed penalty. But death is different, and finality concerns cut both ways in such capital cases. </w:t>
      </w:r>
    </w:p>
  </w:footnote>
  <w:footnote w:id="291">
    <w:p w14:paraId="2E6B23B4" w14:textId="77777777" w:rsidR="005C4509" w:rsidRDefault="005C4509" w:rsidP="00FF296C">
      <w:pPr>
        <w:spacing w:before="120" w:line="240" w:lineRule="atLeast"/>
        <w:jc w:val="both"/>
      </w:pPr>
      <w:r>
        <w:rPr>
          <w:rFonts w:eastAsia="Arial"/>
          <w:color w:val="000000"/>
          <w:sz w:val="18"/>
          <w:vertAlign w:val="superscript"/>
        </w:rPr>
        <w:t>264 </w:t>
      </w:r>
      <w:r>
        <w:rPr>
          <w:rFonts w:eastAsia="Arial"/>
          <w:color w:val="000000"/>
          <w:sz w:val="18"/>
        </w:rPr>
        <w:t xml:space="preserve"> Ala. Const. art. VIII, § 177(b) ("No person convicted of a felony involving moral turpitude, or who is mentally incompetent, shall be qualified to vote until restoration of civil and political rights or removal of disability."). </w:t>
      </w:r>
    </w:p>
  </w:footnote>
  <w:footnote w:id="292">
    <w:p w14:paraId="5F4585BB" w14:textId="77777777" w:rsidR="005C4509" w:rsidRDefault="005C4509" w:rsidP="00FF296C">
      <w:pPr>
        <w:spacing w:before="240" w:line="240" w:lineRule="atLeast"/>
        <w:jc w:val="both"/>
      </w:pPr>
      <w:r>
        <w:rPr>
          <w:rFonts w:eastAsia="Arial"/>
          <w:color w:val="000000"/>
          <w:sz w:val="18"/>
          <w:vertAlign w:val="superscript"/>
        </w:rPr>
        <w:t>265 </w:t>
      </w:r>
      <w:r>
        <w:rPr>
          <w:rFonts w:eastAsia="Arial"/>
          <w:color w:val="000000"/>
          <w:sz w:val="18"/>
        </w:rPr>
        <w:t xml:space="preserve">  </w:t>
      </w:r>
      <w:hyperlink r:id="rId381" w:history="1">
        <w:r>
          <w:rPr>
            <w:rFonts w:eastAsia="Arial"/>
            <w:i/>
            <w:color w:val="0077CC"/>
            <w:sz w:val="18"/>
            <w:u w:val="single"/>
          </w:rPr>
          <w:t>United States v. Craig, 907 F.2d 653, 659 (7th Cir. 1990).</w:t>
        </w:r>
      </w:hyperlink>
      <w:r>
        <w:rPr>
          <w:rFonts w:eastAsia="Arial"/>
          <w:color w:val="000000"/>
          <w:sz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5E6C5B" w14:textId="77777777" w:rsidR="005C4509" w:rsidRDefault="005C45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5C4509" w14:paraId="545A7985" w14:textId="77777777">
      <w:trPr>
        <w:jc w:val="center"/>
      </w:trPr>
      <w:tc>
        <w:tcPr>
          <w:tcW w:w="10080" w:type="dxa"/>
          <w:vAlign w:val="center"/>
        </w:tcPr>
        <w:p w14:paraId="6F0CAD1F" w14:textId="77777777" w:rsidR="005C4509" w:rsidRDefault="005C4509">
          <w:pPr>
            <w:jc w:val="right"/>
          </w:pPr>
          <w:r>
            <w:rPr>
              <w:rFonts w:eastAsia="Arial"/>
              <w:sz w:val="20"/>
            </w:rPr>
            <w:t xml:space="preserve">Page </w:t>
          </w:r>
          <w:r>
            <w:rPr>
              <w:rFonts w:eastAsia="Arial"/>
              <w:sz w:val="20"/>
            </w:rPr>
            <w:fldChar w:fldCharType="begin"/>
          </w:r>
          <w:r>
            <w:rPr>
              <w:rFonts w:eastAsia="Arial"/>
              <w:sz w:val="20"/>
            </w:rPr>
            <w:instrText xml:space="preserve"> PAGE </w:instrText>
          </w:r>
          <w:r>
            <w:rPr>
              <w:rFonts w:eastAsia="Arial"/>
              <w:sz w:val="20"/>
            </w:rPr>
            <w:fldChar w:fldCharType="separate"/>
          </w:r>
          <w:r>
            <w:rPr>
              <w:rFonts w:eastAsia="Arial"/>
              <w:noProof/>
              <w:sz w:val="20"/>
            </w:rPr>
            <w:t>2</w:t>
          </w:r>
          <w:r>
            <w:rPr>
              <w:rFonts w:eastAsia="Arial"/>
              <w:sz w:val="20"/>
            </w:rPr>
            <w:fldChar w:fldCharType="end"/>
          </w:r>
          <w:r>
            <w:rPr>
              <w:rFonts w:eastAsia="Arial"/>
              <w:sz w:val="20"/>
            </w:rPr>
            <w:t xml:space="preserve"> of </w:t>
          </w:r>
          <w:r>
            <w:rPr>
              <w:rFonts w:eastAsia="Arial"/>
              <w:sz w:val="20"/>
            </w:rPr>
            <w:fldChar w:fldCharType="begin"/>
          </w:r>
          <w:r>
            <w:rPr>
              <w:rFonts w:eastAsia="Arial"/>
              <w:sz w:val="20"/>
            </w:rPr>
            <w:instrText xml:space="preserve"> NUMPAGES </w:instrText>
          </w:r>
          <w:r>
            <w:rPr>
              <w:rFonts w:eastAsia="Arial"/>
              <w:sz w:val="20"/>
            </w:rPr>
            <w:fldChar w:fldCharType="separate"/>
          </w:r>
          <w:r>
            <w:rPr>
              <w:rFonts w:eastAsia="Arial"/>
              <w:noProof/>
              <w:sz w:val="20"/>
            </w:rPr>
            <w:t>3</w:t>
          </w:r>
          <w:r>
            <w:rPr>
              <w:rFonts w:eastAsia="Arial"/>
              <w:sz w:val="20"/>
            </w:rPr>
            <w:fldChar w:fldCharType="end"/>
          </w:r>
        </w:p>
      </w:tc>
    </w:tr>
    <w:tr w:rsidR="005C4509" w14:paraId="1FE44666" w14:textId="77777777">
      <w:trPr>
        <w:jc w:val="center"/>
      </w:trPr>
      <w:tc>
        <w:tcPr>
          <w:tcW w:w="10080" w:type="dxa"/>
        </w:tcPr>
        <w:p w14:paraId="2DF4B584" w14:textId="77777777" w:rsidR="005C4509" w:rsidRDefault="005C4509">
          <w:pPr>
            <w:spacing w:before="60" w:after="200"/>
            <w:jc w:val="center"/>
          </w:pPr>
          <w:r>
            <w:rPr>
              <w:rFonts w:eastAsia="Arial"/>
              <w:sz w:val="20"/>
            </w:rPr>
            <w:t>SYMPOSIUM: Preventing Internal Exile: The Need for Restrictions on Collateral Sentencing Consequences: Collateral sentencing consequences . . . further serve to....</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DC619E" w14:textId="77777777" w:rsidR="005C4509" w:rsidRDefault="005C450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AB3763" w14:textId="77777777" w:rsidR="005C4509" w:rsidRDefault="005C450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5C4509" w14:paraId="3E2F88A5" w14:textId="77777777">
      <w:trPr>
        <w:jc w:val="center"/>
      </w:trPr>
      <w:tc>
        <w:tcPr>
          <w:tcW w:w="10080" w:type="dxa"/>
          <w:vAlign w:val="center"/>
        </w:tcPr>
        <w:p w14:paraId="6B9E97B9" w14:textId="77777777" w:rsidR="005C4509" w:rsidRDefault="005C4509">
          <w:pPr>
            <w:jc w:val="right"/>
          </w:pPr>
          <w:r>
            <w:rPr>
              <w:rFonts w:eastAsia="Arial"/>
              <w:sz w:val="20"/>
            </w:rPr>
            <w:t xml:space="preserve">Page </w:t>
          </w:r>
          <w:r>
            <w:rPr>
              <w:rFonts w:eastAsia="Arial"/>
              <w:sz w:val="20"/>
            </w:rPr>
            <w:fldChar w:fldCharType="begin"/>
          </w:r>
          <w:r>
            <w:rPr>
              <w:rFonts w:eastAsia="Arial"/>
              <w:sz w:val="20"/>
            </w:rPr>
            <w:instrText xml:space="preserve"> PAGE </w:instrText>
          </w:r>
          <w:r>
            <w:rPr>
              <w:rFonts w:eastAsia="Arial"/>
              <w:sz w:val="20"/>
            </w:rPr>
            <w:fldChar w:fldCharType="separate"/>
          </w:r>
          <w:r>
            <w:rPr>
              <w:rFonts w:eastAsia="Arial"/>
              <w:noProof/>
              <w:sz w:val="20"/>
            </w:rPr>
            <w:t>2</w:t>
          </w:r>
          <w:r>
            <w:rPr>
              <w:rFonts w:eastAsia="Arial"/>
              <w:sz w:val="20"/>
            </w:rPr>
            <w:fldChar w:fldCharType="end"/>
          </w:r>
          <w:r>
            <w:rPr>
              <w:rFonts w:eastAsia="Arial"/>
              <w:sz w:val="20"/>
            </w:rPr>
            <w:t xml:space="preserve"> of </w:t>
          </w:r>
          <w:r>
            <w:rPr>
              <w:rFonts w:eastAsia="Arial"/>
              <w:sz w:val="20"/>
            </w:rPr>
            <w:fldChar w:fldCharType="begin"/>
          </w:r>
          <w:r>
            <w:rPr>
              <w:rFonts w:eastAsia="Arial"/>
              <w:sz w:val="20"/>
            </w:rPr>
            <w:instrText xml:space="preserve"> NUMPAGES </w:instrText>
          </w:r>
          <w:r>
            <w:rPr>
              <w:rFonts w:eastAsia="Arial"/>
              <w:sz w:val="20"/>
            </w:rPr>
            <w:fldChar w:fldCharType="separate"/>
          </w:r>
          <w:r>
            <w:rPr>
              <w:rFonts w:eastAsia="Arial"/>
              <w:noProof/>
              <w:sz w:val="20"/>
            </w:rPr>
            <w:t>3</w:t>
          </w:r>
          <w:r>
            <w:rPr>
              <w:rFonts w:eastAsia="Arial"/>
              <w:sz w:val="20"/>
            </w:rPr>
            <w:fldChar w:fldCharType="end"/>
          </w:r>
        </w:p>
      </w:tc>
    </w:tr>
    <w:tr w:rsidR="005C4509" w14:paraId="6FEF6738" w14:textId="77777777">
      <w:trPr>
        <w:jc w:val="center"/>
      </w:trPr>
      <w:tc>
        <w:tcPr>
          <w:tcW w:w="10080" w:type="dxa"/>
        </w:tcPr>
        <w:p w14:paraId="409A0645" w14:textId="77777777" w:rsidR="005C4509" w:rsidRDefault="005C4509">
          <w:pPr>
            <w:spacing w:before="60" w:after="200"/>
            <w:jc w:val="center"/>
          </w:pPr>
          <w:r>
            <w:rPr>
              <w:rFonts w:eastAsia="Arial"/>
              <w:sz w:val="20"/>
            </w:rPr>
            <w:t>SYMPOSIUM: Preventing Internal Exile: The Need for Restrictions on Collateral Sentencing Consequences: Collateral sentencing consequences . . . further serve to....</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AEC1A7" w14:textId="77777777" w:rsidR="005C4509" w:rsidRDefault="005C45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0B6D8A"/>
    <w:multiLevelType w:val="hybridMultilevel"/>
    <w:tmpl w:val="0E0AFC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5B79F5"/>
    <w:multiLevelType w:val="hybridMultilevel"/>
    <w:tmpl w:val="94727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153C79"/>
    <w:multiLevelType w:val="hybridMultilevel"/>
    <w:tmpl w:val="CDAE40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D9177C"/>
    <w:multiLevelType w:val="hybridMultilevel"/>
    <w:tmpl w:val="5CEE68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56536932960"/>
    <w:docVar w:name="VerbatimVersion" w:val="5.1"/>
  </w:docVars>
  <w:rsids>
    <w:rsidRoot w:val="007F7E35"/>
    <w:rsid w:val="00001A8E"/>
    <w:rsid w:val="00004184"/>
    <w:rsid w:val="0001326F"/>
    <w:rsid w:val="000139A3"/>
    <w:rsid w:val="000160E3"/>
    <w:rsid w:val="0001731C"/>
    <w:rsid w:val="0002165C"/>
    <w:rsid w:val="0002299E"/>
    <w:rsid w:val="00023442"/>
    <w:rsid w:val="0002674E"/>
    <w:rsid w:val="00036A6F"/>
    <w:rsid w:val="00040099"/>
    <w:rsid w:val="000426EA"/>
    <w:rsid w:val="00064DB2"/>
    <w:rsid w:val="00066293"/>
    <w:rsid w:val="000723A9"/>
    <w:rsid w:val="0007419F"/>
    <w:rsid w:val="000744BE"/>
    <w:rsid w:val="00074582"/>
    <w:rsid w:val="00080523"/>
    <w:rsid w:val="000812E8"/>
    <w:rsid w:val="00085D18"/>
    <w:rsid w:val="00086A6F"/>
    <w:rsid w:val="00092C11"/>
    <w:rsid w:val="00097395"/>
    <w:rsid w:val="000A37CF"/>
    <w:rsid w:val="000A50D5"/>
    <w:rsid w:val="000A7895"/>
    <w:rsid w:val="000B4709"/>
    <w:rsid w:val="000B6749"/>
    <w:rsid w:val="000C2540"/>
    <w:rsid w:val="000C4EAF"/>
    <w:rsid w:val="000D0457"/>
    <w:rsid w:val="000D1B6A"/>
    <w:rsid w:val="000D7AAA"/>
    <w:rsid w:val="000E1943"/>
    <w:rsid w:val="000E6945"/>
    <w:rsid w:val="000F1078"/>
    <w:rsid w:val="00100833"/>
    <w:rsid w:val="00104529"/>
    <w:rsid w:val="00104537"/>
    <w:rsid w:val="00105942"/>
    <w:rsid w:val="00107396"/>
    <w:rsid w:val="0011097D"/>
    <w:rsid w:val="00111379"/>
    <w:rsid w:val="00121E7B"/>
    <w:rsid w:val="0012215E"/>
    <w:rsid w:val="0012468B"/>
    <w:rsid w:val="0012498D"/>
    <w:rsid w:val="00125E8D"/>
    <w:rsid w:val="00144A4C"/>
    <w:rsid w:val="00145843"/>
    <w:rsid w:val="001463A1"/>
    <w:rsid w:val="001515B9"/>
    <w:rsid w:val="00152D90"/>
    <w:rsid w:val="001531BB"/>
    <w:rsid w:val="00164723"/>
    <w:rsid w:val="00167C87"/>
    <w:rsid w:val="00174EF8"/>
    <w:rsid w:val="00176AB0"/>
    <w:rsid w:val="00177B7D"/>
    <w:rsid w:val="0018322D"/>
    <w:rsid w:val="00183CE6"/>
    <w:rsid w:val="001900CD"/>
    <w:rsid w:val="001A5722"/>
    <w:rsid w:val="001A5CCC"/>
    <w:rsid w:val="001B0E45"/>
    <w:rsid w:val="001B4D5A"/>
    <w:rsid w:val="001B5776"/>
    <w:rsid w:val="001C01F9"/>
    <w:rsid w:val="001C0CA6"/>
    <w:rsid w:val="001C2463"/>
    <w:rsid w:val="001C2A2A"/>
    <w:rsid w:val="001C4DEE"/>
    <w:rsid w:val="001D3068"/>
    <w:rsid w:val="001D5F2E"/>
    <w:rsid w:val="001E527A"/>
    <w:rsid w:val="001E7B7A"/>
    <w:rsid w:val="001F78CE"/>
    <w:rsid w:val="00200447"/>
    <w:rsid w:val="00204457"/>
    <w:rsid w:val="00204E58"/>
    <w:rsid w:val="0020575E"/>
    <w:rsid w:val="00205AE2"/>
    <w:rsid w:val="00213E62"/>
    <w:rsid w:val="00214320"/>
    <w:rsid w:val="0021642E"/>
    <w:rsid w:val="0022239B"/>
    <w:rsid w:val="00225371"/>
    <w:rsid w:val="00225D7C"/>
    <w:rsid w:val="00236492"/>
    <w:rsid w:val="00244F8E"/>
    <w:rsid w:val="002457A9"/>
    <w:rsid w:val="00247186"/>
    <w:rsid w:val="00251FC7"/>
    <w:rsid w:val="00256382"/>
    <w:rsid w:val="00261B46"/>
    <w:rsid w:val="00262277"/>
    <w:rsid w:val="00263E7E"/>
    <w:rsid w:val="0027036D"/>
    <w:rsid w:val="00282292"/>
    <w:rsid w:val="002855A7"/>
    <w:rsid w:val="00291F2A"/>
    <w:rsid w:val="00292BE5"/>
    <w:rsid w:val="002A1B36"/>
    <w:rsid w:val="002A6558"/>
    <w:rsid w:val="002B1414"/>
    <w:rsid w:val="002B146A"/>
    <w:rsid w:val="002B4295"/>
    <w:rsid w:val="002B5E17"/>
    <w:rsid w:val="002B6FE7"/>
    <w:rsid w:val="002B73F2"/>
    <w:rsid w:val="002C331F"/>
    <w:rsid w:val="002C542D"/>
    <w:rsid w:val="002D1506"/>
    <w:rsid w:val="002D7CB7"/>
    <w:rsid w:val="002E3F97"/>
    <w:rsid w:val="002E531A"/>
    <w:rsid w:val="002E60E9"/>
    <w:rsid w:val="002F046D"/>
    <w:rsid w:val="002F227F"/>
    <w:rsid w:val="002F2FF0"/>
    <w:rsid w:val="002F3881"/>
    <w:rsid w:val="00304C1D"/>
    <w:rsid w:val="00307837"/>
    <w:rsid w:val="003121D2"/>
    <w:rsid w:val="003134E0"/>
    <w:rsid w:val="003147A1"/>
    <w:rsid w:val="00315069"/>
    <w:rsid w:val="00315690"/>
    <w:rsid w:val="00315BB3"/>
    <w:rsid w:val="00316B75"/>
    <w:rsid w:val="0031702E"/>
    <w:rsid w:val="00323D4F"/>
    <w:rsid w:val="00325646"/>
    <w:rsid w:val="00333E7E"/>
    <w:rsid w:val="003346E6"/>
    <w:rsid w:val="00335DA9"/>
    <w:rsid w:val="003413FD"/>
    <w:rsid w:val="003460F2"/>
    <w:rsid w:val="00346B42"/>
    <w:rsid w:val="00350C69"/>
    <w:rsid w:val="003533F1"/>
    <w:rsid w:val="00354EC2"/>
    <w:rsid w:val="00355A56"/>
    <w:rsid w:val="00361AC2"/>
    <w:rsid w:val="003653F6"/>
    <w:rsid w:val="0037068B"/>
    <w:rsid w:val="00371F90"/>
    <w:rsid w:val="0037403F"/>
    <w:rsid w:val="00374AC8"/>
    <w:rsid w:val="00376BB5"/>
    <w:rsid w:val="0038080B"/>
    <w:rsid w:val="0038158C"/>
    <w:rsid w:val="003827B8"/>
    <w:rsid w:val="003867A4"/>
    <w:rsid w:val="003902BA"/>
    <w:rsid w:val="003939D4"/>
    <w:rsid w:val="00393C5B"/>
    <w:rsid w:val="0039468E"/>
    <w:rsid w:val="003A09E2"/>
    <w:rsid w:val="003A1DD1"/>
    <w:rsid w:val="003A33D6"/>
    <w:rsid w:val="003B09BF"/>
    <w:rsid w:val="003B34EA"/>
    <w:rsid w:val="003B5630"/>
    <w:rsid w:val="003D1247"/>
    <w:rsid w:val="003E3581"/>
    <w:rsid w:val="003E4F1C"/>
    <w:rsid w:val="003E6027"/>
    <w:rsid w:val="003E77B7"/>
    <w:rsid w:val="003E7D27"/>
    <w:rsid w:val="003F06D0"/>
    <w:rsid w:val="003F154F"/>
    <w:rsid w:val="003F15FD"/>
    <w:rsid w:val="003F233C"/>
    <w:rsid w:val="003F3FB3"/>
    <w:rsid w:val="00407037"/>
    <w:rsid w:val="00416DB1"/>
    <w:rsid w:val="00425C6B"/>
    <w:rsid w:val="0043318C"/>
    <w:rsid w:val="00435814"/>
    <w:rsid w:val="004407B6"/>
    <w:rsid w:val="00445000"/>
    <w:rsid w:val="0044588D"/>
    <w:rsid w:val="00452731"/>
    <w:rsid w:val="004605D6"/>
    <w:rsid w:val="00463DCC"/>
    <w:rsid w:val="00464CF0"/>
    <w:rsid w:val="004667C0"/>
    <w:rsid w:val="00475A7E"/>
    <w:rsid w:val="004764CB"/>
    <w:rsid w:val="00485EA3"/>
    <w:rsid w:val="00486FF0"/>
    <w:rsid w:val="00487C96"/>
    <w:rsid w:val="00493FB3"/>
    <w:rsid w:val="00494987"/>
    <w:rsid w:val="004A0F69"/>
    <w:rsid w:val="004B0F00"/>
    <w:rsid w:val="004B6BD3"/>
    <w:rsid w:val="004C60E8"/>
    <w:rsid w:val="004D07B1"/>
    <w:rsid w:val="004D3D44"/>
    <w:rsid w:val="004D58DB"/>
    <w:rsid w:val="004D7856"/>
    <w:rsid w:val="004E202B"/>
    <w:rsid w:val="004E307A"/>
    <w:rsid w:val="004E3579"/>
    <w:rsid w:val="004E728B"/>
    <w:rsid w:val="004F32BD"/>
    <w:rsid w:val="004F39E0"/>
    <w:rsid w:val="00503F48"/>
    <w:rsid w:val="00513590"/>
    <w:rsid w:val="00517DEC"/>
    <w:rsid w:val="005243CC"/>
    <w:rsid w:val="00525FB8"/>
    <w:rsid w:val="0053078D"/>
    <w:rsid w:val="00533539"/>
    <w:rsid w:val="00537BD5"/>
    <w:rsid w:val="00542A64"/>
    <w:rsid w:val="00556D43"/>
    <w:rsid w:val="00560D3D"/>
    <w:rsid w:val="00563221"/>
    <w:rsid w:val="005659B0"/>
    <w:rsid w:val="005665AD"/>
    <w:rsid w:val="00566C5A"/>
    <w:rsid w:val="0056799D"/>
    <w:rsid w:val="00567E98"/>
    <w:rsid w:val="0057268A"/>
    <w:rsid w:val="00572D60"/>
    <w:rsid w:val="0057522E"/>
    <w:rsid w:val="005841D3"/>
    <w:rsid w:val="00585DD9"/>
    <w:rsid w:val="00586CAA"/>
    <w:rsid w:val="00596D5C"/>
    <w:rsid w:val="005A2525"/>
    <w:rsid w:val="005A4EFA"/>
    <w:rsid w:val="005A7502"/>
    <w:rsid w:val="005B5698"/>
    <w:rsid w:val="005B6ACC"/>
    <w:rsid w:val="005B7610"/>
    <w:rsid w:val="005C065A"/>
    <w:rsid w:val="005C1979"/>
    <w:rsid w:val="005C4509"/>
    <w:rsid w:val="005D0845"/>
    <w:rsid w:val="005D220D"/>
    <w:rsid w:val="005D2912"/>
    <w:rsid w:val="005D6FBD"/>
    <w:rsid w:val="005E3F82"/>
    <w:rsid w:val="005F0DEF"/>
    <w:rsid w:val="00603BBE"/>
    <w:rsid w:val="006065BD"/>
    <w:rsid w:val="00611246"/>
    <w:rsid w:val="00611DCB"/>
    <w:rsid w:val="00613202"/>
    <w:rsid w:val="00614817"/>
    <w:rsid w:val="00614A11"/>
    <w:rsid w:val="0062043B"/>
    <w:rsid w:val="006205B7"/>
    <w:rsid w:val="00621ACD"/>
    <w:rsid w:val="0062277B"/>
    <w:rsid w:val="00626303"/>
    <w:rsid w:val="006309C6"/>
    <w:rsid w:val="00631590"/>
    <w:rsid w:val="006349E1"/>
    <w:rsid w:val="00641BB3"/>
    <w:rsid w:val="00642595"/>
    <w:rsid w:val="00642A6B"/>
    <w:rsid w:val="00645FA9"/>
    <w:rsid w:val="00647866"/>
    <w:rsid w:val="006479F3"/>
    <w:rsid w:val="00647CFD"/>
    <w:rsid w:val="00655BD0"/>
    <w:rsid w:val="00657D6E"/>
    <w:rsid w:val="00660452"/>
    <w:rsid w:val="00663FA7"/>
    <w:rsid w:val="0066490D"/>
    <w:rsid w:val="00664B3C"/>
    <w:rsid w:val="00665003"/>
    <w:rsid w:val="00670B39"/>
    <w:rsid w:val="00683DA7"/>
    <w:rsid w:val="00685FED"/>
    <w:rsid w:val="00687E07"/>
    <w:rsid w:val="006959E7"/>
    <w:rsid w:val="006A2AD0"/>
    <w:rsid w:val="006A2AEC"/>
    <w:rsid w:val="006A77BE"/>
    <w:rsid w:val="006A7F91"/>
    <w:rsid w:val="006B3B59"/>
    <w:rsid w:val="006B5CDF"/>
    <w:rsid w:val="006C2375"/>
    <w:rsid w:val="006C2613"/>
    <w:rsid w:val="006C75DB"/>
    <w:rsid w:val="006D4ECC"/>
    <w:rsid w:val="006D7EF5"/>
    <w:rsid w:val="006E4EF8"/>
    <w:rsid w:val="006E65D9"/>
    <w:rsid w:val="0070711E"/>
    <w:rsid w:val="007101F6"/>
    <w:rsid w:val="00714F59"/>
    <w:rsid w:val="007155C1"/>
    <w:rsid w:val="00721CC6"/>
    <w:rsid w:val="00722258"/>
    <w:rsid w:val="007243E5"/>
    <w:rsid w:val="0072682A"/>
    <w:rsid w:val="00732462"/>
    <w:rsid w:val="00743B2A"/>
    <w:rsid w:val="007452FC"/>
    <w:rsid w:val="00746754"/>
    <w:rsid w:val="007467C5"/>
    <w:rsid w:val="00751272"/>
    <w:rsid w:val="00751CFE"/>
    <w:rsid w:val="007529E8"/>
    <w:rsid w:val="00753E37"/>
    <w:rsid w:val="00754DCD"/>
    <w:rsid w:val="00756C77"/>
    <w:rsid w:val="007603D6"/>
    <w:rsid w:val="00766EA0"/>
    <w:rsid w:val="00770038"/>
    <w:rsid w:val="00781851"/>
    <w:rsid w:val="007824FD"/>
    <w:rsid w:val="0078742B"/>
    <w:rsid w:val="00791FC4"/>
    <w:rsid w:val="007931B8"/>
    <w:rsid w:val="00795167"/>
    <w:rsid w:val="007A080F"/>
    <w:rsid w:val="007A2226"/>
    <w:rsid w:val="007A2F7D"/>
    <w:rsid w:val="007B1900"/>
    <w:rsid w:val="007B32AD"/>
    <w:rsid w:val="007C184A"/>
    <w:rsid w:val="007D144B"/>
    <w:rsid w:val="007D652B"/>
    <w:rsid w:val="007E540E"/>
    <w:rsid w:val="007E6B8C"/>
    <w:rsid w:val="007E7D64"/>
    <w:rsid w:val="007E7F82"/>
    <w:rsid w:val="007F5B66"/>
    <w:rsid w:val="007F7E35"/>
    <w:rsid w:val="008034B5"/>
    <w:rsid w:val="0081525A"/>
    <w:rsid w:val="00815878"/>
    <w:rsid w:val="00823A1C"/>
    <w:rsid w:val="00834464"/>
    <w:rsid w:val="008423B9"/>
    <w:rsid w:val="00845B9D"/>
    <w:rsid w:val="0085150E"/>
    <w:rsid w:val="00851B0E"/>
    <w:rsid w:val="008550B5"/>
    <w:rsid w:val="008561DE"/>
    <w:rsid w:val="00857CDD"/>
    <w:rsid w:val="008605B7"/>
    <w:rsid w:val="00860984"/>
    <w:rsid w:val="00860C59"/>
    <w:rsid w:val="0086151B"/>
    <w:rsid w:val="00861F10"/>
    <w:rsid w:val="0086397F"/>
    <w:rsid w:val="00866B0A"/>
    <w:rsid w:val="00867164"/>
    <w:rsid w:val="008711C2"/>
    <w:rsid w:val="00877D04"/>
    <w:rsid w:val="00880DFC"/>
    <w:rsid w:val="00883C98"/>
    <w:rsid w:val="00885B93"/>
    <w:rsid w:val="008A0750"/>
    <w:rsid w:val="008A0869"/>
    <w:rsid w:val="008A41E5"/>
    <w:rsid w:val="008A4D8F"/>
    <w:rsid w:val="008A5407"/>
    <w:rsid w:val="008A5D92"/>
    <w:rsid w:val="008B1405"/>
    <w:rsid w:val="008B3ECB"/>
    <w:rsid w:val="008B4E85"/>
    <w:rsid w:val="008B7146"/>
    <w:rsid w:val="008C0DAB"/>
    <w:rsid w:val="008C1B2E"/>
    <w:rsid w:val="008C7BC9"/>
    <w:rsid w:val="008D488D"/>
    <w:rsid w:val="008E349B"/>
    <w:rsid w:val="008F7C1E"/>
    <w:rsid w:val="00904A19"/>
    <w:rsid w:val="00911C18"/>
    <w:rsid w:val="00913192"/>
    <w:rsid w:val="0091627E"/>
    <w:rsid w:val="00925B19"/>
    <w:rsid w:val="009365C8"/>
    <w:rsid w:val="00952810"/>
    <w:rsid w:val="00961522"/>
    <w:rsid w:val="00962C6B"/>
    <w:rsid w:val="00962CC6"/>
    <w:rsid w:val="00966FB1"/>
    <w:rsid w:val="0096735B"/>
    <w:rsid w:val="0097032B"/>
    <w:rsid w:val="00970DD1"/>
    <w:rsid w:val="00973634"/>
    <w:rsid w:val="00976762"/>
    <w:rsid w:val="00976C77"/>
    <w:rsid w:val="0098144E"/>
    <w:rsid w:val="0099530A"/>
    <w:rsid w:val="00995398"/>
    <w:rsid w:val="009A3C43"/>
    <w:rsid w:val="009B2379"/>
    <w:rsid w:val="009B37AF"/>
    <w:rsid w:val="009B5D85"/>
    <w:rsid w:val="009C792B"/>
    <w:rsid w:val="009D2EAD"/>
    <w:rsid w:val="009D3F56"/>
    <w:rsid w:val="009D54B2"/>
    <w:rsid w:val="009D57C5"/>
    <w:rsid w:val="009D674A"/>
    <w:rsid w:val="009E05E6"/>
    <w:rsid w:val="009E1922"/>
    <w:rsid w:val="009E1B9A"/>
    <w:rsid w:val="009E5154"/>
    <w:rsid w:val="009E5977"/>
    <w:rsid w:val="009F179F"/>
    <w:rsid w:val="009F7AD7"/>
    <w:rsid w:val="009F7ED2"/>
    <w:rsid w:val="00A00FAA"/>
    <w:rsid w:val="00A027B0"/>
    <w:rsid w:val="00A0406B"/>
    <w:rsid w:val="00A25495"/>
    <w:rsid w:val="00A26226"/>
    <w:rsid w:val="00A2651F"/>
    <w:rsid w:val="00A32831"/>
    <w:rsid w:val="00A32C5A"/>
    <w:rsid w:val="00A42704"/>
    <w:rsid w:val="00A43C3D"/>
    <w:rsid w:val="00A4467A"/>
    <w:rsid w:val="00A506A3"/>
    <w:rsid w:val="00A50906"/>
    <w:rsid w:val="00A514B8"/>
    <w:rsid w:val="00A6625D"/>
    <w:rsid w:val="00A7470C"/>
    <w:rsid w:val="00A80FEB"/>
    <w:rsid w:val="00A93661"/>
    <w:rsid w:val="00A95652"/>
    <w:rsid w:val="00AA4092"/>
    <w:rsid w:val="00AA5690"/>
    <w:rsid w:val="00AA5DA4"/>
    <w:rsid w:val="00AA6276"/>
    <w:rsid w:val="00AC0559"/>
    <w:rsid w:val="00AC0AB8"/>
    <w:rsid w:val="00AC6AEF"/>
    <w:rsid w:val="00AC7691"/>
    <w:rsid w:val="00AD1B56"/>
    <w:rsid w:val="00AE482F"/>
    <w:rsid w:val="00AF0B0E"/>
    <w:rsid w:val="00AF65A5"/>
    <w:rsid w:val="00AF6D78"/>
    <w:rsid w:val="00AF783C"/>
    <w:rsid w:val="00B02075"/>
    <w:rsid w:val="00B05499"/>
    <w:rsid w:val="00B05A5E"/>
    <w:rsid w:val="00B16B78"/>
    <w:rsid w:val="00B17544"/>
    <w:rsid w:val="00B227C1"/>
    <w:rsid w:val="00B3201E"/>
    <w:rsid w:val="00B33C6D"/>
    <w:rsid w:val="00B37400"/>
    <w:rsid w:val="00B37546"/>
    <w:rsid w:val="00B40891"/>
    <w:rsid w:val="00B41CE1"/>
    <w:rsid w:val="00B42A48"/>
    <w:rsid w:val="00B4508F"/>
    <w:rsid w:val="00B45391"/>
    <w:rsid w:val="00B46F6D"/>
    <w:rsid w:val="00B473F1"/>
    <w:rsid w:val="00B55AD5"/>
    <w:rsid w:val="00B61D16"/>
    <w:rsid w:val="00B61E0B"/>
    <w:rsid w:val="00B621A8"/>
    <w:rsid w:val="00B63B21"/>
    <w:rsid w:val="00B67300"/>
    <w:rsid w:val="00B73168"/>
    <w:rsid w:val="00B8057C"/>
    <w:rsid w:val="00B92D5C"/>
    <w:rsid w:val="00BA0721"/>
    <w:rsid w:val="00BA6BB0"/>
    <w:rsid w:val="00BB1049"/>
    <w:rsid w:val="00BB3FF4"/>
    <w:rsid w:val="00BB5D9B"/>
    <w:rsid w:val="00BB691F"/>
    <w:rsid w:val="00BB6F87"/>
    <w:rsid w:val="00BD31F4"/>
    <w:rsid w:val="00BD6238"/>
    <w:rsid w:val="00BD6400"/>
    <w:rsid w:val="00BE1125"/>
    <w:rsid w:val="00BE2784"/>
    <w:rsid w:val="00BE6017"/>
    <w:rsid w:val="00BF593B"/>
    <w:rsid w:val="00BF773A"/>
    <w:rsid w:val="00BF7E81"/>
    <w:rsid w:val="00C003D2"/>
    <w:rsid w:val="00C022FD"/>
    <w:rsid w:val="00C05841"/>
    <w:rsid w:val="00C058DE"/>
    <w:rsid w:val="00C10AC3"/>
    <w:rsid w:val="00C110C4"/>
    <w:rsid w:val="00C13773"/>
    <w:rsid w:val="00C146A4"/>
    <w:rsid w:val="00C17CC8"/>
    <w:rsid w:val="00C215F1"/>
    <w:rsid w:val="00C47A63"/>
    <w:rsid w:val="00C527DC"/>
    <w:rsid w:val="00C53106"/>
    <w:rsid w:val="00C53D18"/>
    <w:rsid w:val="00C555E9"/>
    <w:rsid w:val="00C55D42"/>
    <w:rsid w:val="00C601BE"/>
    <w:rsid w:val="00C60CB7"/>
    <w:rsid w:val="00C6612D"/>
    <w:rsid w:val="00C671AA"/>
    <w:rsid w:val="00C72238"/>
    <w:rsid w:val="00C77FF8"/>
    <w:rsid w:val="00C83417"/>
    <w:rsid w:val="00C8564A"/>
    <w:rsid w:val="00C86A7A"/>
    <w:rsid w:val="00C932F5"/>
    <w:rsid w:val="00C9604F"/>
    <w:rsid w:val="00C96FC9"/>
    <w:rsid w:val="00CA19AA"/>
    <w:rsid w:val="00CA4210"/>
    <w:rsid w:val="00CA5915"/>
    <w:rsid w:val="00CB2E72"/>
    <w:rsid w:val="00CB6C8C"/>
    <w:rsid w:val="00CC009B"/>
    <w:rsid w:val="00CC4EF2"/>
    <w:rsid w:val="00CC5298"/>
    <w:rsid w:val="00CC6845"/>
    <w:rsid w:val="00CD18C5"/>
    <w:rsid w:val="00CD1C01"/>
    <w:rsid w:val="00CD736E"/>
    <w:rsid w:val="00CD798D"/>
    <w:rsid w:val="00CE161E"/>
    <w:rsid w:val="00CE436E"/>
    <w:rsid w:val="00CE654D"/>
    <w:rsid w:val="00CF43EB"/>
    <w:rsid w:val="00CF59A8"/>
    <w:rsid w:val="00CF7CBB"/>
    <w:rsid w:val="00D0176C"/>
    <w:rsid w:val="00D100E8"/>
    <w:rsid w:val="00D12EAE"/>
    <w:rsid w:val="00D15EAF"/>
    <w:rsid w:val="00D1631B"/>
    <w:rsid w:val="00D222BF"/>
    <w:rsid w:val="00D22548"/>
    <w:rsid w:val="00D23622"/>
    <w:rsid w:val="00D241C1"/>
    <w:rsid w:val="00D325A9"/>
    <w:rsid w:val="00D36A8A"/>
    <w:rsid w:val="00D40D67"/>
    <w:rsid w:val="00D4362A"/>
    <w:rsid w:val="00D45A48"/>
    <w:rsid w:val="00D47C9C"/>
    <w:rsid w:val="00D52D4D"/>
    <w:rsid w:val="00D5553A"/>
    <w:rsid w:val="00D61409"/>
    <w:rsid w:val="00D62569"/>
    <w:rsid w:val="00D6691E"/>
    <w:rsid w:val="00D71170"/>
    <w:rsid w:val="00D74809"/>
    <w:rsid w:val="00D81DA7"/>
    <w:rsid w:val="00D82C14"/>
    <w:rsid w:val="00D8326A"/>
    <w:rsid w:val="00D834C4"/>
    <w:rsid w:val="00D83E58"/>
    <w:rsid w:val="00D85797"/>
    <w:rsid w:val="00D85FB0"/>
    <w:rsid w:val="00D91881"/>
    <w:rsid w:val="00D91A21"/>
    <w:rsid w:val="00DA09E2"/>
    <w:rsid w:val="00DA0ED0"/>
    <w:rsid w:val="00DA1C92"/>
    <w:rsid w:val="00DA25D4"/>
    <w:rsid w:val="00DA3A6F"/>
    <w:rsid w:val="00DA3B3A"/>
    <w:rsid w:val="00DA4E67"/>
    <w:rsid w:val="00DA6538"/>
    <w:rsid w:val="00DB5927"/>
    <w:rsid w:val="00DB78AF"/>
    <w:rsid w:val="00DC01EE"/>
    <w:rsid w:val="00DC0C4C"/>
    <w:rsid w:val="00DC1957"/>
    <w:rsid w:val="00DC48E8"/>
    <w:rsid w:val="00DC56F2"/>
    <w:rsid w:val="00DD1061"/>
    <w:rsid w:val="00DD17D9"/>
    <w:rsid w:val="00DD23B3"/>
    <w:rsid w:val="00DD4ECC"/>
    <w:rsid w:val="00DD57CA"/>
    <w:rsid w:val="00DD7033"/>
    <w:rsid w:val="00DE37A9"/>
    <w:rsid w:val="00DF1B44"/>
    <w:rsid w:val="00E00537"/>
    <w:rsid w:val="00E01ED8"/>
    <w:rsid w:val="00E037AA"/>
    <w:rsid w:val="00E03EAE"/>
    <w:rsid w:val="00E050B4"/>
    <w:rsid w:val="00E12E82"/>
    <w:rsid w:val="00E15E75"/>
    <w:rsid w:val="00E2432B"/>
    <w:rsid w:val="00E328E2"/>
    <w:rsid w:val="00E401DB"/>
    <w:rsid w:val="00E52103"/>
    <w:rsid w:val="00E5262C"/>
    <w:rsid w:val="00E57D52"/>
    <w:rsid w:val="00E57DB8"/>
    <w:rsid w:val="00E616A2"/>
    <w:rsid w:val="00E634ED"/>
    <w:rsid w:val="00E64B99"/>
    <w:rsid w:val="00E755CB"/>
    <w:rsid w:val="00E912A7"/>
    <w:rsid w:val="00EA02A7"/>
    <w:rsid w:val="00EA0758"/>
    <w:rsid w:val="00EA4E05"/>
    <w:rsid w:val="00EB2DC3"/>
    <w:rsid w:val="00EC197D"/>
    <w:rsid w:val="00EC28CE"/>
    <w:rsid w:val="00EC33C1"/>
    <w:rsid w:val="00EC3512"/>
    <w:rsid w:val="00EC5BC1"/>
    <w:rsid w:val="00EC70B2"/>
    <w:rsid w:val="00EC7DC4"/>
    <w:rsid w:val="00ED162C"/>
    <w:rsid w:val="00ED2832"/>
    <w:rsid w:val="00ED30CF"/>
    <w:rsid w:val="00ED3558"/>
    <w:rsid w:val="00ED64DF"/>
    <w:rsid w:val="00ED65EC"/>
    <w:rsid w:val="00EE1446"/>
    <w:rsid w:val="00EE15FC"/>
    <w:rsid w:val="00EE40EC"/>
    <w:rsid w:val="00EE665F"/>
    <w:rsid w:val="00F011A4"/>
    <w:rsid w:val="00F12CBF"/>
    <w:rsid w:val="00F176EF"/>
    <w:rsid w:val="00F25181"/>
    <w:rsid w:val="00F26F5D"/>
    <w:rsid w:val="00F30A54"/>
    <w:rsid w:val="00F32EEC"/>
    <w:rsid w:val="00F35A86"/>
    <w:rsid w:val="00F409BF"/>
    <w:rsid w:val="00F4242E"/>
    <w:rsid w:val="00F42C75"/>
    <w:rsid w:val="00F45E10"/>
    <w:rsid w:val="00F4622F"/>
    <w:rsid w:val="00F518EA"/>
    <w:rsid w:val="00F563A7"/>
    <w:rsid w:val="00F575DA"/>
    <w:rsid w:val="00F60842"/>
    <w:rsid w:val="00F61893"/>
    <w:rsid w:val="00F633C8"/>
    <w:rsid w:val="00F6364A"/>
    <w:rsid w:val="00F64A78"/>
    <w:rsid w:val="00F708AD"/>
    <w:rsid w:val="00F75A13"/>
    <w:rsid w:val="00F91031"/>
    <w:rsid w:val="00F9113A"/>
    <w:rsid w:val="00F9240B"/>
    <w:rsid w:val="00FA6209"/>
    <w:rsid w:val="00FB2734"/>
    <w:rsid w:val="00FB3C0F"/>
    <w:rsid w:val="00FB45A4"/>
    <w:rsid w:val="00FC04D6"/>
    <w:rsid w:val="00FC0F3C"/>
    <w:rsid w:val="00FC1671"/>
    <w:rsid w:val="00FC29CB"/>
    <w:rsid w:val="00FC57E4"/>
    <w:rsid w:val="00FC6016"/>
    <w:rsid w:val="00FC7B90"/>
    <w:rsid w:val="00FD2A00"/>
    <w:rsid w:val="00FD5870"/>
    <w:rsid w:val="00FE0847"/>
    <w:rsid w:val="00FE2546"/>
    <w:rsid w:val="00FE2A88"/>
    <w:rsid w:val="00FE6ED8"/>
    <w:rsid w:val="00FF0330"/>
    <w:rsid w:val="00FF296C"/>
    <w:rsid w:val="00FF37F5"/>
    <w:rsid w:val="00FF53A6"/>
    <w:rsid w:val="00FF6867"/>
    <w:rsid w:val="00FF6AB5"/>
    <w:rsid w:val="00FF7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D045E"/>
  <w15:chartTrackingRefBased/>
  <w15:docId w15:val="{A2147F61-1387-4EE6-B546-BC0DBA613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A4D8F"/>
    <w:rPr>
      <w:rFonts w:ascii="Arial" w:hAnsi="Arial" w:cs="Arial"/>
    </w:rPr>
  </w:style>
  <w:style w:type="paragraph" w:styleId="Heading1">
    <w:name w:val="heading 1"/>
    <w:aliases w:val="Pocket"/>
    <w:basedOn w:val="Normal"/>
    <w:next w:val="Normal"/>
    <w:link w:val="Heading1Char"/>
    <w:qFormat/>
    <w:rsid w:val="008A4D8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A4D8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 Char,Heading 3 Char1 Char Char,no"/>
    <w:basedOn w:val="Normal"/>
    <w:next w:val="Normal"/>
    <w:link w:val="Heading3Char"/>
    <w:uiPriority w:val="2"/>
    <w:unhideWhenUsed/>
    <w:qFormat/>
    <w:rsid w:val="008A4D8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ta,T,Ta,t,CD - Cite,small space,Heading 21,No Spacing1121,Tag1,No Spacing11111,tags"/>
    <w:basedOn w:val="Normal"/>
    <w:next w:val="Normal"/>
    <w:link w:val="Heading4Char"/>
    <w:uiPriority w:val="3"/>
    <w:unhideWhenUsed/>
    <w:qFormat/>
    <w:rsid w:val="008A4D8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A4D8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4D8F"/>
  </w:style>
  <w:style w:type="character" w:customStyle="1" w:styleId="Heading1Char">
    <w:name w:val="Heading 1 Char"/>
    <w:aliases w:val="Pocket Char"/>
    <w:basedOn w:val="DefaultParagraphFont"/>
    <w:link w:val="Heading1"/>
    <w:rsid w:val="008A4D8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8A4D8F"/>
    <w:rPr>
      <w:rFonts w:ascii="Arial" w:eastAsiaTheme="majorEastAsia" w:hAnsi="Arial"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o Char"/>
    <w:basedOn w:val="DefaultParagraphFont"/>
    <w:link w:val="Heading3"/>
    <w:uiPriority w:val="2"/>
    <w:rsid w:val="008A4D8F"/>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8A4D8F"/>
    <w:rPr>
      <w:rFonts w:ascii="Arial" w:eastAsiaTheme="majorEastAsia" w:hAnsi="Arial" w:cstheme="majorBidi"/>
      <w:b/>
      <w:iCs/>
      <w:sz w:val="26"/>
    </w:rPr>
  </w:style>
  <w:style w:type="character" w:styleId="Emphasis">
    <w:name w:val="Emphasis"/>
    <w:aliases w:val="Evidence,Minimized,minimized,Highlighted,tag2,Size 10,emphasis in card,CD Card,ED - Tag,emphasis,Emphasis!!,Bold Underline,small,Qualifications,bold underline,normal card text,Shrunk,qualifications in card,qualifications,Box,Style1,smal,Text 8"/>
    <w:basedOn w:val="DefaultParagraphFont"/>
    <w:link w:val="textbold"/>
    <w:uiPriority w:val="7"/>
    <w:qFormat/>
    <w:rsid w:val="008A4D8F"/>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A4D8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B,Bold Cite Char,Underline Char,8."/>
    <w:basedOn w:val="DefaultParagraphFont"/>
    <w:uiPriority w:val="6"/>
    <w:qFormat/>
    <w:rsid w:val="008A4D8F"/>
    <w:rPr>
      <w:b/>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ard Cha,Tags v 2 Char1,Pocket Char1,F2 - Heading 1 Char1"/>
    <w:basedOn w:val="DefaultParagraphFont"/>
    <w:uiPriority w:val="99"/>
    <w:unhideWhenUsed/>
    <w:rsid w:val="008A4D8F"/>
    <w:rPr>
      <w:color w:val="auto"/>
      <w:u w:val="none"/>
    </w:rPr>
  </w:style>
  <w:style w:type="character" w:styleId="FollowedHyperlink">
    <w:name w:val="FollowedHyperlink"/>
    <w:basedOn w:val="DefaultParagraphFont"/>
    <w:uiPriority w:val="99"/>
    <w:semiHidden/>
    <w:unhideWhenUsed/>
    <w:rsid w:val="008A4D8F"/>
    <w:rPr>
      <w:color w:val="auto"/>
      <w:u w:val="none"/>
    </w:rPr>
  </w:style>
  <w:style w:type="character" w:styleId="UnresolvedMention">
    <w:name w:val="Unresolved Mention"/>
    <w:basedOn w:val="DefaultParagraphFont"/>
    <w:uiPriority w:val="99"/>
    <w:semiHidden/>
    <w:unhideWhenUsed/>
    <w:rsid w:val="00C671AA"/>
    <w:rPr>
      <w:color w:val="605E5C"/>
      <w:shd w:val="clear" w:color="auto" w:fill="E1DFDD"/>
    </w:rPr>
  </w:style>
  <w:style w:type="paragraph" w:customStyle="1" w:styleId="textbold">
    <w:name w:val="text bold"/>
    <w:basedOn w:val="Normal"/>
    <w:link w:val="Emphasis"/>
    <w:uiPriority w:val="7"/>
    <w:qFormat/>
    <w:rsid w:val="00DC48E8"/>
    <w:pPr>
      <w:ind w:left="720"/>
      <w:jc w:val="both"/>
    </w:pPr>
    <w:rPr>
      <w:b/>
      <w:iCs/>
      <w:u w:val="single"/>
      <w:bdr w:val="single" w:sz="12" w:space="0" w:color="auto"/>
    </w:rPr>
  </w:style>
  <w:style w:type="paragraph" w:customStyle="1" w:styleId="Emphasis1">
    <w:name w:val="Emphasis1"/>
    <w:basedOn w:val="Normal"/>
    <w:autoRedefine/>
    <w:uiPriority w:val="7"/>
    <w:qFormat/>
    <w:rsid w:val="00563221"/>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12" w:space="0" w:color="auto"/>
    </w:rPr>
  </w:style>
  <w:style w:type="paragraph" w:styleId="ListParagraph">
    <w:name w:val="List Paragraph"/>
    <w:basedOn w:val="Normal"/>
    <w:uiPriority w:val="99"/>
    <w:unhideWhenUsed/>
    <w:qFormat/>
    <w:rsid w:val="0086151B"/>
    <w:pPr>
      <w:ind w:left="720"/>
      <w:contextualSpacing/>
    </w:pPr>
  </w:style>
  <w:style w:type="paragraph" w:customStyle="1" w:styleId="card">
    <w:name w:val="card"/>
    <w:aliases w:val="Medium Grid 21,Card,Note Level 2,Tags,No Spacing31,No Spacing22,No Spacing3,Dont use,No Spacing41,No Spacing111112"/>
    <w:basedOn w:val="Normal"/>
    <w:next w:val="Normal"/>
    <w:uiPriority w:val="99"/>
    <w:qFormat/>
    <w:rsid w:val="003F3FB3"/>
    <w:pPr>
      <w:ind w:left="288" w:right="288"/>
    </w:pPr>
    <w:rPr>
      <w:rFonts w:asciiTheme="minorHAnsi" w:hAnsiTheme="minorHAnsi" w:cstheme="minorBidi"/>
      <w:b/>
      <w:u w:val="single"/>
    </w:rPr>
  </w:style>
  <w:style w:type="character" w:customStyle="1" w:styleId="underline">
    <w:name w:val="underline"/>
    <w:qFormat/>
    <w:rsid w:val="003F3FB3"/>
    <w:rPr>
      <w:u w:val="single"/>
    </w:rPr>
  </w:style>
  <w:style w:type="paragraph" w:customStyle="1" w:styleId="Emphasize">
    <w:name w:val="Emphasize"/>
    <w:basedOn w:val="Normal"/>
    <w:uiPriority w:val="7"/>
    <w:qFormat/>
    <w:rsid w:val="00FE6ED8"/>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EastAsia"/>
      <w:b/>
      <w:iCs/>
      <w:szCs w:val="24"/>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dvance.lexis.com/api/document?collection=analytical-materials&amp;id=urn:contentItem:40DV-WM60-00CV-V0X1-00000-00&amp;context=" TargetMode="External"/><Relationship Id="rId117" Type="http://schemas.openxmlformats.org/officeDocument/2006/relationships/header" Target="header4.xml"/><Relationship Id="rId21" Type="http://schemas.openxmlformats.org/officeDocument/2006/relationships/hyperlink" Target="https://www.ncjrs.gov/pdffiles1/nij/grants/247569.pdf" TargetMode="External"/><Relationship Id="rId42" Type="http://schemas.openxmlformats.org/officeDocument/2006/relationships/hyperlink" Target="https://advance.lexis.com/api/document?collection=analytical-materials&amp;id=urn:contentItem:4H1C-G8P0-00CV-B0DF-00000-00&amp;context=" TargetMode="External"/><Relationship Id="rId47" Type="http://schemas.openxmlformats.org/officeDocument/2006/relationships/hyperlink" Target="https://www.ncbi.nlm.nih.gov/pmc/articles/PMC5763494/" TargetMode="External"/><Relationship Id="rId63" Type="http://schemas.openxmlformats.org/officeDocument/2006/relationships/hyperlink" Target="https://sites.lsa.umich.edu/dbeim/wp-content/uploads/sites/739/2019/08/Legal-Uniformity-1o1gyn6.pdf" TargetMode="External"/><Relationship Id="rId68" Type="http://schemas.openxmlformats.org/officeDocument/2006/relationships/hyperlink" Target="http://georgemasonlawreview.org/wp-content/uploads/2019/09/6.-MacDowell_Final.pdf" TargetMode="External"/><Relationship Id="rId84" Type="http://schemas.openxmlformats.org/officeDocument/2006/relationships/hyperlink" Target="https://scholarship.law.nd.edu/cgi/viewcontent.cgi?article=4627&amp;context=ndlr" TargetMode="External"/><Relationship Id="rId89" Type="http://schemas.openxmlformats.org/officeDocument/2006/relationships/hyperlink" Target="https://scholarship.law.nd.edu/cgi/viewcontent.cgi?article=4627&amp;context=ndlr" TargetMode="External"/><Relationship Id="rId112" Type="http://schemas.openxmlformats.org/officeDocument/2006/relationships/hyperlink" Target="https://ylpr.yale.edu/inter_alia/effectiveness-certificates-relief-collateral-consequence-relief-mechanisms-experimental" TargetMode="External"/><Relationship Id="rId16" Type="http://schemas.openxmlformats.org/officeDocument/2006/relationships/hyperlink" Target="https://www.rollcall.com/2019/08/22/criminal-justice-reform-had-a-bipartisan-minute-then-2020-reared-its-head/" TargetMode="External"/><Relationship Id="rId107" Type="http://schemas.openxmlformats.org/officeDocument/2006/relationships/hyperlink" Target="https://advance.lexis.com/api/document?collection=analytical-materials&amp;id=urn:contentItem:4H1C-G8P0-00CV-B0DF-00000-00&amp;context=" TargetMode="External"/><Relationship Id="rId11" Type="http://schemas.openxmlformats.org/officeDocument/2006/relationships/hyperlink" Target="https://www.americanprogress.org/issues/criminal-justice/news/2020/06/25/486857/advancing-clean-slate-need-automatic-record-clearance-coronavirus-pandemic/" TargetMode="External"/><Relationship Id="rId32" Type="http://schemas.openxmlformats.org/officeDocument/2006/relationships/hyperlink" Target="https://advance.lexis.com/api/document?collection=analytical-materials&amp;id=urn:contentItem:40DV-WM60-00CV-V0X1-00000-00&amp;context=" TargetMode="External"/><Relationship Id="rId37" Type="http://schemas.openxmlformats.org/officeDocument/2006/relationships/hyperlink" Target="https://advance.lexis.com/api/document?collection=analytical-materials&amp;id=urn:contentItem:4H1C-G8P0-00CV-B0DF-00000-00&amp;context=" TargetMode="External"/><Relationship Id="rId53" Type="http://schemas.openxmlformats.org/officeDocument/2006/relationships/hyperlink" Target="https://scholarship.law.nd.edu/cgi/viewcontent.cgi?article=4627&amp;context=ndlr" TargetMode="External"/><Relationship Id="rId58" Type="http://schemas.openxmlformats.org/officeDocument/2006/relationships/hyperlink" Target="http://georgemasonlawreview.org/wp-content/uploads/2019/09/6.-MacDowell_Final.pdf" TargetMode="External"/><Relationship Id="rId74" Type="http://schemas.openxmlformats.org/officeDocument/2006/relationships/hyperlink" Target="https://www.ncbi.nlm.nih.gov/pmc/articles/PMC3673242/" TargetMode="External"/><Relationship Id="rId79" Type="http://schemas.openxmlformats.org/officeDocument/2006/relationships/hyperlink" Target="http://www.minnesotalawreview.org/wp-content/uploads/2012/01/Roberts_mlr.pdf" TargetMode="External"/><Relationship Id="rId102" Type="http://schemas.openxmlformats.org/officeDocument/2006/relationships/header" Target="header2.xm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scholarship.law.uc.edu/cgi/viewcontent.cgi?article=1046&amp;context=uclr" TargetMode="External"/><Relationship Id="rId95" Type="http://schemas.openxmlformats.org/officeDocument/2006/relationships/hyperlink" Target="https://ylpr.yale.edu/inter_alia/effectiveness-certificates-relief-collateral-consequence-relief-mechanisms-experimental" TargetMode="External"/><Relationship Id="rId22" Type="http://schemas.openxmlformats.org/officeDocument/2006/relationships/hyperlink" Target="https://advance.lexis.com/api/document?collection=analytical-materials&amp;id=urn:contentItem:40DV-WM60-00CV-V0X1-00000-00&amp;context=" TargetMode="External"/><Relationship Id="rId27" Type="http://schemas.openxmlformats.org/officeDocument/2006/relationships/hyperlink" Target="https://advance.lexis.com/api/document?collection=analytical-materials&amp;id=urn:contentItem:40DV-WM60-00CV-V0X1-00000-00&amp;context=" TargetMode="External"/><Relationship Id="rId43" Type="http://schemas.openxmlformats.org/officeDocument/2006/relationships/hyperlink" Target="https://advance.lexis.com/api/document?collection=statutes-legislation&amp;id=urn:contentItem:8SDD-0C82-8T6X-73JR-00000-00&amp;context=" TargetMode="External"/><Relationship Id="rId48" Type="http://schemas.openxmlformats.org/officeDocument/2006/relationships/hyperlink" Target="https://www.ncbi.nlm.nih.gov/pmc/articles/PMC5763494/" TargetMode="External"/><Relationship Id="rId64" Type="http://schemas.openxmlformats.org/officeDocument/2006/relationships/hyperlink" Target="https://scholars.law.unlv.edu/cgi/viewcontent.cgi?referer=&amp;httpsredir=1&amp;article=1521&amp;context=nlj" TargetMode="External"/><Relationship Id="rId69" Type="http://schemas.openxmlformats.org/officeDocument/2006/relationships/hyperlink" Target="http://georgemasonlawreview.org/wp-content/uploads/2019/09/6.-MacDowell_Final.pdf" TargetMode="External"/><Relationship Id="rId113" Type="http://schemas.openxmlformats.org/officeDocument/2006/relationships/hyperlink" Target="https://silo.tips/download/administering-justice-removing-statutory-barriers-to-reentry" TargetMode="External"/><Relationship Id="rId118" Type="http://schemas.openxmlformats.org/officeDocument/2006/relationships/header" Target="header5.xml"/><Relationship Id="rId80" Type="http://schemas.openxmlformats.org/officeDocument/2006/relationships/hyperlink" Target="https://law.unlv.edu/sites/default/files/PublicInterestFilmFestival2012_CollateralConsequencesofConvictionModelBill.pdf" TargetMode="External"/><Relationship Id="rId85" Type="http://schemas.openxmlformats.org/officeDocument/2006/relationships/hyperlink" Target="https://www.americanprogress.org/issues/criminal-justice/news/2020/06/25/486857/advancing-clean-slate-need-automatic-record-clearance-coronavirus-pandemic/" TargetMode="External"/><Relationship Id="rId12" Type="http://schemas.openxmlformats.org/officeDocument/2006/relationships/hyperlink" Target="http://scholarship.law.wm.edu/cgi/viewcontent.cgi?article=2926&amp;context=facpubs" TargetMode="External"/><Relationship Id="rId17" Type="http://schemas.openxmlformats.org/officeDocument/2006/relationships/hyperlink" Target="http://bostonreview.net/class-inequality/scott-w-stern-covid-19-and-welfare-queens" TargetMode="External"/><Relationship Id="rId33" Type="http://schemas.openxmlformats.org/officeDocument/2006/relationships/hyperlink" Target="https://advance.lexis.com/api/document?collection=analytical-materials&amp;id=urn:contentItem:40DV-WM60-00CV-V0X1-00000-00&amp;context=" TargetMode="External"/><Relationship Id="rId38" Type="http://schemas.openxmlformats.org/officeDocument/2006/relationships/hyperlink" Target="https://advance.lexis.com/api/document?collection=analytical-materials&amp;id=urn:contentItem:4H1C-G8P0-00CV-B0DF-00000-00&amp;context=" TargetMode="External"/><Relationship Id="rId59" Type="http://schemas.openxmlformats.org/officeDocument/2006/relationships/hyperlink" Target="https://www.law.com/nationallawjournal/2020/01/13/circuits-split-and-judges-squabble-as-courts-confront-national-injunctions/?slreturn=20200520152738" TargetMode="External"/><Relationship Id="rId103" Type="http://schemas.openxmlformats.org/officeDocument/2006/relationships/footer" Target="footer1.xml"/><Relationship Id="rId108" Type="http://schemas.openxmlformats.org/officeDocument/2006/relationships/hyperlink" Target="https://scholarship.law.uc.edu/cgi/viewcontent.cgi?article=1046&amp;context=uclr" TargetMode="External"/><Relationship Id="rId124" Type="http://schemas.openxmlformats.org/officeDocument/2006/relationships/theme" Target="theme/theme1.xml"/><Relationship Id="rId54" Type="http://schemas.openxmlformats.org/officeDocument/2006/relationships/hyperlink" Target="https://scholarship.law.nd.edu/cgi/viewcontent.cgi?article=4627&amp;context=ndlr" TargetMode="External"/><Relationship Id="rId70" Type="http://schemas.openxmlformats.org/officeDocument/2006/relationships/hyperlink" Target="http://georgemasonlawreview.org/wp-content/uploads/2019/09/6.-MacDowell_Final.pdf" TargetMode="External"/><Relationship Id="rId75" Type="http://schemas.openxmlformats.org/officeDocument/2006/relationships/hyperlink" Target="https://www.vox.com/policy-and-politics/2019/5/13/18535423/prisoner-felon-voting-rights-bernie-sanders-2020" TargetMode="External"/><Relationship Id="rId91" Type="http://schemas.openxmlformats.org/officeDocument/2006/relationships/hyperlink" Target="https://scholarship.law.uc.edu/cgi/viewcontent.cgi?article=1046&amp;context=uclr" TargetMode="External"/><Relationship Id="rId96" Type="http://schemas.openxmlformats.org/officeDocument/2006/relationships/hyperlink" Target="https://advance.lexis.com/api/document?collection=analytical-materials&amp;id=urn:contentItem:40DV-WM60-00CV-V0X1-00000-00&amp;contex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advance.lexis.com/api/document?collection=analytical-materials&amp;id=urn:contentItem:40DV-WM60-00CV-V0X1-00000-00&amp;context=" TargetMode="External"/><Relationship Id="rId28" Type="http://schemas.openxmlformats.org/officeDocument/2006/relationships/hyperlink" Target="https://advance.lexis.com/api/document?collection=analytical-materials&amp;id=urn:contentItem:40DV-WM60-00CV-V0X1-00000-00&amp;context=" TargetMode="External"/><Relationship Id="rId49" Type="http://schemas.openxmlformats.org/officeDocument/2006/relationships/hyperlink" Target="https://www.ncbi.nlm.nih.gov/pmc/articles/PMC5763494/" TargetMode="External"/><Relationship Id="rId114" Type="http://schemas.openxmlformats.org/officeDocument/2006/relationships/hyperlink" Target="https://silo.tips/download/administering-justice-removing-statutory-barriers-to-reentry" TargetMode="External"/><Relationship Id="rId119" Type="http://schemas.openxmlformats.org/officeDocument/2006/relationships/footer" Target="footer4.xml"/><Relationship Id="rId44" Type="http://schemas.openxmlformats.org/officeDocument/2006/relationships/hyperlink" Target="https://advance.lexis.com/api/document?collection=statutes-legislation&amp;id=urn:contentItem:8SDD-0C82-8T6X-73JR-00000-00&amp;context=" TargetMode="External"/><Relationship Id="rId60" Type="http://schemas.openxmlformats.org/officeDocument/2006/relationships/hyperlink" Target="http://www.minnesotalawreview.org/wp-content/uploads/2012/01/Roberts_mlr.pdf" TargetMode="External"/><Relationship Id="rId65" Type="http://schemas.openxmlformats.org/officeDocument/2006/relationships/hyperlink" Target="https://fedsoc.org/commentary/publications/the-circuit-splits-are-out-there-and-the-court-should-resolve-them" TargetMode="External"/><Relationship Id="rId81" Type="http://schemas.openxmlformats.org/officeDocument/2006/relationships/hyperlink" Target="https://scholarship.law.uc.edu/cgi/viewcontent.cgi?article=1046&amp;context=uclr" TargetMode="External"/><Relationship Id="rId86" Type="http://schemas.openxmlformats.org/officeDocument/2006/relationships/hyperlink" Target="http://georgemasonlawreview.org/wp-content/uploads/2019/09/6.-MacDowell_Final.pdf" TargetMode="External"/><Relationship Id="rId4" Type="http://schemas.openxmlformats.org/officeDocument/2006/relationships/settings" Target="settings.xml"/><Relationship Id="rId9" Type="http://schemas.openxmlformats.org/officeDocument/2006/relationships/hyperlink" Target="https://fas.org/sgp/crs/misc/collateral.pdf" TargetMode="External"/><Relationship Id="rId13" Type="http://schemas.openxmlformats.org/officeDocument/2006/relationships/hyperlink" Target="https://www.americanbar.org/groups/gpsolo/publications/gp_solo/2011/march/status_as_punishment_padilla_kentucky/" TargetMode="External"/><Relationship Id="rId18" Type="http://schemas.openxmlformats.org/officeDocument/2006/relationships/hyperlink" Target="https://www.vera.org/downloads/Publications/relief-in-sight-states-rethink-the-collateral-consequences-of-criminal-conviction-2009-2014/legacy_downloads/states-rethink-collateral-consequences-report-v4.pdf" TargetMode="External"/><Relationship Id="rId39" Type="http://schemas.openxmlformats.org/officeDocument/2006/relationships/hyperlink" Target="https://advance.lexis.com/api/document?collection=statutes-legislation&amp;id=urn:contentItem:8T9R-T352-D6RV-H379-00000-00&amp;context=" TargetMode="External"/><Relationship Id="rId109" Type="http://schemas.openxmlformats.org/officeDocument/2006/relationships/hyperlink" Target="http://georgemasonlawreview.org/wp-content/uploads/2019/09/6.-MacDowell_Final.pdf" TargetMode="External"/><Relationship Id="rId34" Type="http://schemas.openxmlformats.org/officeDocument/2006/relationships/hyperlink" Target="https://advance.lexis.com/api/document?collection=analytical-materials&amp;id=urn:contentItem:40DV-WM60-00CV-V0X1-00000-00&amp;context=" TargetMode="External"/><Relationship Id="rId50" Type="http://schemas.openxmlformats.org/officeDocument/2006/relationships/hyperlink" Target="https://www.piac.asn.au/wp-content/uploads/Rough_Living_0.pdf" TargetMode="External"/><Relationship Id="rId55" Type="http://schemas.openxmlformats.org/officeDocument/2006/relationships/hyperlink" Target="https://scholarship.law.nd.edu/cgi/viewcontent.cgi?article=4627&amp;context=ndlr" TargetMode="External"/><Relationship Id="rId76" Type="http://schemas.openxmlformats.org/officeDocument/2006/relationships/hyperlink" Target="https://www.cbpp.org/blog/helping-ex-offenders-get-housing-and-health-care" TargetMode="External"/><Relationship Id="rId97" Type="http://schemas.openxmlformats.org/officeDocument/2006/relationships/hyperlink" Target="https://advance.lexis.com/api/document?collection=analytical-materials&amp;id=urn:contentItem:40DV-WM60-00CV-V0X1-00000-00&amp;context=" TargetMode="External"/><Relationship Id="rId104" Type="http://schemas.openxmlformats.org/officeDocument/2006/relationships/footer" Target="footer2.xml"/><Relationship Id="rId120"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hyperlink" Target="https://scholarlycommons.law.northwestern.edu/cgi/viewcontent.cgi?article=1141&amp;context=nulr" TargetMode="External"/><Relationship Id="rId92" Type="http://schemas.openxmlformats.org/officeDocument/2006/relationships/hyperlink" Target="https://ylpr.yale.edu/inter_alia/effectiveness-certificates-relief-collateral-consequence-relief-mechanisms-experimental" TargetMode="External"/><Relationship Id="rId2" Type="http://schemas.openxmlformats.org/officeDocument/2006/relationships/numbering" Target="numbering.xml"/><Relationship Id="rId29" Type="http://schemas.openxmlformats.org/officeDocument/2006/relationships/hyperlink" Target="https://advance.lexis.com/api/document?collection=analytical-materials&amp;id=urn:contentItem:40DV-WM60-00CV-V0X1-00000-00&amp;context=" TargetMode="External"/><Relationship Id="rId24" Type="http://schemas.openxmlformats.org/officeDocument/2006/relationships/hyperlink" Target="https://advance.lexis.com/api/document?collection=analytical-materials&amp;id=urn:contentItem:40DV-WM60-00CV-V0X1-00000-00&amp;context=" TargetMode="External"/><Relationship Id="rId40" Type="http://schemas.openxmlformats.org/officeDocument/2006/relationships/hyperlink" Target="http://cardozolawreview.com/criminal-employment-law-criminal-records/" TargetMode="External"/><Relationship Id="rId45" Type="http://schemas.openxmlformats.org/officeDocument/2006/relationships/hyperlink" Target="https://advance.lexis.com/api/document?collection=statutes-legislation&amp;id=urn:contentItem:8SDD-0C82-8T6X-73JR-00000-00&amp;context=" TargetMode="External"/><Relationship Id="rId66" Type="http://schemas.openxmlformats.org/officeDocument/2006/relationships/hyperlink" Target="http://lawreview.richmond.edu/files/2015/08/Murray-494.pdf" TargetMode="External"/><Relationship Id="rId87" Type="http://schemas.openxmlformats.org/officeDocument/2006/relationships/hyperlink" Target="http://georgemasonlawreview.org/wp-content/uploads/2019/09/6.-MacDowell_Final.pdf" TargetMode="External"/><Relationship Id="rId110" Type="http://schemas.openxmlformats.org/officeDocument/2006/relationships/hyperlink" Target="https://www.nacdl.org/getattachment/0af8731a-06f9-4956-832c-4586ae3747b6/collateral-consequences-singleton-david.pdf" TargetMode="External"/><Relationship Id="rId115" Type="http://schemas.openxmlformats.org/officeDocument/2006/relationships/hyperlink" Target="https://silo.tips/download/administering-justice-removing-statutory-barriers-to-reentry" TargetMode="External"/><Relationship Id="rId61" Type="http://schemas.openxmlformats.org/officeDocument/2006/relationships/hyperlink" Target="http://lawreview.richmond.edu/files/2015/08/Murray-494.pdf" TargetMode="External"/><Relationship Id="rId82" Type="http://schemas.openxmlformats.org/officeDocument/2006/relationships/hyperlink" Target="https://www-cdn.law.stanford.edu/wp-content/uploads/2015/09/SJCRCL_When-the-Fallout-of-a-Criminal-Conviction-Goes-too-Far-Challenging-Collateral-Consequences.pdf" TargetMode="External"/><Relationship Id="rId19" Type="http://schemas.openxmlformats.org/officeDocument/2006/relationships/hyperlink" Target="https://advance.lexis.com/api/document?collection=analytical-materials&amp;id=urn:contentItem:55XX-MMW0-02BN-105F-00000-00&amp;context=" TargetMode="External"/><Relationship Id="rId14" Type="http://schemas.openxmlformats.org/officeDocument/2006/relationships/hyperlink" Target="http://georgemasonlawreview.org/wp-content/uploads/2019/09/6.-MacDowell_Final.pdf" TargetMode="External"/><Relationship Id="rId30" Type="http://schemas.openxmlformats.org/officeDocument/2006/relationships/hyperlink" Target="https://advance.lexis.com/api/document?collection=analytical-materials&amp;id=urn:contentItem:40DV-WM60-00CV-V0X1-00000-00&amp;context=" TargetMode="External"/><Relationship Id="rId35" Type="http://schemas.openxmlformats.org/officeDocument/2006/relationships/hyperlink" Target="https://advance.lexis.com/api/document?collection=analytical-materials&amp;id=urn:contentItem:40DV-WM60-00CV-V0X1-00000-00&amp;context=" TargetMode="External"/><Relationship Id="rId56" Type="http://schemas.openxmlformats.org/officeDocument/2006/relationships/hyperlink" Target="http://georgemasonlawreview.org/wp-content/uploads/2019/09/6.-MacDowell_Final.pdf" TargetMode="External"/><Relationship Id="rId77" Type="http://schemas.openxmlformats.org/officeDocument/2006/relationships/hyperlink" Target="http://cardozolawreview.com/criminal-employment-law-criminal-records/" TargetMode="External"/><Relationship Id="rId100" Type="http://schemas.openxmlformats.org/officeDocument/2006/relationships/hyperlink" Target="https://advance.lexis.com/api/document?collection=analytical-materials&amp;id=urn:contentItem:40DV-WM60-00CV-V0X1-00000-00&amp;context=" TargetMode="External"/><Relationship Id="rId105" Type="http://schemas.openxmlformats.org/officeDocument/2006/relationships/header" Target="header3.xml"/><Relationship Id="rId8" Type="http://schemas.openxmlformats.org/officeDocument/2006/relationships/hyperlink" Target="https://poseidon01.ssrn.com/delivery.php?ID=149097083081121109113088111125125091104014059082060018071002088023117017118117004064117119051059021051011087108015112000095016020070011051015027000000075021111096010062078052086013096096123086022085094124067126097026125010118009006064116120125121094087&amp;EXT=pdf" TargetMode="External"/><Relationship Id="rId51" Type="http://schemas.openxmlformats.org/officeDocument/2006/relationships/hyperlink" Target="https://advance.lexis.com/api/document?collection=analytical-materials&amp;id=urn:contentItem:4H1C-G8P0-00CV-B0DF-00000-00&amp;context=" TargetMode="External"/><Relationship Id="rId72" Type="http://schemas.openxmlformats.org/officeDocument/2006/relationships/hyperlink" Target="https://scholarlycommons.law.northwestern.edu/cgi/viewcontent.cgi?article=1141&amp;context=nulr" TargetMode="External"/><Relationship Id="rId93" Type="http://schemas.openxmlformats.org/officeDocument/2006/relationships/hyperlink" Target="https://silo.tips/download/administering-justice-removing-statutory-barriers-to-reentry" TargetMode="External"/><Relationship Id="rId98" Type="http://schemas.openxmlformats.org/officeDocument/2006/relationships/hyperlink" Target="https://advance.lexis.com/api/document?collection=analytical-materials&amp;id=urn:contentItem:40DV-WM60-00CV-V0X1-00000-00&amp;context=" TargetMode="External"/><Relationship Id="rId121" Type="http://schemas.openxmlformats.org/officeDocument/2006/relationships/header" Target="header6.xml"/><Relationship Id="rId3" Type="http://schemas.openxmlformats.org/officeDocument/2006/relationships/styles" Target="styles.xml"/><Relationship Id="rId25" Type="http://schemas.openxmlformats.org/officeDocument/2006/relationships/hyperlink" Target="https://advance.lexis.com/api/document?collection=analytical-materials&amp;id=urn:contentItem:40DV-WM60-00CV-V0X1-00000-00&amp;context=" TargetMode="External"/><Relationship Id="rId46" Type="http://schemas.openxmlformats.org/officeDocument/2006/relationships/hyperlink" Target="http://georgemasonlawreview.org/wp-content/uploads/2019/09/6.-MacDowell_Final.pdf" TargetMode="External"/><Relationship Id="rId67" Type="http://schemas.openxmlformats.org/officeDocument/2006/relationships/hyperlink" Target="https://scholarship.law.slu.edu/cgi/viewcontent.cgi?article=1132&amp;context=plr" TargetMode="External"/><Relationship Id="rId116" Type="http://schemas.openxmlformats.org/officeDocument/2006/relationships/hyperlink" Target="https://www.bjcl.org/assets/files/24.2-Reznik.pdf" TargetMode="External"/><Relationship Id="rId20" Type="http://schemas.openxmlformats.org/officeDocument/2006/relationships/hyperlink" Target="http://www.safetyandjusticechallenge.org/wp-content/uploads/2015/05/incorporating-racial-equity-into-criminal-justice-reform.pdf" TargetMode="External"/><Relationship Id="rId41" Type="http://schemas.openxmlformats.org/officeDocument/2006/relationships/hyperlink" Target="https://www.sentencingproject.org/wp-content/uploads/2015/12/A-Lifetime-of-Punishment.pdf" TargetMode="External"/><Relationship Id="rId62" Type="http://schemas.openxmlformats.org/officeDocument/2006/relationships/hyperlink" Target="http://georgemasonlawreview.org/wp-content/uploads/2019/09/6.-MacDowell_Final.pdf" TargetMode="External"/><Relationship Id="rId83" Type="http://schemas.openxmlformats.org/officeDocument/2006/relationships/hyperlink" Target="https://www.congress.gov/congressional-record/2018/12/18/senate-section/article/S7753-1?q=%7B%22search%22%3A%5B%22Fraud%2C+Abuse%22%5D%7D" TargetMode="External"/><Relationship Id="rId88" Type="http://schemas.openxmlformats.org/officeDocument/2006/relationships/hyperlink" Target="http://georgemasonlawreview.org/wp-content/uploads/2019/09/6.-MacDowell_Final.pdf" TargetMode="External"/><Relationship Id="rId111" Type="http://schemas.openxmlformats.org/officeDocument/2006/relationships/hyperlink" Target="https://ylpr.yale.edu/inter_alia/effectiveness-certificates-relief-collateral-consequence-relief-mechanisms-experimental" TargetMode="External"/><Relationship Id="rId15" Type="http://schemas.openxmlformats.org/officeDocument/2006/relationships/hyperlink" Target="http://www.safetyandjusticechallenge.org/wp-content/uploads/2015/05/incorporating-racial-equity-into-criminal-justice-reform.pdf" TargetMode="External"/><Relationship Id="rId36" Type="http://schemas.openxmlformats.org/officeDocument/2006/relationships/hyperlink" Target="https://advance.lexis.com/api/document?collection=analytical-materials&amp;id=urn:contentItem:40DV-WM60-00CV-V0X1-00000-00&amp;context=" TargetMode="External"/><Relationship Id="rId57" Type="http://schemas.openxmlformats.org/officeDocument/2006/relationships/hyperlink" Target="https://fas.org/sgp/crs/misc/collateral.pdf" TargetMode="External"/><Relationship Id="rId106" Type="http://schemas.openxmlformats.org/officeDocument/2006/relationships/footer" Target="footer3.xml"/><Relationship Id="rId10" Type="http://schemas.openxmlformats.org/officeDocument/2006/relationships/hyperlink" Target="https://advance.lexis.com/api/document?collection=analytical-materials&amp;id=urn:contentItem:50BB-T720-02BN-10CC-00000-00&amp;context=" TargetMode="External"/><Relationship Id="rId31" Type="http://schemas.openxmlformats.org/officeDocument/2006/relationships/hyperlink" Target="https://advance.lexis.com/api/document?collection=analytical-materials&amp;id=urn:contentItem:40DV-WM60-00CV-V0X1-00000-00&amp;context=" TargetMode="External"/><Relationship Id="rId52" Type="http://schemas.openxmlformats.org/officeDocument/2006/relationships/hyperlink" Target="https://www.ncbi.nlm.nih.gov/pmc/articles/PMC1449423/" TargetMode="External"/><Relationship Id="rId73" Type="http://schemas.openxmlformats.org/officeDocument/2006/relationships/hyperlink" Target="https://www.vox.com/policy-and-politics/2019/5/13/18535423/prisoner-felon-voting-rights-bernie-sanders-2020" TargetMode="External"/><Relationship Id="rId78" Type="http://schemas.openxmlformats.org/officeDocument/2006/relationships/hyperlink" Target="https://scholarlycommons.law.northwestern.edu/cgi/viewcontent.cgi?article=1141&amp;context=nulr" TargetMode="External"/><Relationship Id="rId94" Type="http://schemas.openxmlformats.org/officeDocument/2006/relationships/hyperlink" Target="https://scholarship.law.uc.edu/cgi/viewcontent.cgi?article=1046&amp;context=uclr" TargetMode="External"/><Relationship Id="rId99" Type="http://schemas.openxmlformats.org/officeDocument/2006/relationships/hyperlink" Target="https://advance.lexis.com/api/document?collection=analytical-materials&amp;id=urn:contentItem:40DV-WM60-00CV-V0X1-00000-00&amp;context=" TargetMode="External"/><Relationship Id="rId101" Type="http://schemas.openxmlformats.org/officeDocument/2006/relationships/header" Target="header1.xml"/><Relationship Id="rId122" Type="http://schemas.openxmlformats.org/officeDocument/2006/relationships/footer" Target="footer6.xml"/></Relationships>
</file>

<file path=word/_rels/footnotes.xml.rels><?xml version="1.0" encoding="UTF-8" standalone="yes"?>
<Relationships xmlns="http://schemas.openxmlformats.org/package/2006/relationships"><Relationship Id="rId117" Type="http://schemas.openxmlformats.org/officeDocument/2006/relationships/hyperlink" Target="https://advance.lexis.com/api/document?collection=analytical-materials&amp;id=urn:contentItem:3S0M-8800-00CW-714T-00000-00&amp;context=" TargetMode="External"/><Relationship Id="rId299" Type="http://schemas.openxmlformats.org/officeDocument/2006/relationships/hyperlink" Target="https://advance.lexis.com/api/document?collection=cases&amp;id=urn:contentItem:3S4X-48N0-003B-72DR-00000-00&amp;context=" TargetMode="External"/><Relationship Id="rId21" Type="http://schemas.openxmlformats.org/officeDocument/2006/relationships/hyperlink" Target="https://advance.lexis.com/api/document?collection=cases&amp;id=urn:contentItem:3S4X-JXX0-003B-S33P-00000-00&amp;context=" TargetMode="External"/><Relationship Id="rId63" Type="http://schemas.openxmlformats.org/officeDocument/2006/relationships/hyperlink" Target="https://advance.lexis.com/api/document?collection=cases&amp;id=urn:contentItem:3TGV-N240-002K-6004-00000-00&amp;context=" TargetMode="External"/><Relationship Id="rId159" Type="http://schemas.openxmlformats.org/officeDocument/2006/relationships/hyperlink" Target="https://advance.lexis.com/api/document?collection=statutes-legislation&amp;id=urn:contentItem:8SDD-0C82-8T6X-73JR-00000-00&amp;context=" TargetMode="External"/><Relationship Id="rId324" Type="http://schemas.openxmlformats.org/officeDocument/2006/relationships/hyperlink" Target="https://advance.lexis.com/api/document?collection=cases&amp;id=urn:contentItem:3S4X-9CR0-003B-5153-00000-00&amp;context=" TargetMode="External"/><Relationship Id="rId366" Type="http://schemas.openxmlformats.org/officeDocument/2006/relationships/hyperlink" Target="https://advance.lexis.com/api/document?collection=cases&amp;id=urn:contentItem:3S4X-04D0-001B-K0T2-00000-00&amp;context=" TargetMode="External"/><Relationship Id="rId170" Type="http://schemas.openxmlformats.org/officeDocument/2006/relationships/hyperlink" Target="https://advance.lexis.com/api/document?collection=cases&amp;id=urn:contentItem:3S4X-J6T0-003B-S2SR-00000-00&amp;context=" TargetMode="External"/><Relationship Id="rId226" Type="http://schemas.openxmlformats.org/officeDocument/2006/relationships/hyperlink" Target="https://advance.lexis.com/api/document?collection=analytical-materials&amp;id=urn:contentItem:4007-7470-00CV-W0H2-00000-00&amp;context=" TargetMode="External"/><Relationship Id="rId268" Type="http://schemas.openxmlformats.org/officeDocument/2006/relationships/hyperlink" Target="http://www.urban.org/UploadedPDF/from_prison_to_home.pdf" TargetMode="External"/><Relationship Id="rId32" Type="http://schemas.openxmlformats.org/officeDocument/2006/relationships/hyperlink" Target="https://advance.lexis.com/api/document?collection=cases&amp;id=urn:contentItem:3S4X-DYN0-003B-S1JM-00000-00&amp;context=" TargetMode="External"/><Relationship Id="rId74" Type="http://schemas.openxmlformats.org/officeDocument/2006/relationships/hyperlink" Target="https://advance.lexis.com/api/document?collection=cases&amp;id=urn:contentItem:3S4X-31N0-003B-H0YV-00000-00&amp;context=" TargetMode="External"/><Relationship Id="rId128" Type="http://schemas.openxmlformats.org/officeDocument/2006/relationships/hyperlink" Target="https://advance.lexis.com/api/document?collection=statutes-legislation&amp;id=urn:contentItem:8SHT-0712-D6RV-H4XT-00000-00&amp;context=" TargetMode="External"/><Relationship Id="rId335" Type="http://schemas.openxmlformats.org/officeDocument/2006/relationships/hyperlink" Target="https://advance.lexis.com/api/document?collection=cases&amp;id=urn:contentItem:7XF4-RK50-YB0V-D008-00000-00&amp;context=" TargetMode="External"/><Relationship Id="rId377" Type="http://schemas.openxmlformats.org/officeDocument/2006/relationships/hyperlink" Target="https://advance.lexis.com/api/document?collection=cases&amp;id=urn:contentItem:3S4X-H470-003B-S2T1-00000-00&amp;context=" TargetMode="External"/><Relationship Id="rId5" Type="http://schemas.openxmlformats.org/officeDocument/2006/relationships/hyperlink" Target="https://advance.lexis.com/api/document?collection=analytical-materials&amp;id=urn:contentItem:4KN6-6XG0-02BN-100V-00000-00&amp;context=" TargetMode="External"/><Relationship Id="rId181" Type="http://schemas.openxmlformats.org/officeDocument/2006/relationships/hyperlink" Target="https://advance.lexis.com/api/document?collection=statutes-legislation&amp;id=urn:contentItem:8TSF-7GM2-8T6X-72B1-00000-00&amp;context=" TargetMode="External"/><Relationship Id="rId237" Type="http://schemas.openxmlformats.org/officeDocument/2006/relationships/hyperlink" Target="https://advance.lexis.com/api/document?collection=statutes-legislation&amp;id=urn:contentItem:8SHT-0712-D6RV-H423-00000-00&amp;context=" TargetMode="External"/><Relationship Id="rId279" Type="http://schemas.openxmlformats.org/officeDocument/2006/relationships/hyperlink" Target="https://advance.lexis.com/api/document?collection=cases&amp;id=urn:contentItem:5K27-42B1-F04K-F19Y-00000-00&amp;context=" TargetMode="External"/><Relationship Id="rId43" Type="http://schemas.openxmlformats.org/officeDocument/2006/relationships/hyperlink" Target="https://advance.lexis.com/api/document?collection=cases&amp;id=urn:contentItem:54GK-FJ41-F04G-603T-00000-00&amp;context=" TargetMode="External"/><Relationship Id="rId139" Type="http://schemas.openxmlformats.org/officeDocument/2006/relationships/hyperlink" Target="https://advance.lexis.com/api/document?collection=statutes-legislation&amp;id=urn:contentItem:8SDD-0C82-8T6X-73JP-00000-00&amp;context=" TargetMode="External"/><Relationship Id="rId290" Type="http://schemas.openxmlformats.org/officeDocument/2006/relationships/hyperlink" Target="https://advance.lexis.com/api/document?collection=cases&amp;id=urn:contentItem:5RGR-K7T1-DYMS-61VB-00000-00&amp;context=" TargetMode="External"/><Relationship Id="rId304" Type="http://schemas.openxmlformats.org/officeDocument/2006/relationships/hyperlink" Target="https://advance.lexis.com/api/document?collection=cases&amp;id=urn:contentItem:3S4X-7020-001B-K2J9-00000-00&amp;context=" TargetMode="External"/><Relationship Id="rId346" Type="http://schemas.openxmlformats.org/officeDocument/2006/relationships/hyperlink" Target="https://advance.lexis.com/api/document?collection=cases&amp;id=urn:contentItem:5KF9-R3T1-F04K-J438-00000-00&amp;context=" TargetMode="External"/><Relationship Id="rId85" Type="http://schemas.openxmlformats.org/officeDocument/2006/relationships/hyperlink" Target="https://advance.lexis.com/api/document?collection=statutes-legislation&amp;id=urn:contentItem:8SDD-0M72-D6RV-H44M-00000-00&amp;context=" TargetMode="External"/><Relationship Id="rId150" Type="http://schemas.openxmlformats.org/officeDocument/2006/relationships/hyperlink" Target="https://advance.lexis.com/api/document?collection=administrative-codes&amp;id=urn:contentItem:5X4V-N3J1-F1H1-21W7-00000-00&amp;context=" TargetMode="External"/><Relationship Id="rId192" Type="http://schemas.openxmlformats.org/officeDocument/2006/relationships/hyperlink" Target="https://advance.lexis.com/api/document?collection=statutes-legislation&amp;id=urn:contentItem:5XT9-FP93-CH1B-T2F2-00000-00&amp;context=" TargetMode="External"/><Relationship Id="rId206" Type="http://schemas.openxmlformats.org/officeDocument/2006/relationships/hyperlink" Target="https://advance.lexis.com/api/document?collection=analytical-materials&amp;id=urn:contentItem:4B89-XW20-00CV-P0F2-00000-00&amp;context=" TargetMode="External"/><Relationship Id="rId248" Type="http://schemas.openxmlformats.org/officeDocument/2006/relationships/hyperlink" Target="https://advance.lexis.com/api/document?collection=statutes-legislation&amp;id=urn:contentItem:8SHT-0712-D6RV-H421-00000-00&amp;context=" TargetMode="External"/><Relationship Id="rId12" Type="http://schemas.openxmlformats.org/officeDocument/2006/relationships/hyperlink" Target="https://advance.lexis.com/api/document?collection=analytical-materials&amp;id=urn:contentItem:3YXH-XJN0-00CV-M0F3-00000-00&amp;context=" TargetMode="External"/><Relationship Id="rId108" Type="http://schemas.openxmlformats.org/officeDocument/2006/relationships/hyperlink" Target="https://advance.lexis.com/api/document?collection=cases&amp;id=urn:contentItem:3S4X-FK00-003B-H448-00000-00&amp;context=" TargetMode="External"/><Relationship Id="rId315" Type="http://schemas.openxmlformats.org/officeDocument/2006/relationships/hyperlink" Target="https://advance.lexis.com/api/document?collection=cases&amp;id=urn:contentItem:3S4X-7020-001B-K2J9-00000-00&amp;context=" TargetMode="External"/><Relationship Id="rId357" Type="http://schemas.openxmlformats.org/officeDocument/2006/relationships/hyperlink" Target="https://advance.lexis.com/api/document?collection=cases&amp;id=urn:contentItem:5JVP-TS41-F04F-019F-00000-00&amp;context=" TargetMode="External"/><Relationship Id="rId54" Type="http://schemas.openxmlformats.org/officeDocument/2006/relationships/hyperlink" Target="https://advance.lexis.com/api/document?collection=cases&amp;id=urn:contentItem:3S4X-HMW0-003B-S4JG-00000-00&amp;context=" TargetMode="External"/><Relationship Id="rId96" Type="http://schemas.openxmlformats.org/officeDocument/2006/relationships/hyperlink" Target="https://advance.lexis.com/api/document?collection=cases&amp;id=urn:contentItem:3S4X-JMP0-003B-S545-00000-00&amp;context=" TargetMode="External"/><Relationship Id="rId161" Type="http://schemas.openxmlformats.org/officeDocument/2006/relationships/hyperlink" Target="https://advance.lexis.com/api/document?collection=statutes-legislation&amp;id=urn:contentItem:8SHT-0712-D6RV-H421-00000-00&amp;context=" TargetMode="External"/><Relationship Id="rId217" Type="http://schemas.openxmlformats.org/officeDocument/2006/relationships/hyperlink" Target="https://advance.lexis.com/api/document?collection=statutes-legislation&amp;id=urn:contentItem:8SDD-0C82-8T6X-73JR-00000-00&amp;context=" TargetMode="External"/><Relationship Id="rId259" Type="http://schemas.openxmlformats.org/officeDocument/2006/relationships/hyperlink" Target="https://advance.lexis.com/api/document?collection=statutes-legislation&amp;id=urn:contentItem:8SHT-0712-D6RV-H421-00000-00&amp;context=" TargetMode="External"/><Relationship Id="rId23" Type="http://schemas.openxmlformats.org/officeDocument/2006/relationships/hyperlink" Target="https://advance.lexis.com/api/document?collection=cases&amp;id=urn:contentItem:3S4X-JXX0-003B-S33P-00000-00&amp;context=" TargetMode="External"/><Relationship Id="rId119" Type="http://schemas.openxmlformats.org/officeDocument/2006/relationships/hyperlink" Target="https://advance.lexis.com/api/document?collection=cases&amp;id=urn:contentItem:3S4X-CBS0-003B-S208-00000-00&amp;context=" TargetMode="External"/><Relationship Id="rId270" Type="http://schemas.openxmlformats.org/officeDocument/2006/relationships/hyperlink" Target="https://advance.lexis.com/api/document?collection=statutes-legislation&amp;id=urn:contentItem:8SHT-0712-D6RV-H3B1-00000-00&amp;context=" TargetMode="External"/><Relationship Id="rId326" Type="http://schemas.openxmlformats.org/officeDocument/2006/relationships/hyperlink" Target="https://advance.lexis.com/api/document?collection=cases&amp;id=urn:contentItem:3S4X-9CR0-003B-5153-00000-00&amp;context=" TargetMode="External"/><Relationship Id="rId65" Type="http://schemas.openxmlformats.org/officeDocument/2006/relationships/hyperlink" Target="https://advance.lexis.com/api/document?collection=cases&amp;id=urn:contentItem:3TGV-N240-002K-6004-00000-00&amp;context=" TargetMode="External"/><Relationship Id="rId130" Type="http://schemas.openxmlformats.org/officeDocument/2006/relationships/hyperlink" Target="https://advance.lexis.com/api/document?collection=statutes-legislation&amp;id=urn:contentItem:8T9R-T232-D6RV-H36D-00000-00&amp;context=" TargetMode="External"/><Relationship Id="rId368" Type="http://schemas.openxmlformats.org/officeDocument/2006/relationships/hyperlink" Target="https://advance.lexis.com/api/document?collection=analytical-materials&amp;id=urn:contentItem:4G58-SJ60-00CV-Y0FH-00000-00&amp;context=" TargetMode="External"/><Relationship Id="rId172" Type="http://schemas.openxmlformats.org/officeDocument/2006/relationships/hyperlink" Target="https://advance.lexis.com/api/document?collection=cases&amp;id=urn:contentItem:3S4X-J6T0-003B-S2SR-00000-00&amp;context=" TargetMode="External"/><Relationship Id="rId228" Type="http://schemas.openxmlformats.org/officeDocument/2006/relationships/hyperlink" Target="https://advance.lexis.com/api/document?collection=cases&amp;id=urn:contentItem:3RX4-BD60-003F-316N-00000-00&amp;context=" TargetMode="External"/><Relationship Id="rId281" Type="http://schemas.openxmlformats.org/officeDocument/2006/relationships/hyperlink" Target="https://advance.lexis.com/api/document?collection=cases&amp;id=urn:contentItem:5RKH-FHY1-F528-G46X-00000-00&amp;context=" TargetMode="External"/><Relationship Id="rId337" Type="http://schemas.openxmlformats.org/officeDocument/2006/relationships/hyperlink" Target="https://advance.lexis.com/api/document?collection=analytical-materials&amp;id=urn:contentItem:5G36-C990-00CW-H0TT-00000-00&amp;context=" TargetMode="External"/><Relationship Id="rId34" Type="http://schemas.openxmlformats.org/officeDocument/2006/relationships/hyperlink" Target="https://advance.lexis.com/api/document?collection=cases&amp;id=urn:contentItem:3S4X-D6R0-003B-S2P8-00000-00&amp;context=" TargetMode="External"/><Relationship Id="rId76" Type="http://schemas.openxmlformats.org/officeDocument/2006/relationships/hyperlink" Target="https://advance.lexis.com/api/document?collection=cases&amp;id=urn:contentItem:3S4X-31N0-003B-H0YV-00000-00&amp;context=" TargetMode="External"/><Relationship Id="rId141" Type="http://schemas.openxmlformats.org/officeDocument/2006/relationships/hyperlink" Target="https://advance.lexis.com/api/document?collection=statutes-legislation&amp;id=urn:contentItem:8SDD-0C82-8T6X-73JP-00000-00&amp;context=" TargetMode="External"/><Relationship Id="rId379" Type="http://schemas.openxmlformats.org/officeDocument/2006/relationships/hyperlink" Target="https://advance.lexis.com/api/document?collection=analytical-materials&amp;id=urn:contentItem:4KMH-0260-00CW-200C-00000-00&amp;context=" TargetMode="External"/><Relationship Id="rId7" Type="http://schemas.openxmlformats.org/officeDocument/2006/relationships/hyperlink" Target="http://www.urban.org/UploadedPDF/311272" TargetMode="External"/><Relationship Id="rId183" Type="http://schemas.openxmlformats.org/officeDocument/2006/relationships/hyperlink" Target="https://advance.lexis.com/api/document?collection=statutes-legislation&amp;id=urn:contentItem:8S9D-WBG2-D6RV-H541-00000-00&amp;context=" TargetMode="External"/><Relationship Id="rId239" Type="http://schemas.openxmlformats.org/officeDocument/2006/relationships/hyperlink" Target="https://advance.lexis.com/api/document?collection=statutes-legislation&amp;id=urn:contentItem:8SHT-0712-D6RV-H423-00000-00&amp;context=" TargetMode="External"/><Relationship Id="rId250" Type="http://schemas.openxmlformats.org/officeDocument/2006/relationships/hyperlink" Target="https://advance.lexis.com/api/document?collection=statutes-legislation&amp;id=urn:contentItem:8SHT-0732-D6RV-H1PS-00000-00&amp;context=" TargetMode="External"/><Relationship Id="rId292" Type="http://schemas.openxmlformats.org/officeDocument/2006/relationships/hyperlink" Target="https://advance.lexis.com/api/document?collection=cases&amp;id=urn:contentItem:5KJ9-FWT1-F04K-P14S-00000-00&amp;context=" TargetMode="External"/><Relationship Id="rId306" Type="http://schemas.openxmlformats.org/officeDocument/2006/relationships/hyperlink" Target="https://advance.lexis.com/api/document?collection=cases&amp;id=urn:contentItem:3S4X-7020-001B-K2J9-00000-00&amp;context=" TargetMode="External"/><Relationship Id="rId45" Type="http://schemas.openxmlformats.org/officeDocument/2006/relationships/hyperlink" Target="https://advance.lexis.com/api/document?collection=cases&amp;id=urn:contentItem:3S4X-CBS0-003B-S208-00000-00&amp;context=" TargetMode="External"/><Relationship Id="rId87" Type="http://schemas.openxmlformats.org/officeDocument/2006/relationships/hyperlink" Target="https://advance.lexis.com/api/document?collection=statutes-legislation&amp;id=urn:contentItem:8S9D-W9D2-D6RV-H566-00000-00&amp;context=" TargetMode="External"/><Relationship Id="rId110" Type="http://schemas.openxmlformats.org/officeDocument/2006/relationships/hyperlink" Target="https://advance.lexis.com/api/document?collection=statutes-legislation&amp;id=urn:contentItem:5J8V-3T91-DXC8-03XN-00000-00&amp;context=" TargetMode="External"/><Relationship Id="rId348" Type="http://schemas.openxmlformats.org/officeDocument/2006/relationships/hyperlink" Target="https://advance.lexis.com/api/document?collection=cases&amp;id=urn:contentItem:445H-6RH0-0038-Y3JV-00000-00&amp;context=" TargetMode="External"/><Relationship Id="rId152" Type="http://schemas.openxmlformats.org/officeDocument/2006/relationships/hyperlink" Target="https://advance.lexis.com/api/document?collection=statutes-legislation&amp;id=urn:contentItem:8SDD-0C82-8T6X-73JR-00000-00&amp;context=" TargetMode="External"/><Relationship Id="rId194" Type="http://schemas.openxmlformats.org/officeDocument/2006/relationships/hyperlink" Target="https://advance.lexis.com/api/document?collection=analytical-materials&amp;id=urn:contentItem:46H1-23G0-00CW-G01F-00000-00&amp;context=" TargetMode="External"/><Relationship Id="rId208" Type="http://schemas.openxmlformats.org/officeDocument/2006/relationships/hyperlink" Target="https://advance.lexis.com/api/document?collection=statutes-legislation&amp;id=urn:contentItem:8SG9-5042-D6RV-H05V-00000-00&amp;context=" TargetMode="External"/><Relationship Id="rId261" Type="http://schemas.openxmlformats.org/officeDocument/2006/relationships/hyperlink" Target="https://advance.lexis.com/api/document?collection=cases&amp;id=urn:contentItem:45FB-8100-004B-Y05T-00000-00&amp;context=" TargetMode="External"/><Relationship Id="rId14" Type="http://schemas.openxmlformats.org/officeDocument/2006/relationships/hyperlink" Target="http://laws.justice.gc.ca/PDF/Statute/S/S-8.7.pdf" TargetMode="External"/><Relationship Id="rId56" Type="http://schemas.openxmlformats.org/officeDocument/2006/relationships/hyperlink" Target="https://advance.lexis.com/api/document?collection=cases&amp;id=urn:contentItem:3S4X-HRV0-003B-S0SH-00000-00&amp;context=" TargetMode="External"/><Relationship Id="rId317" Type="http://schemas.openxmlformats.org/officeDocument/2006/relationships/hyperlink" Target="https://advance.lexis.com/api/document?collection=cases&amp;id=urn:contentItem:3S4X-7020-001B-K2J9-00000-00&amp;context=" TargetMode="External"/><Relationship Id="rId359" Type="http://schemas.openxmlformats.org/officeDocument/2006/relationships/hyperlink" Target="https://advance.lexis.com/api/document?collection=cases&amp;id=urn:contentItem:5JVP-TS41-F04F-019F-00000-00&amp;context=" TargetMode="External"/><Relationship Id="rId98" Type="http://schemas.openxmlformats.org/officeDocument/2006/relationships/hyperlink" Target="https://advance.lexis.com/api/document?collection=cases&amp;id=urn:contentItem:3S4V-J3T0-0054-61KK-00000-00&amp;context=" TargetMode="External"/><Relationship Id="rId121" Type="http://schemas.openxmlformats.org/officeDocument/2006/relationships/hyperlink" Target="https://advance.lexis.com/api/document?collection=cases&amp;id=urn:contentItem:3S4X-CBS0-003B-S208-00000-00&amp;context=" TargetMode="External"/><Relationship Id="rId163" Type="http://schemas.openxmlformats.org/officeDocument/2006/relationships/hyperlink" Target="https://advance.lexis.com/api/document?collection=statutes-legislation&amp;id=urn:contentItem:8SHT-0712-D6RV-H421-00000-00&amp;context=" TargetMode="External"/><Relationship Id="rId219" Type="http://schemas.openxmlformats.org/officeDocument/2006/relationships/hyperlink" Target="https://advance.lexis.com/api/document?collection=cases&amp;id=urn:contentItem:3YTP-2X00-0038-X0DS-00000-00&amp;context=" TargetMode="External"/><Relationship Id="rId370" Type="http://schemas.openxmlformats.org/officeDocument/2006/relationships/hyperlink" Target="https://advance.lexis.com/api/document?collection=analytical-materials&amp;id=urn:contentItem:3VNN-8C60-003R-00WH-00000-00&amp;context=" TargetMode="External"/><Relationship Id="rId230" Type="http://schemas.openxmlformats.org/officeDocument/2006/relationships/hyperlink" Target="https://advance.lexis.com/api/document?collection=statutes-legislation&amp;id=urn:contentItem:8SHT-0712-D6RV-H421-00000-00&amp;context=" TargetMode="External"/><Relationship Id="rId25" Type="http://schemas.openxmlformats.org/officeDocument/2006/relationships/hyperlink" Target="https://advance.lexis.com/api/document?collection=cases&amp;id=urn:contentItem:3S4X-JXX0-003B-S33P-00000-00&amp;context=" TargetMode="External"/><Relationship Id="rId67" Type="http://schemas.openxmlformats.org/officeDocument/2006/relationships/hyperlink" Target="https://advance.lexis.com/api/document?collection=cases&amp;id=urn:contentItem:3TGV-N240-002K-6004-00000-00&amp;context=" TargetMode="External"/><Relationship Id="rId272" Type="http://schemas.openxmlformats.org/officeDocument/2006/relationships/hyperlink" Target="https://advance.lexis.com/api/document?collection=cases&amp;id=urn:contentItem:45FB-8100-004B-Y05T-00000-00&amp;context=" TargetMode="External"/><Relationship Id="rId328" Type="http://schemas.openxmlformats.org/officeDocument/2006/relationships/hyperlink" Target="https://advance.lexis.com/api/document?collection=cases&amp;id=urn:contentItem:3S4X-9GW0-008H-V3Y1-00000-00&amp;context=" TargetMode="External"/><Relationship Id="rId132" Type="http://schemas.openxmlformats.org/officeDocument/2006/relationships/hyperlink" Target="https://advance.lexis.com/api/document?collection=statutes-legislation&amp;id=urn:contentItem:8T9R-T3H2-D6RV-H37G-00000-00&amp;context=" TargetMode="External"/><Relationship Id="rId174" Type="http://schemas.openxmlformats.org/officeDocument/2006/relationships/hyperlink" Target="https://advance.lexis.com/api/document?collection=cases&amp;id=urn:contentItem:3S4X-HRV0-003B-S0SH-00000-00&amp;context=" TargetMode="External"/><Relationship Id="rId381" Type="http://schemas.openxmlformats.org/officeDocument/2006/relationships/hyperlink" Target="https://advance.lexis.com/api/document?collection=cases&amp;id=urn:contentItem:3S4X-4070-003B-50HT-00000-00&amp;context=" TargetMode="External"/><Relationship Id="rId241" Type="http://schemas.openxmlformats.org/officeDocument/2006/relationships/hyperlink" Target="https://advance.lexis.com/api/document?collection=administrative-codes&amp;id=urn:contentItem:5X8N-GSB1-F81W-254B-00000-00&amp;context=" TargetMode="External"/><Relationship Id="rId36" Type="http://schemas.openxmlformats.org/officeDocument/2006/relationships/hyperlink" Target="https://advance.lexis.com/api/document?collection=cases&amp;id=urn:contentItem:3S4X-D6R0-003B-S2P8-00000-00&amp;context=" TargetMode="External"/><Relationship Id="rId283" Type="http://schemas.openxmlformats.org/officeDocument/2006/relationships/hyperlink" Target="https://advance.lexis.com/api/document?collection=analytical-materials&amp;id=urn:contentItem:5K93-26C0-00CT-S1NF-00000-00&amp;context=" TargetMode="External"/><Relationship Id="rId339" Type="http://schemas.openxmlformats.org/officeDocument/2006/relationships/hyperlink" Target="https://advance.lexis.com/api/document?collection=cases&amp;id=urn:contentItem:5J81-NMW1-F04F-01Y5-00000-00&amp;context=" TargetMode="External"/><Relationship Id="rId78" Type="http://schemas.openxmlformats.org/officeDocument/2006/relationships/hyperlink" Target="https://advance.lexis.com/api/document?collection=statutes-legislation&amp;id=urn:contentItem:8T8B-PYP2-D6RV-H0H5-00000-00&amp;context=" TargetMode="External"/><Relationship Id="rId101" Type="http://schemas.openxmlformats.org/officeDocument/2006/relationships/hyperlink" Target="https://advance.lexis.com/api/document?collection=cases&amp;id=urn:contentItem:3S4X-FWK0-003B-S48X-00000-00&amp;context=" TargetMode="External"/><Relationship Id="rId143" Type="http://schemas.openxmlformats.org/officeDocument/2006/relationships/hyperlink" Target="https://advance.lexis.com/api/document?collection=statutes-legislation&amp;id=urn:contentItem:8SDD-0C82-8T6X-73JP-00000-00&amp;context=" TargetMode="External"/><Relationship Id="rId185" Type="http://schemas.openxmlformats.org/officeDocument/2006/relationships/hyperlink" Target="https://advance.lexis.com/api/document?collection=statutes-legislation&amp;id=urn:contentItem:8SHT-0722-D6RV-H4CX-00000-00&amp;context=" TargetMode="External"/><Relationship Id="rId350" Type="http://schemas.openxmlformats.org/officeDocument/2006/relationships/hyperlink" Target="https://advance.lexis.com/api/document?collection=cases&amp;id=urn:contentItem:5H6F-CF81-F04C-Y04G-00000-00&amp;context=" TargetMode="External"/><Relationship Id="rId9" Type="http://schemas.openxmlformats.org/officeDocument/2006/relationships/hyperlink" Target="https://advance.lexis.com/api/document?collection=analytical-materials&amp;id=urn:contentItem:4BK2-Y7M0-00CW-80V7-00000-00&amp;context=" TargetMode="External"/><Relationship Id="rId210" Type="http://schemas.openxmlformats.org/officeDocument/2006/relationships/hyperlink" Target="http://www.ojp.usdoj.gov/bjs/pub/pdf/sco90.pdf" TargetMode="External"/><Relationship Id="rId26" Type="http://schemas.openxmlformats.org/officeDocument/2006/relationships/hyperlink" Target="https://advance.lexis.com/api/document?collection=cases&amp;id=urn:contentItem:42WW-PFB0-004B-Y04H-00000-00&amp;context=" TargetMode="External"/><Relationship Id="rId231" Type="http://schemas.openxmlformats.org/officeDocument/2006/relationships/hyperlink" Target="https://advance.lexis.com/api/document?collection=statutes-legislation&amp;id=urn:contentItem:8SHT-0712-D6RV-H421-00000-00&amp;context=" TargetMode="External"/><Relationship Id="rId252" Type="http://schemas.openxmlformats.org/officeDocument/2006/relationships/hyperlink" Target="https://advance.lexis.com/api/document?collection=statutes-legislation&amp;id=urn:contentItem:8SHT-0712-D6RV-H421-00000-00&amp;context=" TargetMode="External"/><Relationship Id="rId273" Type="http://schemas.openxmlformats.org/officeDocument/2006/relationships/hyperlink" Target="https://advance.lexis.com/api/document?collection=cases&amp;id=urn:contentItem:45FB-8100-004B-Y05T-00000-00&amp;context=" TargetMode="External"/><Relationship Id="rId294" Type="http://schemas.openxmlformats.org/officeDocument/2006/relationships/hyperlink" Target="https://advance.lexis.com/api/document?collection=cases&amp;id=urn:contentItem:3S4W-XG50-001B-K1XN-00000-00&amp;context=" TargetMode="External"/><Relationship Id="rId308" Type="http://schemas.openxmlformats.org/officeDocument/2006/relationships/hyperlink" Target="https://advance.lexis.com/api/document?collection=cases&amp;id=urn:contentItem:3S4X-7020-001B-K2J9-00000-00&amp;context=" TargetMode="External"/><Relationship Id="rId329" Type="http://schemas.openxmlformats.org/officeDocument/2006/relationships/hyperlink" Target="https://niccc.csgjusticecenter.org" TargetMode="External"/><Relationship Id="rId47" Type="http://schemas.openxmlformats.org/officeDocument/2006/relationships/hyperlink" Target="https://advance.lexis.com/api/document?collection=cases&amp;id=urn:contentItem:4CJ4-CXH0-0038-Y15H-00000-00&amp;context=" TargetMode="External"/><Relationship Id="rId68" Type="http://schemas.openxmlformats.org/officeDocument/2006/relationships/hyperlink" Target="https://advance.lexis.com/api/document?collection=cases&amp;id=urn:contentItem:3S4X-DCD0-003B-S06X-00000-00&amp;context=" TargetMode="External"/><Relationship Id="rId89" Type="http://schemas.openxmlformats.org/officeDocument/2006/relationships/hyperlink" Target="https://advance.lexis.com/api/document?collection=statutes-legislation&amp;id=urn:contentItem:8S9D-W9D2-D6RV-H566-00000-00&amp;context=" TargetMode="External"/><Relationship Id="rId112" Type="http://schemas.openxmlformats.org/officeDocument/2006/relationships/hyperlink" Target="https://advance.lexis.com/api/document?collection=cases&amp;id=urn:contentItem:4R8P-7J80-TXFX-1285-00000-00&amp;context=" TargetMode="External"/><Relationship Id="rId133" Type="http://schemas.openxmlformats.org/officeDocument/2006/relationships/hyperlink" Target="https://advance.lexis.com/api/document?collection=statutes-legislation&amp;id=urn:contentItem:8T9R-T5D2-8T6X-732M-00000-00&amp;context=" TargetMode="External"/><Relationship Id="rId154" Type="http://schemas.openxmlformats.org/officeDocument/2006/relationships/hyperlink" Target="https://advance.lexis.com/api/document?collection=statutes-legislation&amp;id=urn:contentItem:8SDD-0C82-8T6X-73JR-00000-00&amp;context=" TargetMode="External"/><Relationship Id="rId175" Type="http://schemas.openxmlformats.org/officeDocument/2006/relationships/hyperlink" Target="https://advance.lexis.com/api/document?collection=cases&amp;id=urn:contentItem:3S4X-HRV0-003B-S0SH-00000-00&amp;context=" TargetMode="External"/><Relationship Id="rId340" Type="http://schemas.openxmlformats.org/officeDocument/2006/relationships/hyperlink" Target="https://advance.lexis.com/api/document?collection=cases&amp;id=urn:contentItem:5J81-NMW1-F04F-01Y5-00000-00&amp;context=" TargetMode="External"/><Relationship Id="rId361" Type="http://schemas.openxmlformats.org/officeDocument/2006/relationships/hyperlink" Target="https://advance.lexis.com/api/document?collection=cases&amp;id=urn:contentItem:5JVP-TS41-F04F-019F-00000-00&amp;context=" TargetMode="External"/><Relationship Id="rId196" Type="http://schemas.openxmlformats.org/officeDocument/2006/relationships/hyperlink" Target="https://advance.lexis.com/api/document?collection=analytical-materials&amp;id=urn:contentItem:46H1-23G0-00CW-G01F-00000-00&amp;context=" TargetMode="External"/><Relationship Id="rId200" Type="http://schemas.openxmlformats.org/officeDocument/2006/relationships/hyperlink" Target="https://advance.lexis.com/api/document?collection=statutes-legislation&amp;id=urn:contentItem:8T8B-PYP2-D6RV-H0H5-00000-00&amp;context=" TargetMode="External"/><Relationship Id="rId16" Type="http://schemas.openxmlformats.org/officeDocument/2006/relationships/hyperlink" Target="https://advance.lexis.com/api/document?collection=cases&amp;id=urn:contentItem:3S4X-HMW0-003B-S4JG-00000-00&amp;context=" TargetMode="External"/><Relationship Id="rId221" Type="http://schemas.openxmlformats.org/officeDocument/2006/relationships/hyperlink" Target="https://advance.lexis.com/api/document?collection=analytical-materials&amp;id=urn:contentItem:40DV-WM60-00CV-V0X1-00000-00&amp;context=" TargetMode="External"/><Relationship Id="rId242" Type="http://schemas.openxmlformats.org/officeDocument/2006/relationships/hyperlink" Target="https://advance.lexis.com/api/document?collection=statutes-legislation&amp;id=urn:contentItem:8SHT-0712-D6RV-H421-00000-00&amp;context=" TargetMode="External"/><Relationship Id="rId263" Type="http://schemas.openxmlformats.org/officeDocument/2006/relationships/hyperlink" Target="https://advance.lexis.com/api/document?collection=cases&amp;id=urn:contentItem:45FB-8100-004B-Y05T-00000-00&amp;context=" TargetMode="External"/><Relationship Id="rId284" Type="http://schemas.openxmlformats.org/officeDocument/2006/relationships/hyperlink" Target="https://advance.lexis.com/api/document?collection=analytical-materials&amp;id=urn:contentItem:5MXR-97K0-02D1-30WS-00000-00&amp;context=" TargetMode="External"/><Relationship Id="rId319" Type="http://schemas.openxmlformats.org/officeDocument/2006/relationships/hyperlink" Target="https://advance.lexis.com/api/document?collection=cases&amp;id=urn:contentItem:3S4X-7020-001B-K2J9-00000-00&amp;context=" TargetMode="External"/><Relationship Id="rId37" Type="http://schemas.openxmlformats.org/officeDocument/2006/relationships/hyperlink" Target="https://advance.lexis.com/api/document?collection=cases&amp;id=urn:contentItem:54C6-2361-F04G-601J-00000-00&amp;context=" TargetMode="External"/><Relationship Id="rId58" Type="http://schemas.openxmlformats.org/officeDocument/2006/relationships/hyperlink" Target="https://advance.lexis.com/api/document?collection=cases&amp;id=urn:contentItem:3S4X-HRV0-003B-S0SH-00000-00&amp;context=" TargetMode="External"/><Relationship Id="rId79" Type="http://schemas.openxmlformats.org/officeDocument/2006/relationships/hyperlink" Target="https://advance.lexis.com/api/document?collection=statutes-legislation&amp;id=urn:contentItem:8T8B-PYP2-D6RV-H0H5-00000-00&amp;context=" TargetMode="External"/><Relationship Id="rId102" Type="http://schemas.openxmlformats.org/officeDocument/2006/relationships/hyperlink" Target="https://advance.lexis.com/api/document?collection=cases&amp;id=urn:contentItem:3S4X-F290-003B-S37F-00000-00&amp;context=" TargetMode="External"/><Relationship Id="rId123" Type="http://schemas.openxmlformats.org/officeDocument/2006/relationships/hyperlink" Target="https://advance.lexis.com/api/document?collection=cases&amp;id=urn:contentItem:3S4X-BWT0-0039-N0H9-00000-00&amp;context=" TargetMode="External"/><Relationship Id="rId144" Type="http://schemas.openxmlformats.org/officeDocument/2006/relationships/hyperlink" Target="https://advance.lexis.com/api/document?collection=statutes-legislation&amp;id=urn:contentItem:8SDD-0C82-8T6X-73JP-00000-00&amp;context=" TargetMode="External"/><Relationship Id="rId330" Type="http://schemas.openxmlformats.org/officeDocument/2006/relationships/hyperlink" Target="https://perma.cc/BF5J-73KL" TargetMode="External"/><Relationship Id="rId90" Type="http://schemas.openxmlformats.org/officeDocument/2006/relationships/hyperlink" Target="https://advance.lexis.com/api/document?collection=analytical-materials&amp;id=urn:contentItem:50BB-T720-02BN-10CC-00000-00&amp;context=" TargetMode="External"/><Relationship Id="rId165" Type="http://schemas.openxmlformats.org/officeDocument/2006/relationships/hyperlink" Target="https://advance.lexis.com/api/document?collection=cases&amp;id=urn:contentItem:3S4X-HR60-003B-S0HP-00000-00&amp;context=" TargetMode="External"/><Relationship Id="rId186" Type="http://schemas.openxmlformats.org/officeDocument/2006/relationships/hyperlink" Target="https://advance.lexis.com/api/document?collection=statutes-legislation&amp;id=urn:contentItem:8SHT-0722-D6RV-H4CX-00000-00&amp;context=" TargetMode="External"/><Relationship Id="rId351" Type="http://schemas.openxmlformats.org/officeDocument/2006/relationships/hyperlink" Target="https://advance.lexis.com/api/document?collection=cases&amp;id=urn:contentItem:5H3M-X9H1-F04F-01B6-00000-00&amp;context=" TargetMode="External"/><Relationship Id="rId372" Type="http://schemas.openxmlformats.org/officeDocument/2006/relationships/hyperlink" Target="https://advance.lexis.com/api/document?collection=analytical-materials&amp;id=urn:contentItem:4B89-XW00-00CV-P0F0-00000-00&amp;context=" TargetMode="External"/><Relationship Id="rId211" Type="http://schemas.openxmlformats.org/officeDocument/2006/relationships/hyperlink" Target="http://www.sentencingproject.org" TargetMode="External"/><Relationship Id="rId232" Type="http://schemas.openxmlformats.org/officeDocument/2006/relationships/hyperlink" Target="https://advance.lexis.com/api/document?collection=statutes-legislation&amp;id=urn:contentItem:8SHT-0712-D6RV-H421-00000-00&amp;context=" TargetMode="External"/><Relationship Id="rId253" Type="http://schemas.openxmlformats.org/officeDocument/2006/relationships/hyperlink" Target="https://advance.lexis.com/api/document?collection=statutes-legislation&amp;id=urn:contentItem:8SHT-0712-D6RV-H421-00000-00&amp;context=" TargetMode="External"/><Relationship Id="rId274" Type="http://schemas.openxmlformats.org/officeDocument/2006/relationships/hyperlink" Target="https://advance.lexis.com/api/document?collection=cases&amp;id=urn:contentItem:45FB-8100-004B-Y05T-00000-00&amp;context=" TargetMode="External"/><Relationship Id="rId295" Type="http://schemas.openxmlformats.org/officeDocument/2006/relationships/hyperlink" Target="https://advance.lexis.com/api/document?collection=cases&amp;id=urn:contentItem:3S4W-XG50-001B-K1XN-00000-00&amp;context=" TargetMode="External"/><Relationship Id="rId309" Type="http://schemas.openxmlformats.org/officeDocument/2006/relationships/hyperlink" Target="https://advance.lexis.com/api/document?collection=cases&amp;id=urn:contentItem:3S4X-7020-001B-K2J9-00000-00&amp;context=" TargetMode="External"/><Relationship Id="rId27" Type="http://schemas.openxmlformats.org/officeDocument/2006/relationships/hyperlink" Target="https://advance.lexis.com/api/document?collection=cases&amp;id=urn:contentItem:42WW-PFB0-004B-Y04H-00000-00&amp;context=" TargetMode="External"/><Relationship Id="rId48" Type="http://schemas.openxmlformats.org/officeDocument/2006/relationships/hyperlink" Target="https://advance.lexis.com/api/document?collection=cases&amp;id=urn:contentItem:3S4X-JWD0-003B-S1FN-00000-00&amp;context=" TargetMode="External"/><Relationship Id="rId69" Type="http://schemas.openxmlformats.org/officeDocument/2006/relationships/hyperlink" Target="https://advance.lexis.com/api/document?collection=cases&amp;id=urn:contentItem:3S4X-DCD0-003B-S06X-00000-00&amp;context=" TargetMode="External"/><Relationship Id="rId113" Type="http://schemas.openxmlformats.org/officeDocument/2006/relationships/hyperlink" Target="https://advance.lexis.com/api/document?collection=cases&amp;id=urn:contentItem:4R8P-7J80-TXFX-1285-00000-00&amp;context=" TargetMode="External"/><Relationship Id="rId134" Type="http://schemas.openxmlformats.org/officeDocument/2006/relationships/hyperlink" Target="https://advance.lexis.com/api/document?collection=statutes-legislation&amp;id=urn:contentItem:8T9R-T232-D6RV-H36D-00000-00&amp;context=" TargetMode="External"/><Relationship Id="rId320" Type="http://schemas.openxmlformats.org/officeDocument/2006/relationships/hyperlink" Target="https://advance.lexis.com/api/document?collection=cases&amp;id=urn:contentItem:3S4X-FHY0-003B-S050-00000-00&amp;context=" TargetMode="External"/><Relationship Id="rId80" Type="http://schemas.openxmlformats.org/officeDocument/2006/relationships/hyperlink" Target="https://advance.lexis.com/api/document?collection=statutes-legislation&amp;id=urn:contentItem:8T8B-PYP2-D6RV-H0H5-00000-00&amp;context=" TargetMode="External"/><Relationship Id="rId155" Type="http://schemas.openxmlformats.org/officeDocument/2006/relationships/hyperlink" Target="https://advance.lexis.com/api/document?collection=statutes-legislation&amp;id=urn:contentItem:8SDD-0C82-8T6X-73JR-00000-00&amp;context=" TargetMode="External"/><Relationship Id="rId176" Type="http://schemas.openxmlformats.org/officeDocument/2006/relationships/hyperlink" Target="https://advance.lexis.com/api/document?collection=statutes-legislation&amp;id=urn:contentItem:8SHT-0712-D6RV-H3GY-00000-00&amp;context=" TargetMode="External"/><Relationship Id="rId197" Type="http://schemas.openxmlformats.org/officeDocument/2006/relationships/hyperlink" Target="https://advance.lexis.com/api/document?collection=statutes-legislation&amp;id=urn:contentItem:8S5C-HC12-D6RV-H38N-00000-00&amp;context=" TargetMode="External"/><Relationship Id="rId341" Type="http://schemas.openxmlformats.org/officeDocument/2006/relationships/hyperlink" Target="https://advance.lexis.com/api/document?collection=cases&amp;id=urn:contentItem:5J81-NMW1-F04F-01Y5-00000-00&amp;context=" TargetMode="External"/><Relationship Id="rId362" Type="http://schemas.openxmlformats.org/officeDocument/2006/relationships/hyperlink" Target="https://advance.lexis.com/api/document?collection=cases&amp;id=urn:contentItem:5JVP-TS41-F04F-019F-00000-00&amp;context=" TargetMode="External"/><Relationship Id="rId201" Type="http://schemas.openxmlformats.org/officeDocument/2006/relationships/hyperlink" Target="https://advance.lexis.com/api/document?collection=statutes-legislation&amp;id=urn:contentItem:8T8B-PYP2-D6RV-H0H5-00000-00&amp;context=" TargetMode="External"/><Relationship Id="rId222" Type="http://schemas.openxmlformats.org/officeDocument/2006/relationships/hyperlink" Target="https://advance.lexis.com/api/document?collection=analytical-materials&amp;id=urn:contentItem:4B89-XW00-00CV-P0F0-00000-00&amp;context=" TargetMode="External"/><Relationship Id="rId243" Type="http://schemas.openxmlformats.org/officeDocument/2006/relationships/hyperlink" Target="https://advance.lexis.com/api/document?collection=statutes-legislation&amp;id=urn:contentItem:8SHT-0712-D6RV-H421-00000-00&amp;context=" TargetMode="External"/><Relationship Id="rId264" Type="http://schemas.openxmlformats.org/officeDocument/2006/relationships/hyperlink" Target="https://advance.lexis.com/api/document?collection=statutes-legislation&amp;id=urn:contentItem:8SHT-0712-D6RV-H421-00000-00&amp;context=" TargetMode="External"/><Relationship Id="rId285" Type="http://schemas.openxmlformats.org/officeDocument/2006/relationships/hyperlink" Target="https://advance.lexis.com/api/document?collection=cases&amp;id=urn:contentItem:5K0R-6SY1-F04K-F143-00000-00&amp;context=" TargetMode="External"/><Relationship Id="rId17" Type="http://schemas.openxmlformats.org/officeDocument/2006/relationships/hyperlink" Target="https://advance.lexis.com/api/document?collection=cases&amp;id=urn:contentItem:3S4X-HMW0-003B-S4JG-00000-00&amp;context=" TargetMode="External"/><Relationship Id="rId38" Type="http://schemas.openxmlformats.org/officeDocument/2006/relationships/hyperlink" Target="https://advance.lexis.com/api/document?collection=analytical-materials&amp;id=urn:contentItem:54YV-HJV0-00CW-C012-00000-00&amp;context=" TargetMode="External"/><Relationship Id="rId59" Type="http://schemas.openxmlformats.org/officeDocument/2006/relationships/hyperlink" Target="https://advance.lexis.com/api/document?collection=cases&amp;id=urn:contentItem:3S4X-FK40-003B-S0R1-00000-00&amp;context=" TargetMode="External"/><Relationship Id="rId103" Type="http://schemas.openxmlformats.org/officeDocument/2006/relationships/hyperlink" Target="https://advance.lexis.com/api/document?collection=cases&amp;id=urn:contentItem:3S4X-F290-003B-S37F-00000-00&amp;context=" TargetMode="External"/><Relationship Id="rId124" Type="http://schemas.openxmlformats.org/officeDocument/2006/relationships/hyperlink" Target="https://advance.lexis.com/api/document?collection=cases&amp;id=urn:contentItem:3S4X-BWT0-0039-N0H9-00000-00&amp;context=" TargetMode="External"/><Relationship Id="rId310" Type="http://schemas.openxmlformats.org/officeDocument/2006/relationships/hyperlink" Target="https://advance.lexis.com/api/document?collection=statutes-legislation&amp;id=urn:contentItem:5GYC-2731-FG36-13Y6-00000-00&amp;context=" TargetMode="External"/><Relationship Id="rId70" Type="http://schemas.openxmlformats.org/officeDocument/2006/relationships/hyperlink" Target="https://advance.lexis.com/api/document?collection=cases&amp;id=urn:contentItem:3S4X-DCD0-003B-S06X-00000-00&amp;context=" TargetMode="External"/><Relationship Id="rId91" Type="http://schemas.openxmlformats.org/officeDocument/2006/relationships/hyperlink" Target="https://advance.lexis.com/api/document?collection=cases&amp;id=urn:contentItem:3S4X-JMP0-003B-S545-00000-00&amp;context=" TargetMode="External"/><Relationship Id="rId145" Type="http://schemas.openxmlformats.org/officeDocument/2006/relationships/hyperlink" Target="https://advance.lexis.com/api/document?collection=statutes-legislation&amp;id=urn:contentItem:8SDD-0C82-8T6X-73JP-00000-00&amp;context=" TargetMode="External"/><Relationship Id="rId166" Type="http://schemas.openxmlformats.org/officeDocument/2006/relationships/hyperlink" Target="https://advance.lexis.com/api/document?collection=cases&amp;id=urn:contentItem:3S4X-HR60-003B-S0HP-00000-00&amp;context=" TargetMode="External"/><Relationship Id="rId187" Type="http://schemas.openxmlformats.org/officeDocument/2006/relationships/hyperlink" Target="https://advance.lexis.com/api/document?collection=statutes-legislation&amp;id=urn:contentItem:8SHT-0722-D6RV-H4CX-00000-00&amp;context=" TargetMode="External"/><Relationship Id="rId331" Type="http://schemas.openxmlformats.org/officeDocument/2006/relationships/hyperlink" Target="https://advance.lexis.com/api/document?collection=analytical-materials&amp;id=urn:contentItem:55XX-MMW0-02BN-105F-00000-00&amp;context=" TargetMode="External"/><Relationship Id="rId352" Type="http://schemas.openxmlformats.org/officeDocument/2006/relationships/hyperlink" Target="https://advance.lexis.com/api/document?collection=cases&amp;id=urn:contentItem:5KF9-R3T1-F04K-J438-00000-00&amp;context=" TargetMode="External"/><Relationship Id="rId373" Type="http://schemas.openxmlformats.org/officeDocument/2006/relationships/hyperlink" Target="https://advance.lexis.com/api/document?collection=analytical-materials&amp;id=urn:contentItem:4B89-XW00-00CV-P0F0-00000-00&amp;context=" TargetMode="External"/><Relationship Id="rId1" Type="http://schemas.openxmlformats.org/officeDocument/2006/relationships/hyperlink" Target="http://search.japantimes.co.jp/cgi-bin/ed20060803a2.html" TargetMode="External"/><Relationship Id="rId212" Type="http://schemas.openxmlformats.org/officeDocument/2006/relationships/hyperlink" Target="https://advance.lexis.com/api/document?collection=statutes-legislation&amp;id=urn:contentItem:8SDD-0C82-8T6X-73JR-00000-00&amp;context=" TargetMode="External"/><Relationship Id="rId233" Type="http://schemas.openxmlformats.org/officeDocument/2006/relationships/hyperlink" Target="https://advance.lexis.com/api/document?collection=statutes-legislation&amp;id=urn:contentItem:8SHT-0712-D6RV-H421-00000-00&amp;context=" TargetMode="External"/><Relationship Id="rId254" Type="http://schemas.openxmlformats.org/officeDocument/2006/relationships/hyperlink" Target="https://advance.lexis.com/api/document?collection=statutes-legislation&amp;id=urn:contentItem:8SHT-0712-D6RV-H421-00000-00&amp;context=" TargetMode="External"/><Relationship Id="rId28" Type="http://schemas.openxmlformats.org/officeDocument/2006/relationships/hyperlink" Target="https://advance.lexis.com/api/document?collection=cases&amp;id=urn:contentItem:42WW-PFB0-004B-Y04H-00000-00&amp;context=" TargetMode="External"/><Relationship Id="rId49" Type="http://schemas.openxmlformats.org/officeDocument/2006/relationships/hyperlink" Target="https://advance.lexis.com/api/document?collection=cases&amp;id=urn:contentItem:3S4X-JWD0-003B-S1FN-00000-00&amp;context=" TargetMode="External"/><Relationship Id="rId114" Type="http://schemas.openxmlformats.org/officeDocument/2006/relationships/hyperlink" Target="https://advance.lexis.com/api/document?collection=statutes-legislation&amp;id=urn:contentItem:5B63-3K11-6M80-450W-00000-00&amp;context=" TargetMode="External"/><Relationship Id="rId275" Type="http://schemas.openxmlformats.org/officeDocument/2006/relationships/hyperlink" Target="https://advance.lexis.com/api/document?collection=analytical-materials&amp;id=urn:contentItem:5HSW-6S60-00CT-S1F4-00000-00&amp;context=" TargetMode="External"/><Relationship Id="rId296" Type="http://schemas.openxmlformats.org/officeDocument/2006/relationships/hyperlink" Target="https://advance.lexis.com/api/document?collection=cases&amp;id=urn:contentItem:3S4W-XG50-001B-K1XN-00000-00&amp;context=" TargetMode="External"/><Relationship Id="rId300" Type="http://schemas.openxmlformats.org/officeDocument/2006/relationships/hyperlink" Target="https://advance.lexis.com/api/document?collection=cases&amp;id=urn:contentItem:3S4X-7020-001B-K2J9-00000-00&amp;context=" TargetMode="External"/><Relationship Id="rId60" Type="http://schemas.openxmlformats.org/officeDocument/2006/relationships/hyperlink" Target="https://advance.lexis.com/api/document?collection=cases&amp;id=urn:contentItem:3S4X-FK40-003B-S0R1-00000-00&amp;context=" TargetMode="External"/><Relationship Id="rId81" Type="http://schemas.openxmlformats.org/officeDocument/2006/relationships/hyperlink" Target="https://advance.lexis.com/api/document?collection=statutes-legislation&amp;id=urn:contentItem:8VTK-V6V2-D6RV-H1NY-00000-00&amp;context=" TargetMode="External"/><Relationship Id="rId135" Type="http://schemas.openxmlformats.org/officeDocument/2006/relationships/hyperlink" Target="https://advance.lexis.com/api/document?collection=statutes-legislation&amp;id=urn:contentItem:8T9R-T652-D6RV-H38R-00000-00&amp;context=" TargetMode="External"/><Relationship Id="rId156" Type="http://schemas.openxmlformats.org/officeDocument/2006/relationships/hyperlink" Target="https://advance.lexis.com/api/document?collection=statutes-legislation&amp;id=urn:contentItem:8SDD-0C82-8T6X-73JR-00000-00&amp;context=" TargetMode="External"/><Relationship Id="rId177" Type="http://schemas.openxmlformats.org/officeDocument/2006/relationships/hyperlink" Target="https://advance.lexis.com/api/document?collection=statutes-legislation&amp;id=urn:contentItem:8SHT-0712-D6RV-H3GY-00000-00&amp;context=" TargetMode="External"/><Relationship Id="rId198" Type="http://schemas.openxmlformats.org/officeDocument/2006/relationships/hyperlink" Target="https://advance.lexis.com/api/document?collection=statutes-legislation&amp;id=urn:contentItem:8S5C-HC12-D6RV-H38N-00000-00&amp;context=" TargetMode="External"/><Relationship Id="rId321" Type="http://schemas.openxmlformats.org/officeDocument/2006/relationships/hyperlink" Target="https://advance.lexis.com/api/document?collection=cases&amp;id=urn:contentItem:3S4X-FHY0-003B-S050-00000-00&amp;context=" TargetMode="External"/><Relationship Id="rId342" Type="http://schemas.openxmlformats.org/officeDocument/2006/relationships/hyperlink" Target="https://advance.lexis.com/api/document?collection=cases&amp;id=urn:contentItem:5G1T-PJ11-F04F-03XT-00000-00&amp;context=" TargetMode="External"/><Relationship Id="rId363" Type="http://schemas.openxmlformats.org/officeDocument/2006/relationships/hyperlink" Target="https://advance.lexis.com/api/document?collection=statutes-legislation&amp;id=urn:contentItem:8SG9-5HW2-D6RV-H070-00000-00&amp;context=" TargetMode="External"/><Relationship Id="rId202" Type="http://schemas.openxmlformats.org/officeDocument/2006/relationships/hyperlink" Target="https://advance.lexis.com/api/document?collection=statutes-legislation&amp;id=urn:contentItem:8T8B-PYP2-D6RV-H0H5-00000-00&amp;context=" TargetMode="External"/><Relationship Id="rId223" Type="http://schemas.openxmlformats.org/officeDocument/2006/relationships/hyperlink" Target="https://advance.lexis.com/api/document?collection=analytical-materials&amp;id=urn:contentItem:4KBM-JG40-00SW-404N-00000-00&amp;context=" TargetMode="External"/><Relationship Id="rId244" Type="http://schemas.openxmlformats.org/officeDocument/2006/relationships/hyperlink" Target="https://advance.lexis.com/api/document?collection=statutes-legislation&amp;id=urn:contentItem:8SHT-0712-D6RV-H421-00000-00&amp;context=" TargetMode="External"/><Relationship Id="rId18" Type="http://schemas.openxmlformats.org/officeDocument/2006/relationships/hyperlink" Target="https://advance.lexis.com/api/document?collection=cases&amp;id=urn:contentItem:3S4X-HMW0-003B-S4JG-00000-00&amp;context=" TargetMode="External"/><Relationship Id="rId39" Type="http://schemas.openxmlformats.org/officeDocument/2006/relationships/hyperlink" Target="https://advance.lexis.com/api/document?collection=cases&amp;id=urn:contentItem:52NJ-YN01-652H-C207-00000-00&amp;context=" TargetMode="External"/><Relationship Id="rId265" Type="http://schemas.openxmlformats.org/officeDocument/2006/relationships/hyperlink" Target="https://advance.lexis.com/api/document?collection=statutes-legislation&amp;id=urn:contentItem:8SHT-0712-D6RV-H421-00000-00&amp;context=" TargetMode="External"/><Relationship Id="rId286" Type="http://schemas.openxmlformats.org/officeDocument/2006/relationships/hyperlink" Target="https://advance.lexis.com/api/document?collection=cases&amp;id=urn:contentItem:3S4X-81F0-003B-S143-00000-00&amp;context=" TargetMode="External"/><Relationship Id="rId50" Type="http://schemas.openxmlformats.org/officeDocument/2006/relationships/hyperlink" Target="https://advance.lexis.com/api/document?collection=cases&amp;id=urn:contentItem:3S4X-JWD0-003B-S1FN-00000-00&amp;context=" TargetMode="External"/><Relationship Id="rId104" Type="http://schemas.openxmlformats.org/officeDocument/2006/relationships/hyperlink" Target="https://advance.lexis.com/api/document?collection=cases&amp;id=urn:contentItem:3S4X-F290-003B-S37F-00000-00&amp;context=" TargetMode="External"/><Relationship Id="rId125" Type="http://schemas.openxmlformats.org/officeDocument/2006/relationships/hyperlink" Target="https://advance.lexis.com/api/document?collection=statutes-legislation&amp;id=urn:contentItem:8T9R-T602-D6RV-H38J-00000-00&amp;context=" TargetMode="External"/><Relationship Id="rId146" Type="http://schemas.openxmlformats.org/officeDocument/2006/relationships/hyperlink" Target="https://advance.lexis.com/api/document?collection=statutes-legislation&amp;id=urn:contentItem:8SDD-0C82-8T6X-73JP-00000-00&amp;context=" TargetMode="External"/><Relationship Id="rId167" Type="http://schemas.openxmlformats.org/officeDocument/2006/relationships/hyperlink" Target="https://advance.lexis.com/api/document?collection=cases&amp;id=urn:contentItem:3S4X-D9Y0-003B-H1CF-00000-00&amp;context=" TargetMode="External"/><Relationship Id="rId188" Type="http://schemas.openxmlformats.org/officeDocument/2006/relationships/hyperlink" Target="https://advance.lexis.com/api/document?collection=statutes-legislation&amp;id=urn:contentItem:8SHT-0712-D6RV-H3H3-00000-00&amp;context=" TargetMode="External"/><Relationship Id="rId311" Type="http://schemas.openxmlformats.org/officeDocument/2006/relationships/hyperlink" Target="https://advance.lexis.com/api/document?collection=statutes-legislation&amp;id=urn:contentItem:5GYC-2731-FG36-13Y6-00000-00&amp;context=" TargetMode="External"/><Relationship Id="rId332" Type="http://schemas.openxmlformats.org/officeDocument/2006/relationships/hyperlink" Target="https://advance.lexis.com/api/document?collection=analytical-materials&amp;id=urn:contentItem:4VB7-RPG0-00CW-81D6-00000-00&amp;context=" TargetMode="External"/><Relationship Id="rId353" Type="http://schemas.openxmlformats.org/officeDocument/2006/relationships/hyperlink" Target="https://advance.lexis.com/api/document?collection=cases&amp;id=urn:contentItem:5KF9-R3T1-F04K-J438-00000-00&amp;context=" TargetMode="External"/><Relationship Id="rId374" Type="http://schemas.openxmlformats.org/officeDocument/2006/relationships/hyperlink" Target="https://advance.lexis.com/api/document?collection=analytical-materials&amp;id=urn:contentItem:4B89-XW00-00CV-P0F0-00000-00&amp;context=" TargetMode="External"/><Relationship Id="rId71" Type="http://schemas.openxmlformats.org/officeDocument/2006/relationships/hyperlink" Target="https://advance.lexis.com/api/document?collection=cases&amp;id=urn:contentItem:4SVD-G000-TXFX-11T0-00000-00&amp;context=" TargetMode="External"/><Relationship Id="rId92" Type="http://schemas.openxmlformats.org/officeDocument/2006/relationships/hyperlink" Target="https://advance.lexis.com/api/document?collection=cases&amp;id=urn:contentItem:3S4X-JMP0-003B-S545-00000-00&amp;context=" TargetMode="External"/><Relationship Id="rId213" Type="http://schemas.openxmlformats.org/officeDocument/2006/relationships/hyperlink" Target="https://advance.lexis.com/api/document?collection=statutes-legislation&amp;id=urn:contentItem:8SDD-0C82-8T6X-73JR-00000-00&amp;context=" TargetMode="External"/><Relationship Id="rId234" Type="http://schemas.openxmlformats.org/officeDocument/2006/relationships/hyperlink" Target="https://advance.lexis.com/api/document?collection=statutes-legislation&amp;id=urn:contentItem:8SHT-0712-D6RV-H421-00000-00&amp;context=" TargetMode="External"/><Relationship Id="rId2" Type="http://schemas.openxmlformats.org/officeDocument/2006/relationships/hyperlink" Target="http://ipsnews.net/news.asp?idnews=33976" TargetMode="External"/><Relationship Id="rId29" Type="http://schemas.openxmlformats.org/officeDocument/2006/relationships/hyperlink" Target="https://advance.lexis.com/api/document?collection=cases&amp;id=urn:contentItem:42WW-PFB0-004B-Y04H-00000-00&amp;context=" TargetMode="External"/><Relationship Id="rId255" Type="http://schemas.openxmlformats.org/officeDocument/2006/relationships/hyperlink" Target="https://advance.lexis.com/api/document?collection=cases&amp;id=urn:contentItem:45FB-8100-004B-Y05T-00000-00&amp;context=" TargetMode="External"/><Relationship Id="rId276" Type="http://schemas.openxmlformats.org/officeDocument/2006/relationships/hyperlink" Target="https://advance.lexis.com/api/document?collection=analytical-materials&amp;id=urn:contentItem:4MM7-4F40-00SW-500S-00000-00&amp;context=" TargetMode="External"/><Relationship Id="rId297" Type="http://schemas.openxmlformats.org/officeDocument/2006/relationships/hyperlink" Target="https://advance.lexis.com/api/document?collection=cases&amp;id=urn:contentItem:3S4W-XG50-001B-K1XN-00000-00&amp;context=" TargetMode="External"/><Relationship Id="rId40" Type="http://schemas.openxmlformats.org/officeDocument/2006/relationships/hyperlink" Target="https://advance.lexis.com/api/document?collection=cases&amp;id=urn:contentItem:52NJ-YN01-652H-C207-00000-00&amp;context=" TargetMode="External"/><Relationship Id="rId115" Type="http://schemas.openxmlformats.org/officeDocument/2006/relationships/hyperlink" Target="https://advance.lexis.com/api/document?collection=statutes-legislation&amp;id=urn:contentItem:8T9R-T602-D6RV-H38J-00000-00&amp;context=" TargetMode="External"/><Relationship Id="rId136" Type="http://schemas.openxmlformats.org/officeDocument/2006/relationships/hyperlink" Target="https://advance.lexis.com/api/document?collection=statutes-legislation&amp;id=urn:contentItem:8T9R-T2P2-8T6X-731C-00000-00&amp;context=" TargetMode="External"/><Relationship Id="rId157" Type="http://schemas.openxmlformats.org/officeDocument/2006/relationships/hyperlink" Target="https://advance.lexis.com/api/document?collection=statutes-legislation&amp;id=urn:contentItem:8SDD-0C82-8T6X-73JR-00000-00&amp;context=" TargetMode="External"/><Relationship Id="rId178" Type="http://schemas.openxmlformats.org/officeDocument/2006/relationships/hyperlink" Target="https://advance.lexis.com/api/document?collection=statutes-legislation&amp;id=urn:contentItem:8SHT-0712-D6RV-H3GY-00000-00&amp;context=" TargetMode="External"/><Relationship Id="rId301" Type="http://schemas.openxmlformats.org/officeDocument/2006/relationships/hyperlink" Target="https://advance.lexis.com/api/document?collection=cases&amp;id=urn:contentItem:3S4X-7020-001B-K2J9-00000-00&amp;context=" TargetMode="External"/><Relationship Id="rId322" Type="http://schemas.openxmlformats.org/officeDocument/2006/relationships/hyperlink" Target="https://advance.lexis.com/api/document?collection=cases&amp;id=urn:contentItem:3S4X-FHY0-003B-S050-00000-00&amp;context=" TargetMode="External"/><Relationship Id="rId343" Type="http://schemas.openxmlformats.org/officeDocument/2006/relationships/hyperlink" Target="https://advance.lexis.com/api/document?collection=cases&amp;id=urn:contentItem:5J81-NMW1-F04F-01Y5-00000-00&amp;context=" TargetMode="External"/><Relationship Id="rId364" Type="http://schemas.openxmlformats.org/officeDocument/2006/relationships/hyperlink" Target="https://advance.lexis.com/api/document?collection=cases&amp;id=urn:contentItem:5JVP-TS41-F04F-019F-00000-00&amp;context=" TargetMode="External"/><Relationship Id="rId61" Type="http://schemas.openxmlformats.org/officeDocument/2006/relationships/hyperlink" Target="https://advance.lexis.com/api/document?collection=cases&amp;id=urn:contentItem:3S4X-FK40-003B-S0R1-00000-00&amp;context=" TargetMode="External"/><Relationship Id="rId82" Type="http://schemas.openxmlformats.org/officeDocument/2006/relationships/hyperlink" Target="https://advance.lexis.com/api/document?collection=cases&amp;id=urn:contentItem:3S4X-3DG0-006F-M0RV-00000-00&amp;context=" TargetMode="External"/><Relationship Id="rId199" Type="http://schemas.openxmlformats.org/officeDocument/2006/relationships/hyperlink" Target="https://advance.lexis.com/api/document?collection=statutes-legislation&amp;id=urn:contentItem:8S5C-HC12-D6RV-H38N-00000-00&amp;context=" TargetMode="External"/><Relationship Id="rId203" Type="http://schemas.openxmlformats.org/officeDocument/2006/relationships/hyperlink" Target="https://advance.lexis.com/api/document?collection=statutes-legislation&amp;id=urn:contentItem:8S9D-W9D2-D6RV-H566-00000-00&amp;context=" TargetMode="External"/><Relationship Id="rId19" Type="http://schemas.openxmlformats.org/officeDocument/2006/relationships/hyperlink" Target="https://advance.lexis.com/api/document?collection=cases&amp;id=urn:contentItem:3S4X-HMW0-003B-S4JG-00000-00&amp;context=" TargetMode="External"/><Relationship Id="rId224" Type="http://schemas.openxmlformats.org/officeDocument/2006/relationships/hyperlink" Target="https://advance.lexis.com/api/document?collection=analytical-materials&amp;id=urn:contentItem:4MM7-4F40-00SW-500S-00000-00&amp;context=" TargetMode="External"/><Relationship Id="rId245" Type="http://schemas.openxmlformats.org/officeDocument/2006/relationships/hyperlink" Target="http://www.nhlp.org/html/sec8/" TargetMode="External"/><Relationship Id="rId266" Type="http://schemas.openxmlformats.org/officeDocument/2006/relationships/hyperlink" Target="https://advance.lexis.com/api/document?collection=statutes-legislation&amp;id=urn:contentItem:8SHT-0712-D6RV-H421-00000-00&amp;context=" TargetMode="External"/><Relationship Id="rId287" Type="http://schemas.openxmlformats.org/officeDocument/2006/relationships/hyperlink" Target="https://advance.lexis.com/api/document?collection=cases&amp;id=urn:contentItem:3S4X-81F0-003B-S143-00000-00&amp;context=" TargetMode="External"/><Relationship Id="rId30" Type="http://schemas.openxmlformats.org/officeDocument/2006/relationships/hyperlink" Target="https://advance.lexis.com/api/document?collection=cases&amp;id=urn:contentItem:42WW-PFB0-004B-Y04H-00000-00&amp;context=" TargetMode="External"/><Relationship Id="rId105" Type="http://schemas.openxmlformats.org/officeDocument/2006/relationships/hyperlink" Target="https://advance.lexis.com/api/document?collection=analytical-materials&amp;id=urn:contentItem:523B-86K0-00CV-M09T-00000-00&amp;context=" TargetMode="External"/><Relationship Id="rId126" Type="http://schemas.openxmlformats.org/officeDocument/2006/relationships/hyperlink" Target="https://advance.lexis.com/api/document?collection=statutes-legislation&amp;id=urn:contentItem:8T9R-T602-D6RV-H38J-00000-00&amp;context=" TargetMode="External"/><Relationship Id="rId147" Type="http://schemas.openxmlformats.org/officeDocument/2006/relationships/hyperlink" Target="https://advance.lexis.com/api/document?collection=statutes-legislation&amp;id=urn:contentItem:8SDD-0C82-8T6X-73JP-00000-00&amp;context=" TargetMode="External"/><Relationship Id="rId168" Type="http://schemas.openxmlformats.org/officeDocument/2006/relationships/hyperlink" Target="https://advance.lexis.com/api/document?collection=cases&amp;id=urn:contentItem:3S4X-D9Y0-003B-H1CF-00000-00&amp;context=" TargetMode="External"/><Relationship Id="rId312" Type="http://schemas.openxmlformats.org/officeDocument/2006/relationships/hyperlink" Target="https://advance.lexis.com/api/document?collection=cases&amp;id=urn:contentItem:3S4X-7020-001B-K2J9-00000-00&amp;context=" TargetMode="External"/><Relationship Id="rId333" Type="http://schemas.openxmlformats.org/officeDocument/2006/relationships/hyperlink" Target="https://advance.lexis.com/api/document?collection=cases&amp;id=urn:contentItem:7Y4J-7520-YB0V-9152-00000-00&amp;context=" TargetMode="External"/><Relationship Id="rId354" Type="http://schemas.openxmlformats.org/officeDocument/2006/relationships/hyperlink" Target="https://www.justice.gov/opa/speech/attorney-general-loretta-e-lynch-delivers-remarks-national-reentry-week-event" TargetMode="External"/><Relationship Id="rId51" Type="http://schemas.openxmlformats.org/officeDocument/2006/relationships/hyperlink" Target="https://advance.lexis.com/api/document?collection=cases&amp;id=urn:contentItem:3S4X-JWD0-003B-S1FN-00000-00&amp;context=" TargetMode="External"/><Relationship Id="rId72" Type="http://schemas.openxmlformats.org/officeDocument/2006/relationships/hyperlink" Target="https://advance.lexis.com/api/document?collection=cases&amp;id=urn:contentItem:4SVD-G000-TXFX-11T0-00000-00&amp;context=" TargetMode="External"/><Relationship Id="rId93" Type="http://schemas.openxmlformats.org/officeDocument/2006/relationships/hyperlink" Target="https://advance.lexis.com/api/document?collection=cases&amp;id=urn:contentItem:3S4X-JMP0-003B-S545-00000-00&amp;context=" TargetMode="External"/><Relationship Id="rId189" Type="http://schemas.openxmlformats.org/officeDocument/2006/relationships/hyperlink" Target="https://advance.lexis.com/api/document?collection=statutes-legislation&amp;id=urn:contentItem:8SHT-0712-D6RV-H3H3-00000-00&amp;context=" TargetMode="External"/><Relationship Id="rId375" Type="http://schemas.openxmlformats.org/officeDocument/2006/relationships/hyperlink" Target="https://advance.lexis.com/api/document?collection=cases&amp;id=urn:contentItem:3S4X-H470-003B-S2T1-00000-00&amp;context=" TargetMode="External"/><Relationship Id="rId3" Type="http://schemas.openxmlformats.org/officeDocument/2006/relationships/hyperlink" Target="https://advance.lexis.com/api/document?collection=analytical-materials&amp;id=urn:contentItem:483S-8KK0-00CW-G05V-00000-00&amp;context=" TargetMode="External"/><Relationship Id="rId214" Type="http://schemas.openxmlformats.org/officeDocument/2006/relationships/hyperlink" Target="https://advance.lexis.com/api/document?collection=statutes-legislation&amp;id=urn:contentItem:8SDD-0C82-8T6X-73JR-00000-00&amp;context=" TargetMode="External"/><Relationship Id="rId235" Type="http://schemas.openxmlformats.org/officeDocument/2006/relationships/hyperlink" Target="https://advance.lexis.com/api/document?collection=statutes-legislation&amp;id=urn:contentItem:8SHT-0712-D6RV-H423-00000-00&amp;context=" TargetMode="External"/><Relationship Id="rId256" Type="http://schemas.openxmlformats.org/officeDocument/2006/relationships/hyperlink" Target="https://advance.lexis.com/api/document?collection=cases&amp;id=urn:contentItem:45FB-8100-004B-Y05T-00000-00&amp;context=" TargetMode="External"/><Relationship Id="rId277" Type="http://schemas.openxmlformats.org/officeDocument/2006/relationships/hyperlink" Target="https://advance.lexis.com/api/document?collection=cases&amp;id=urn:contentItem:5NTV-D8X1-F04K-F1MJ-00000-00&amp;context=" TargetMode="External"/><Relationship Id="rId298" Type="http://schemas.openxmlformats.org/officeDocument/2006/relationships/hyperlink" Target="https://advance.lexis.com/api/document?collection=cases&amp;id=urn:contentItem:3S4X-7020-001B-K2J9-00000-00&amp;context=" TargetMode="External"/><Relationship Id="rId116" Type="http://schemas.openxmlformats.org/officeDocument/2006/relationships/hyperlink" Target="https://advance.lexis.com/api/document?collection=statutes-legislation&amp;id=urn:contentItem:8T9R-T602-D6RV-H38J-00000-00&amp;context=" TargetMode="External"/><Relationship Id="rId137" Type="http://schemas.openxmlformats.org/officeDocument/2006/relationships/hyperlink" Target="https://advance.lexis.com/api/document?collection=statutes-legislation&amp;id=urn:contentItem:8SDD-0C82-8T6X-73JP-00000-00&amp;context=" TargetMode="External"/><Relationship Id="rId158" Type="http://schemas.openxmlformats.org/officeDocument/2006/relationships/hyperlink" Target="https://advance.lexis.com/api/document?collection=statutes-legislation&amp;id=urn:contentItem:8SDD-0C82-8T6X-73JR-00000-00&amp;context=" TargetMode="External"/><Relationship Id="rId302" Type="http://schemas.openxmlformats.org/officeDocument/2006/relationships/hyperlink" Target="https://advance.lexis.com/api/document?collection=cases&amp;id=urn:contentItem:3S4X-7020-001B-K2J9-00000-00&amp;context=" TargetMode="External"/><Relationship Id="rId323" Type="http://schemas.openxmlformats.org/officeDocument/2006/relationships/hyperlink" Target="https://advance.lexis.com/api/document?collection=cases&amp;id=urn:contentItem:3S4X-9CR0-003B-5153-00000-00&amp;context=" TargetMode="External"/><Relationship Id="rId344" Type="http://schemas.openxmlformats.org/officeDocument/2006/relationships/hyperlink" Target="https://advance.lexis.com/api/document?collection=cases&amp;id=urn:contentItem:5J81-NMW1-F04F-01Y5-00000-00&amp;context=" TargetMode="External"/><Relationship Id="rId20" Type="http://schemas.openxmlformats.org/officeDocument/2006/relationships/hyperlink" Target="https://advance.lexis.com/api/document?collection=cases&amp;id=urn:contentItem:3S4X-HMW0-003B-S4JG-00000-00&amp;context=" TargetMode="External"/><Relationship Id="rId41" Type="http://schemas.openxmlformats.org/officeDocument/2006/relationships/hyperlink" Target="https://advance.lexis.com/api/document?collection=cases&amp;id=urn:contentItem:7YPJ-1360-YB0V-90DH-00000-00&amp;context=" TargetMode="External"/><Relationship Id="rId62" Type="http://schemas.openxmlformats.org/officeDocument/2006/relationships/hyperlink" Target="http://www.lac.org/roadblocks-to-reentry/upload/lacreport/LAC_PrintReport.pdf" TargetMode="External"/><Relationship Id="rId83" Type="http://schemas.openxmlformats.org/officeDocument/2006/relationships/hyperlink" Target="https://advance.lexis.com/api/document?collection=statutes-legislation&amp;id=urn:contentItem:8SDD-0M72-D6RV-H44M-00000-00&amp;context=" TargetMode="External"/><Relationship Id="rId179" Type="http://schemas.openxmlformats.org/officeDocument/2006/relationships/hyperlink" Target="https://advance.lexis.com/api/document?collection=statutes-legislation&amp;id=urn:contentItem:8TSF-7GM2-8T6X-72B1-00000-00&amp;context=" TargetMode="External"/><Relationship Id="rId365" Type="http://schemas.openxmlformats.org/officeDocument/2006/relationships/hyperlink" Target="https://advance.lexis.com/api/document?collection=analytical-materials&amp;id=urn:contentItem:4B85-ND00-00CV-50S3-00000-00&amp;context=" TargetMode="External"/><Relationship Id="rId190" Type="http://schemas.openxmlformats.org/officeDocument/2006/relationships/hyperlink" Target="https://advance.lexis.com/api/document?collection=statutes-legislation&amp;id=urn:contentItem:8SHT-0712-D6RV-H3H3-00000-00&amp;context=" TargetMode="External"/><Relationship Id="rId204" Type="http://schemas.openxmlformats.org/officeDocument/2006/relationships/hyperlink" Target="https://advance.lexis.com/api/document?collection=statutes-legislation&amp;id=urn:contentItem:8S9D-W9D2-D6RV-H566-00000-00&amp;context=" TargetMode="External"/><Relationship Id="rId225" Type="http://schemas.openxmlformats.org/officeDocument/2006/relationships/hyperlink" Target="http://www.nytimes.com/2008/08/03/technology/03essay" TargetMode="External"/><Relationship Id="rId246" Type="http://schemas.openxmlformats.org/officeDocument/2006/relationships/hyperlink" Target="https://advance.lexis.com/api/document?collection=statutes-legislation&amp;id=urn:contentItem:8SHT-0712-D6RV-H421-00000-00&amp;context=" TargetMode="External"/><Relationship Id="rId267" Type="http://schemas.openxmlformats.org/officeDocument/2006/relationships/hyperlink" Target="http://www.jrf.org.uk/knowledge/findings/housing/H178.asp" TargetMode="External"/><Relationship Id="rId288" Type="http://schemas.openxmlformats.org/officeDocument/2006/relationships/hyperlink" Target="https://advance.lexis.com/api/document?collection=cases&amp;id=urn:contentItem:3S4X-81F0-003B-S143-00000-00&amp;context=" TargetMode="External"/><Relationship Id="rId106" Type="http://schemas.openxmlformats.org/officeDocument/2006/relationships/hyperlink" Target="https://advance.lexis.com/api/document?collection=analytical-materials&amp;id=urn:contentItem:523B-86K0-00CV-M09T-00000-00&amp;context=" TargetMode="External"/><Relationship Id="rId127" Type="http://schemas.openxmlformats.org/officeDocument/2006/relationships/hyperlink" Target="https://advance.lexis.com/api/document?collection=statutes-legislation&amp;id=urn:contentItem:8SHT-0712-D6RV-H4XT-00000-00&amp;context=" TargetMode="External"/><Relationship Id="rId313" Type="http://schemas.openxmlformats.org/officeDocument/2006/relationships/hyperlink" Target="https://advance.lexis.com/api/document?collection=cases&amp;id=urn:contentItem:3S4X-7020-001B-K2J9-00000-00&amp;context=" TargetMode="External"/><Relationship Id="rId10" Type="http://schemas.openxmlformats.org/officeDocument/2006/relationships/hyperlink" Target="https://advance.lexis.com/api/document?collection=analytical-materials&amp;id=urn:contentItem:4WXJ-5PV0-02BM-Y00T-00000-00&amp;context=" TargetMode="External"/><Relationship Id="rId31" Type="http://schemas.openxmlformats.org/officeDocument/2006/relationships/hyperlink" Target="https://advance.lexis.com/api/document?collection=cases&amp;id=urn:contentItem:3S4X-DYN0-003B-S1JM-00000-00&amp;context=" TargetMode="External"/><Relationship Id="rId52" Type="http://schemas.openxmlformats.org/officeDocument/2006/relationships/hyperlink" Target="https://advance.lexis.com/api/document?collection=cases&amp;id=urn:contentItem:3S4X-JWD0-003B-S1FN-00000-00&amp;context=" TargetMode="External"/><Relationship Id="rId73" Type="http://schemas.openxmlformats.org/officeDocument/2006/relationships/hyperlink" Target="https://advance.lexis.com/api/document?collection=cases&amp;id=urn:contentItem:4SVD-G000-TXFX-11T0-00000-00&amp;context=" TargetMode="External"/><Relationship Id="rId94" Type="http://schemas.openxmlformats.org/officeDocument/2006/relationships/hyperlink" Target="https://advance.lexis.com/api/document?collection=cases&amp;id=urn:contentItem:3S4X-JMP0-003B-S545-00000-00&amp;context=" TargetMode="External"/><Relationship Id="rId148" Type="http://schemas.openxmlformats.org/officeDocument/2006/relationships/hyperlink" Target="https://advance.lexis.com/api/document?collection=statutes-legislation&amp;id=urn:contentItem:8SDD-0C82-8T6X-73JP-00000-00&amp;context=" TargetMode="External"/><Relationship Id="rId169" Type="http://schemas.openxmlformats.org/officeDocument/2006/relationships/hyperlink" Target="https://advance.lexis.com/api/document?collection=cases&amp;id=urn:contentItem:3S4X-D9Y0-003B-H1CF-00000-00&amp;context=" TargetMode="External"/><Relationship Id="rId334" Type="http://schemas.openxmlformats.org/officeDocument/2006/relationships/hyperlink" Target="https://advance.lexis.com/api/document?collection=cases&amp;id=urn:contentItem:7Y4J-7520-YB0V-9152-00000-00&amp;context=" TargetMode="External"/><Relationship Id="rId355" Type="http://schemas.openxmlformats.org/officeDocument/2006/relationships/hyperlink" Target="https://perma.cc/4R" TargetMode="External"/><Relationship Id="rId376" Type="http://schemas.openxmlformats.org/officeDocument/2006/relationships/hyperlink" Target="https://advance.lexis.com/api/document?collection=cases&amp;id=urn:contentItem:3S4X-5M50-003B-S0VP-00000-00&amp;context=" TargetMode="External"/><Relationship Id="rId4" Type="http://schemas.openxmlformats.org/officeDocument/2006/relationships/hyperlink" Target="https://advance.lexis.com/api/document?collection=analytical-materials&amp;id=urn:contentItem:460X-H6M0-00CT-V1B2-00000-00&amp;context=" TargetMode="External"/><Relationship Id="rId180" Type="http://schemas.openxmlformats.org/officeDocument/2006/relationships/hyperlink" Target="https://advance.lexis.com/api/document?collection=statutes-legislation&amp;id=urn:contentItem:8TSF-7GM2-8T6X-72B1-00000-00&amp;context=" TargetMode="External"/><Relationship Id="rId215" Type="http://schemas.openxmlformats.org/officeDocument/2006/relationships/hyperlink" Target="https://advance.lexis.com/api/document?collection=statutes-legislation&amp;id=urn:contentItem:8SDD-0C82-8T6X-73JR-00000-00&amp;context=" TargetMode="External"/><Relationship Id="rId236" Type="http://schemas.openxmlformats.org/officeDocument/2006/relationships/hyperlink" Target="https://advance.lexis.com/api/document?collection=statutes-legislation&amp;id=urn:contentItem:8SHT-0712-D6RV-H423-00000-00&amp;context=" TargetMode="External"/><Relationship Id="rId257" Type="http://schemas.openxmlformats.org/officeDocument/2006/relationships/hyperlink" Target="https://advance.lexis.com/api/document?collection=cases&amp;id=urn:contentItem:45FB-8100-004B-Y05T-00000-00&amp;context=" TargetMode="External"/><Relationship Id="rId278" Type="http://schemas.openxmlformats.org/officeDocument/2006/relationships/hyperlink" Target="https://advance.lexis.com/api/document?collection=cases&amp;id=urn:contentItem:5NTV-D8X1-F04K-F1MJ-00000-00&amp;context=" TargetMode="External"/><Relationship Id="rId303" Type="http://schemas.openxmlformats.org/officeDocument/2006/relationships/hyperlink" Target="https://advance.lexis.com/api/document?collection=cases&amp;id=urn:contentItem:3S4X-48N0-003B-72DR-00000-00&amp;context=" TargetMode="External"/><Relationship Id="rId42" Type="http://schemas.openxmlformats.org/officeDocument/2006/relationships/hyperlink" Target="https://advance.lexis.com/api/document?collection=statutes-legislation&amp;id=urn:contentItem:5K1J-NT11-DYB7-S520-00000-00&amp;context=" TargetMode="External"/><Relationship Id="rId84" Type="http://schemas.openxmlformats.org/officeDocument/2006/relationships/hyperlink" Target="https://advance.lexis.com/api/document?collection=statutes-legislation&amp;id=urn:contentItem:8SDD-0M72-D6RV-H44M-00000-00&amp;context=" TargetMode="External"/><Relationship Id="rId138" Type="http://schemas.openxmlformats.org/officeDocument/2006/relationships/hyperlink" Target="https://advance.lexis.com/api/document?collection=statutes-legislation&amp;id=urn:contentItem:8SDD-0C82-8T6X-73JP-00000-00&amp;context=" TargetMode="External"/><Relationship Id="rId345" Type="http://schemas.openxmlformats.org/officeDocument/2006/relationships/hyperlink" Target="https://advance.lexis.com/api/document?collection=cases&amp;id=urn:contentItem:5G1T-PJ11-F04F-03XT-00000-00&amp;context=" TargetMode="External"/><Relationship Id="rId191" Type="http://schemas.openxmlformats.org/officeDocument/2006/relationships/hyperlink" Target="https://advance.lexis.com/api/document?collection=statutes-legislation&amp;id=urn:contentItem:5XT9-FP93-CH1B-T2F2-00000-00&amp;context=" TargetMode="External"/><Relationship Id="rId205" Type="http://schemas.openxmlformats.org/officeDocument/2006/relationships/hyperlink" Target="https://advance.lexis.com/api/document?collection=statutes-legislation&amp;id=urn:contentItem:8S9D-W9D2-D6RV-H566-00000-00&amp;context=" TargetMode="External"/><Relationship Id="rId247" Type="http://schemas.openxmlformats.org/officeDocument/2006/relationships/hyperlink" Target="https://advance.lexis.com/api/document?collection=statutes-legislation&amp;id=urn:contentItem:8SHT-0712-D6RV-H421-00000-00&amp;context=" TargetMode="External"/><Relationship Id="rId107" Type="http://schemas.openxmlformats.org/officeDocument/2006/relationships/hyperlink" Target="https://advance.lexis.com/api/document?collection=cases&amp;id=urn:contentItem:3S4X-FK00-003B-H448-00000-00&amp;context=" TargetMode="External"/><Relationship Id="rId289" Type="http://schemas.openxmlformats.org/officeDocument/2006/relationships/hyperlink" Target="https://advance.lexis.com/api/document?collection=cases&amp;id=urn:contentItem:3S4X-81F0-003B-S143-00000-00&amp;context=" TargetMode="External"/><Relationship Id="rId11" Type="http://schemas.openxmlformats.org/officeDocument/2006/relationships/hyperlink" Target="https://advance.lexis.com/api/document?collection=analytical-materials&amp;id=urn:contentItem:3YXH-XJN0-00CV-M0F3-00000-00&amp;context=" TargetMode="External"/><Relationship Id="rId53" Type="http://schemas.openxmlformats.org/officeDocument/2006/relationships/hyperlink" Target="https://advance.lexis.com/api/document?collection=cases&amp;id=urn:contentItem:3S4X-HMW0-003B-S4JG-00000-00&amp;context=" TargetMode="External"/><Relationship Id="rId149" Type="http://schemas.openxmlformats.org/officeDocument/2006/relationships/hyperlink" Target="https://advance.lexis.com/api/document?collection=analytical-materials&amp;id=urn:contentItem:3S41-2GH0-00CV-61CG-00000-00&amp;context=" TargetMode="External"/><Relationship Id="rId314" Type="http://schemas.openxmlformats.org/officeDocument/2006/relationships/hyperlink" Target="https://advance.lexis.com/api/document?collection=cases&amp;id=urn:contentItem:3S4X-7020-001B-K2J9-00000-00&amp;context=" TargetMode="External"/><Relationship Id="rId356" Type="http://schemas.openxmlformats.org/officeDocument/2006/relationships/hyperlink" Target="https://advance.lexis.com/api/document?collection=cases&amp;id=urn:contentItem:5JVP-TS41-F04F-019F-00000-00&amp;context=" TargetMode="External"/><Relationship Id="rId95" Type="http://schemas.openxmlformats.org/officeDocument/2006/relationships/hyperlink" Target="https://advance.lexis.com/api/document?collection=cases&amp;id=urn:contentItem:3S4X-JMP0-003B-S545-00000-00&amp;context=" TargetMode="External"/><Relationship Id="rId160" Type="http://schemas.openxmlformats.org/officeDocument/2006/relationships/hyperlink" Target="https://advance.lexis.com/api/document?collection=analytical-materials&amp;id=urn:contentItem:3S41-1YN0-00CV-50NR-00000-00&amp;context=" TargetMode="External"/><Relationship Id="rId216" Type="http://schemas.openxmlformats.org/officeDocument/2006/relationships/hyperlink" Target="https://advance.lexis.com/api/document?collection=statutes-legislation&amp;id=urn:contentItem:8SDD-0C82-8T6X-73JR-00000-00&amp;context=" TargetMode="External"/><Relationship Id="rId258" Type="http://schemas.openxmlformats.org/officeDocument/2006/relationships/hyperlink" Target="https://advance.lexis.com/api/document?collection=statutes-legislation&amp;id=urn:contentItem:8SHT-0712-D6RV-H421-00000-00&amp;context=" TargetMode="External"/><Relationship Id="rId22" Type="http://schemas.openxmlformats.org/officeDocument/2006/relationships/hyperlink" Target="https://advance.lexis.com/api/document?collection=cases&amp;id=urn:contentItem:3S4X-JXX0-003B-S33P-00000-00&amp;context=" TargetMode="External"/><Relationship Id="rId64" Type="http://schemas.openxmlformats.org/officeDocument/2006/relationships/hyperlink" Target="https://advance.lexis.com/api/document?collection=cases&amp;id=urn:contentItem:3TGV-N240-002K-6004-00000-00&amp;context=" TargetMode="External"/><Relationship Id="rId118" Type="http://schemas.openxmlformats.org/officeDocument/2006/relationships/hyperlink" Target="https://advance.lexis.com/api/document?collection=cases&amp;id=urn:contentItem:3S4W-X6F0-0039-Y4GP-00000-00&amp;context=" TargetMode="External"/><Relationship Id="rId325" Type="http://schemas.openxmlformats.org/officeDocument/2006/relationships/hyperlink" Target="https://advance.lexis.com/api/document?collection=cases&amp;id=urn:contentItem:3S4X-9CR0-003B-5153-00000-00&amp;context=" TargetMode="External"/><Relationship Id="rId367" Type="http://schemas.openxmlformats.org/officeDocument/2006/relationships/hyperlink" Target="https://advance.lexis.com/api/document?collection=analytical-materials&amp;id=urn:contentItem:3S3T-VFV0-00CV-N179-00000-00&amp;context=" TargetMode="External"/><Relationship Id="rId171" Type="http://schemas.openxmlformats.org/officeDocument/2006/relationships/hyperlink" Target="https://advance.lexis.com/api/document?collection=cases&amp;id=urn:contentItem:3S4X-J6T0-003B-S2SR-00000-00&amp;context=" TargetMode="External"/><Relationship Id="rId227" Type="http://schemas.openxmlformats.org/officeDocument/2006/relationships/hyperlink" Target="https://advance.lexis.com/api/document?collection=analytical-materials&amp;id=urn:contentItem:4C5H-1RR0-00CW-0028-00000-00&amp;context=" TargetMode="External"/><Relationship Id="rId269" Type="http://schemas.openxmlformats.org/officeDocument/2006/relationships/hyperlink" Target="https://advance.lexis.com/api/document?collection=statutes-legislation&amp;id=urn:contentItem:8SHT-0712-D6RV-H3B1-00000-00&amp;context=" TargetMode="External"/><Relationship Id="rId33" Type="http://schemas.openxmlformats.org/officeDocument/2006/relationships/hyperlink" Target="https://advance.lexis.com/api/document?collection=cases&amp;id=urn:contentItem:3S4X-DYN0-003B-S1JM-00000-00&amp;context=" TargetMode="External"/><Relationship Id="rId129" Type="http://schemas.openxmlformats.org/officeDocument/2006/relationships/hyperlink" Target="https://advance.lexis.com/api/document?collection=statutes-legislation&amp;id=urn:contentItem:8SHT-0712-D6RV-H4XT-00000-00&amp;context=" TargetMode="External"/><Relationship Id="rId280" Type="http://schemas.openxmlformats.org/officeDocument/2006/relationships/hyperlink" Target="https://advance.lexis.com/api/document?collection=cases&amp;id=urn:contentItem:5RKH-FHY1-F528-G46X-00000-00&amp;context=" TargetMode="External"/><Relationship Id="rId336" Type="http://schemas.openxmlformats.org/officeDocument/2006/relationships/hyperlink" Target="https://perma.cc/LDV8-BWW9" TargetMode="External"/><Relationship Id="rId75" Type="http://schemas.openxmlformats.org/officeDocument/2006/relationships/hyperlink" Target="https://advance.lexis.com/api/document?collection=cases&amp;id=urn:contentItem:3S4X-31N0-003B-H0YV-00000-00&amp;context=" TargetMode="External"/><Relationship Id="rId140" Type="http://schemas.openxmlformats.org/officeDocument/2006/relationships/hyperlink" Target="https://advance.lexis.com/api/document?collection=statutes-legislation&amp;id=urn:contentItem:8SDD-0C82-8T6X-73JP-00000-00&amp;context=" TargetMode="External"/><Relationship Id="rId182" Type="http://schemas.openxmlformats.org/officeDocument/2006/relationships/hyperlink" Target="https://advance.lexis.com/api/document?collection=statutes-legislation&amp;id=urn:contentItem:8S9D-WBG2-D6RV-H541-00000-00&amp;context=" TargetMode="External"/><Relationship Id="rId378" Type="http://schemas.openxmlformats.org/officeDocument/2006/relationships/hyperlink" Target="https://advance.lexis.com/api/document?collection=cases&amp;id=urn:contentItem:3S4X-F210-003B-S2TF-00000-00&amp;context=" TargetMode="External"/><Relationship Id="rId6" Type="http://schemas.openxmlformats.org/officeDocument/2006/relationships/hyperlink" Target="http://www.urban.org/UploadedPDF/411167" TargetMode="External"/><Relationship Id="rId238" Type="http://schemas.openxmlformats.org/officeDocument/2006/relationships/hyperlink" Target="https://advance.lexis.com/api/document?collection=statutes-legislation&amp;id=urn:contentItem:8SHT-0712-D6RV-H423-00000-00&amp;context=" TargetMode="External"/><Relationship Id="rId291" Type="http://schemas.openxmlformats.org/officeDocument/2006/relationships/hyperlink" Target="https://advance.lexis.com/api/document?collection=cases&amp;id=urn:contentItem:5M91-57M1-F04K-M07K-00000-00&amp;context=" TargetMode="External"/><Relationship Id="rId305" Type="http://schemas.openxmlformats.org/officeDocument/2006/relationships/hyperlink" Target="https://advance.lexis.com/api/document?collection=cases&amp;id=urn:contentItem:3S4X-7020-001B-K2J9-00000-00&amp;context=" TargetMode="External"/><Relationship Id="rId347" Type="http://schemas.openxmlformats.org/officeDocument/2006/relationships/hyperlink" Target="https://advance.lexis.com/api/document?collection=cases&amp;id=urn:contentItem:5G1T-PJ11-F04F-03XT-00000-00&amp;context=" TargetMode="External"/><Relationship Id="rId44" Type="http://schemas.openxmlformats.org/officeDocument/2006/relationships/hyperlink" Target="https://advance.lexis.com/api/document?collection=cases&amp;id=urn:contentItem:3S4X-CBS0-003B-S208-00000-00&amp;context=" TargetMode="External"/><Relationship Id="rId86" Type="http://schemas.openxmlformats.org/officeDocument/2006/relationships/hyperlink" Target="https://advance.lexis.com/api/document?collection=cases&amp;id=urn:contentItem:7YN8-YX51-2RHR-Y00S-00000-00&amp;context=" TargetMode="External"/><Relationship Id="rId151" Type="http://schemas.openxmlformats.org/officeDocument/2006/relationships/hyperlink" Target="https://advance.lexis.com/api/document?collection=statutes-legislation&amp;id=urn:contentItem:8SDD-0C82-8T6X-73JR-00000-00&amp;context=" TargetMode="External"/><Relationship Id="rId193" Type="http://schemas.openxmlformats.org/officeDocument/2006/relationships/hyperlink" Target="https://advance.lexis.com/api/document?collection=statutes-legislation&amp;id=urn:contentItem:5XT9-FP93-CH1B-T2F2-00000-00&amp;context=" TargetMode="External"/><Relationship Id="rId207" Type="http://schemas.openxmlformats.org/officeDocument/2006/relationships/hyperlink" Target="https://advance.lexis.com/api/document?collection=statutes-legislation&amp;id=urn:contentItem:8SG9-5042-D6RV-H05V-00000-00&amp;context=" TargetMode="External"/><Relationship Id="rId249" Type="http://schemas.openxmlformats.org/officeDocument/2006/relationships/hyperlink" Target="https://advance.lexis.com/api/document?collection=statutes-legislation&amp;id=urn:contentItem:8SHT-0732-D6RV-H1PS-00000-00&amp;context=" TargetMode="External"/><Relationship Id="rId13" Type="http://schemas.openxmlformats.org/officeDocument/2006/relationships/hyperlink" Target="https://advance.lexis.com/api/document?collection=analytical-materials&amp;id=urn:contentItem:468K-0GP0-00CV-V011-00000-00&amp;context=" TargetMode="External"/><Relationship Id="rId109" Type="http://schemas.openxmlformats.org/officeDocument/2006/relationships/hyperlink" Target="https://advance.lexis.com/api/document?collection=cases&amp;id=urn:contentItem:3S4X-FK00-003B-H448-00000-00&amp;context=" TargetMode="External"/><Relationship Id="rId260" Type="http://schemas.openxmlformats.org/officeDocument/2006/relationships/hyperlink" Target="https://advance.lexis.com/api/document?collection=statutes-legislation&amp;id=urn:contentItem:8SHT-0712-D6RV-H421-00000-00&amp;context=" TargetMode="External"/><Relationship Id="rId316" Type="http://schemas.openxmlformats.org/officeDocument/2006/relationships/hyperlink" Target="https://advance.lexis.com/api/document?collection=cases&amp;id=urn:contentItem:3S4X-FHY0-003B-S050-00000-00&amp;context=" TargetMode="External"/><Relationship Id="rId55" Type="http://schemas.openxmlformats.org/officeDocument/2006/relationships/hyperlink" Target="https://advance.lexis.com/api/document?collection=cases&amp;id=urn:contentItem:3S4X-HMW0-003B-S4JG-00000-00&amp;context=" TargetMode="External"/><Relationship Id="rId97" Type="http://schemas.openxmlformats.org/officeDocument/2006/relationships/hyperlink" Target="https://advance.lexis.com/api/document?collection=cases&amp;id=urn:contentItem:3S4X-JMP0-003B-S545-00000-00&amp;context=" TargetMode="External"/><Relationship Id="rId120" Type="http://schemas.openxmlformats.org/officeDocument/2006/relationships/hyperlink" Target="https://advance.lexis.com/api/document?collection=cases&amp;id=urn:contentItem:3S4X-CBS0-003B-S208-00000-00&amp;context=" TargetMode="External"/><Relationship Id="rId358" Type="http://schemas.openxmlformats.org/officeDocument/2006/relationships/hyperlink" Target="https://advance.lexis.com/api/document?collection=cases&amp;id=urn:contentItem:5JVP-TS41-F04F-019F-00000-00&amp;context=" TargetMode="External"/><Relationship Id="rId162" Type="http://schemas.openxmlformats.org/officeDocument/2006/relationships/hyperlink" Target="https://advance.lexis.com/api/document?collection=statutes-legislation&amp;id=urn:contentItem:8SHT-0712-D6RV-H421-00000-00&amp;context=" TargetMode="External"/><Relationship Id="rId218" Type="http://schemas.openxmlformats.org/officeDocument/2006/relationships/hyperlink" Target="https://advance.lexis.com/api/document?collection=cases&amp;id=urn:contentItem:3YTP-2X00-0038-X0DS-00000-00&amp;context=" TargetMode="External"/><Relationship Id="rId271" Type="http://schemas.openxmlformats.org/officeDocument/2006/relationships/hyperlink" Target="https://advance.lexis.com/api/document?collection=statutes-legislation&amp;id=urn:contentItem:8SHT-0712-D6RV-H3B1-00000-00&amp;context=" TargetMode="External"/><Relationship Id="rId24" Type="http://schemas.openxmlformats.org/officeDocument/2006/relationships/hyperlink" Target="https://advance.lexis.com/api/document?collection=cases&amp;id=urn:contentItem:3S4X-JXX0-003B-S33P-00000-00&amp;context=" TargetMode="External"/><Relationship Id="rId66" Type="http://schemas.openxmlformats.org/officeDocument/2006/relationships/hyperlink" Target="https://advance.lexis.com/api/document?collection=cases&amp;id=urn:contentItem:3TGV-N240-002K-6004-00000-00&amp;context=" TargetMode="External"/><Relationship Id="rId131" Type="http://schemas.openxmlformats.org/officeDocument/2006/relationships/hyperlink" Target="https://advance.lexis.com/api/document?collection=statutes-legislation&amp;id=urn:contentItem:8T9R-T4S2-D6RV-H37V-00000-00&amp;context=" TargetMode="External"/><Relationship Id="rId327" Type="http://schemas.openxmlformats.org/officeDocument/2006/relationships/hyperlink" Target="https://advance.lexis.com/api/document?collection=cases&amp;id=urn:contentItem:3S4X-7020-001B-K2J9-00000-00&amp;context=" TargetMode="External"/><Relationship Id="rId369" Type="http://schemas.openxmlformats.org/officeDocument/2006/relationships/hyperlink" Target="https://advance.lexis.com/api/document?collection=analytical-materials&amp;id=urn:contentItem:3YBB-4BN0-00CV-T0M5-00000-00&amp;context=" TargetMode="External"/><Relationship Id="rId173" Type="http://schemas.openxmlformats.org/officeDocument/2006/relationships/hyperlink" Target="https://advance.lexis.com/api/document?collection=cases&amp;id=urn:contentItem:3S4X-HRV0-003B-S0SH-00000-00&amp;context=" TargetMode="External"/><Relationship Id="rId229" Type="http://schemas.openxmlformats.org/officeDocument/2006/relationships/hyperlink" Target="https://advance.lexis.com/api/document?collection=statutes-legislation&amp;id=urn:contentItem:8SHT-0712-D6RV-H421-00000-00&amp;context=" TargetMode="External"/><Relationship Id="rId380" Type="http://schemas.openxmlformats.org/officeDocument/2006/relationships/hyperlink" Target="http://www.ncjrs.gov/" TargetMode="External"/><Relationship Id="rId240" Type="http://schemas.openxmlformats.org/officeDocument/2006/relationships/hyperlink" Target="https://advance.lexis.com/api/document?collection=statutes-legislation&amp;id=urn:contentItem:8SHT-0712-D6RV-H423-00000-00&amp;context=" TargetMode="External"/><Relationship Id="rId35" Type="http://schemas.openxmlformats.org/officeDocument/2006/relationships/hyperlink" Target="https://advance.lexis.com/api/document?collection=cases&amp;id=urn:contentItem:3S4X-D6R0-003B-S2P8-00000-00&amp;context=" TargetMode="External"/><Relationship Id="rId77" Type="http://schemas.openxmlformats.org/officeDocument/2006/relationships/hyperlink" Target="https://advance.lexis.com/api/document?collection=analytical-materials&amp;id=urn:contentItem:5368-9040-00CT-S0JP-00000-00&amp;context=" TargetMode="External"/><Relationship Id="rId100" Type="http://schemas.openxmlformats.org/officeDocument/2006/relationships/hyperlink" Target="https://advance.lexis.com/api/document?collection=cases&amp;id=urn:contentItem:3S4X-FWK0-003B-S48X-00000-00&amp;context=" TargetMode="External"/><Relationship Id="rId282" Type="http://schemas.openxmlformats.org/officeDocument/2006/relationships/hyperlink" Target="https://advance.lexis.com/api/document?collection=analytical-materials&amp;id=urn:contentItem:5SPF-G2B0-00CW-82FC-00000-00&amp;context=" TargetMode="External"/><Relationship Id="rId338" Type="http://schemas.openxmlformats.org/officeDocument/2006/relationships/hyperlink" Target="https://advance.lexis.com/api/document?collection=cases&amp;id=urn:contentItem:5G1T-PJ11-F04F-03XT-00000-00&amp;context=" TargetMode="External"/><Relationship Id="rId8" Type="http://schemas.openxmlformats.org/officeDocument/2006/relationships/hyperlink" Target="https://advance.lexis.com/api/document?collection=analytical-materials&amp;id=urn:contentItem:4CCP-1T10-00CW-802J-00000-00&amp;context=" TargetMode="External"/><Relationship Id="rId142" Type="http://schemas.openxmlformats.org/officeDocument/2006/relationships/hyperlink" Target="https://advance.lexis.com/api/document?collection=statutes-legislation&amp;id=urn:contentItem:8SDD-0C82-8T6X-73JP-00000-00&amp;context=" TargetMode="External"/><Relationship Id="rId184" Type="http://schemas.openxmlformats.org/officeDocument/2006/relationships/hyperlink" Target="https://advance.lexis.com/api/document?collection=statutes-legislation&amp;id=urn:contentItem:8S9D-WBG2-D6RV-H541-00000-00&amp;context=" TargetMode="External"/><Relationship Id="rId251" Type="http://schemas.openxmlformats.org/officeDocument/2006/relationships/hyperlink" Target="https://advance.lexis.com/api/document?collection=statutes-legislation&amp;id=urn:contentItem:8SHT-0732-D6RV-H1PS-00000-00&amp;context=" TargetMode="External"/><Relationship Id="rId46" Type="http://schemas.openxmlformats.org/officeDocument/2006/relationships/hyperlink" Target="https://advance.lexis.com/api/document?collection=cases&amp;id=urn:contentItem:3S4X-CBS0-003B-S208-00000-00&amp;context=" TargetMode="External"/><Relationship Id="rId293" Type="http://schemas.openxmlformats.org/officeDocument/2006/relationships/hyperlink" Target="https://advance.lexis.com/api/document?collection=cases&amp;id=urn:contentItem:5P27-8HG1-F04J-T2TG-00000-00&amp;context=" TargetMode="External"/><Relationship Id="rId307" Type="http://schemas.openxmlformats.org/officeDocument/2006/relationships/hyperlink" Target="https://advance.lexis.com/api/document?collection=cases&amp;id=urn:contentItem:3S4X-7020-001B-K2J9-00000-00&amp;context=" TargetMode="External"/><Relationship Id="rId349" Type="http://schemas.openxmlformats.org/officeDocument/2006/relationships/hyperlink" Target="https://advance.lexis.com/api/document?collection=cases&amp;id=urn:contentItem:5KF9-R3T1-F04K-J438-00000-00&amp;context=" TargetMode="External"/><Relationship Id="rId88" Type="http://schemas.openxmlformats.org/officeDocument/2006/relationships/hyperlink" Target="https://advance.lexis.com/api/document?collection=statutes-legislation&amp;id=urn:contentItem:8S9D-W9D2-D6RV-H566-00000-00&amp;context=" TargetMode="External"/><Relationship Id="rId111" Type="http://schemas.openxmlformats.org/officeDocument/2006/relationships/hyperlink" Target="https://advance.lexis.com/api/document?collection=cases&amp;id=urn:contentItem:4R8P-7J80-TXFX-1285-00000-00&amp;context=" TargetMode="External"/><Relationship Id="rId153" Type="http://schemas.openxmlformats.org/officeDocument/2006/relationships/hyperlink" Target="https://advance.lexis.com/api/document?collection=statutes-legislation&amp;id=urn:contentItem:8SDD-0C82-8T6X-73JR-00000-00&amp;context=" TargetMode="External"/><Relationship Id="rId195" Type="http://schemas.openxmlformats.org/officeDocument/2006/relationships/hyperlink" Target="https://advance.lexis.com/api/document?collection=analytical-materials&amp;id=urn:contentItem:46H1-23G0-00CW-G01F-00000-00&amp;context=" TargetMode="External"/><Relationship Id="rId209" Type="http://schemas.openxmlformats.org/officeDocument/2006/relationships/hyperlink" Target="https://advance.lexis.com/api/document?collection=statutes-legislation&amp;id=urn:contentItem:8SG9-5042-D6RV-H05V-00000-00&amp;context=" TargetMode="External"/><Relationship Id="rId360" Type="http://schemas.openxmlformats.org/officeDocument/2006/relationships/hyperlink" Target="https://advance.lexis.com/api/document?collection=cases&amp;id=urn:contentItem:5JVP-TS41-F04F-019F-00000-00&amp;context=" TargetMode="External"/><Relationship Id="rId220" Type="http://schemas.openxmlformats.org/officeDocument/2006/relationships/hyperlink" Target="http://www.ojp.usdoj.gov/bjs/pub/pdf/iptc.pdf" TargetMode="External"/><Relationship Id="rId15" Type="http://schemas.openxmlformats.org/officeDocument/2006/relationships/hyperlink" Target="http://www.justice.gov.za/legislation/acts/2007-032.pdf" TargetMode="External"/><Relationship Id="rId57" Type="http://schemas.openxmlformats.org/officeDocument/2006/relationships/hyperlink" Target="https://advance.lexis.com/api/document?collection=cases&amp;id=urn:contentItem:3S4X-HRV0-003B-S0SH-00000-00&amp;context=" TargetMode="External"/><Relationship Id="rId262" Type="http://schemas.openxmlformats.org/officeDocument/2006/relationships/hyperlink" Target="https://advance.lexis.com/api/document?collection=cases&amp;id=urn:contentItem:45FB-8100-004B-Y05T-00000-00&amp;context=" TargetMode="External"/><Relationship Id="rId318" Type="http://schemas.openxmlformats.org/officeDocument/2006/relationships/hyperlink" Target="https://advance.lexis.com/api/document?collection=cases&amp;id=urn:contentItem:3S4X-7020-001B-K2J9-00000-00&amp;context=" TargetMode="External"/><Relationship Id="rId99" Type="http://schemas.openxmlformats.org/officeDocument/2006/relationships/hyperlink" Target="https://advance.lexis.com/api/document?collection=cases&amp;id=urn:contentItem:3S4X-FWK0-003B-S48X-00000-00&amp;context=" TargetMode="External"/><Relationship Id="rId122" Type="http://schemas.openxmlformats.org/officeDocument/2006/relationships/hyperlink" Target="https://advance.lexis.com/api/document?collection=cases&amp;id=urn:contentItem:3S4X-BWT0-0039-N0H9-00000-00&amp;context=" TargetMode="External"/><Relationship Id="rId164" Type="http://schemas.openxmlformats.org/officeDocument/2006/relationships/hyperlink" Target="https://advance.lexis.com/api/document?collection=cases&amp;id=urn:contentItem:3S4X-HR60-003B-S0HP-00000-00&amp;context=" TargetMode="External"/><Relationship Id="rId371" Type="http://schemas.openxmlformats.org/officeDocument/2006/relationships/hyperlink" Target="https://advance.lexis.com/api/document?collection=analytical-materials&amp;id=urn:contentItem:4B89-XW00-00CV-P0F0-00000-00&amp;con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0CDD3-941D-4D1C-A24D-79393D6A4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99709</Words>
  <Characters>568342</Characters>
  <Application>Microsoft Office Word</Application>
  <DocSecurity>0</DocSecurity>
  <Lines>4736</Lines>
  <Paragraphs>1333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Forslund</dc:creator>
  <cp:keywords>5.1.1</cp:keywords>
  <dc:description/>
  <cp:lastModifiedBy>Eric Forslund</cp:lastModifiedBy>
  <cp:revision>2</cp:revision>
  <dcterms:created xsi:type="dcterms:W3CDTF">2020-07-14T08:07:00Z</dcterms:created>
  <dcterms:modified xsi:type="dcterms:W3CDTF">2020-07-14T08:07:00Z</dcterms:modified>
</cp:coreProperties>
</file>